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194945</wp:posOffset>
            </wp:positionH>
            <wp:positionV relativeFrom="page">
              <wp:posOffset>144145</wp:posOffset>
            </wp:positionV>
            <wp:extent cx="715962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240030</wp:posOffset>
            </wp:positionV>
            <wp:extent cx="715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698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Report of Foreign Private Issuer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Rule 13a-16 or 15d-16 under the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month of May 2022</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 001-14014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CREDICORP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Clarendon House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Church Street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Hamilton HM 11 Bermuda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84" w:lineRule="exact"/>
        <w:rPr>
          <w:sz w:val="24"/>
          <w:szCs w:val="24"/>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7"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07"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6" w:lineRule="exact"/>
        <w:rPr>
          <w:sz w:val="24"/>
          <w:szCs w:val="24"/>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 xml:space="preserve">The information in this Form 6-K (including any </w:t>
      </w:r>
      <w:r>
        <w:rPr>
          <w:rFonts w:ascii="Times New Roman" w:cs="Times New Roman" w:eastAsia="Times New Roman" w:hAnsi="Times New Roman"/>
          <w:sz w:val="14"/>
          <w:szCs w:val="14"/>
          <w:u w:val="single" w:color="auto"/>
          <w:color w:val="0000EE"/>
        </w:rPr>
        <w:t>exhibit</w:t>
      </w:r>
      <w:r>
        <w:rPr>
          <w:rFonts w:ascii="Times New Roman" w:cs="Times New Roman" w:eastAsia="Times New Roman" w:hAnsi="Times New Roman"/>
          <w:sz w:val="14"/>
          <w:szCs w:val="14"/>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153670</wp:posOffset>
            </wp:positionV>
            <wp:extent cx="71596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229235</wp:posOffset>
            </wp:positionV>
            <wp:extent cx="7159625"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339090</wp:posOffset>
            </wp:positionV>
            <wp:extent cx="715962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453" w:right="319" w:bottom="1440" w:gutter="0" w:footer="0" w:header="0"/>
        </w:sectPr>
      </w:pPr>
    </w:p>
    <w:bookmarkStart w:id="1" w:name="page2"/>
    <w:bookmarkEnd w:id="1"/>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4"/>
          <w:szCs w:val="14"/>
          <w:color w:val="auto"/>
        </w:rPr>
        <w:t>, 2022</w:t>
      </w:r>
    </w:p>
    <w:p>
      <w:pPr>
        <w:spacing w:after="0" w:line="9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CREDICORP LTD.</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(Registrant)</w:t>
      </w:r>
    </w:p>
    <w:p>
      <w:pPr>
        <w:spacing w:after="0" w:line="149" w:lineRule="exact"/>
        <w:rPr>
          <w:sz w:val="20"/>
          <w:szCs w:val="20"/>
          <w:color w:val="auto"/>
        </w:rPr>
      </w:pPr>
    </w:p>
    <w:p>
      <w:pPr>
        <w:ind w:left="5160"/>
        <w:spacing w:after="0"/>
        <w:tabs>
          <w:tab w:leader="none" w:pos="576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3665855</wp:posOffset>
            </wp:positionH>
            <wp:positionV relativeFrom="paragraph">
              <wp:posOffset>17145</wp:posOffset>
            </wp:positionV>
            <wp:extent cx="238633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6330" cy="13970"/>
                    </a:xfrm>
                    <a:prstGeom prst="rect">
                      <a:avLst/>
                    </a:prstGeom>
                    <a:noFill/>
                  </pic:spPr>
                </pic:pic>
              </a:graphicData>
            </a:graphic>
          </wp:anchor>
        </w:drawing>
      </w:r>
    </w:p>
    <w:p>
      <w:pPr>
        <w:spacing w:after="0" w:line="1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Guillermo Morales</w:t>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309880</wp:posOffset>
            </wp:positionV>
            <wp:extent cx="71596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580"/>
          </w:cols>
          <w:pgMar w:left="740" w:top="123" w:right="579" w:bottom="1440" w:gutter="0" w:footer="0" w:header="0"/>
        </w:sectPr>
      </w:pPr>
    </w:p>
    <w:bookmarkStart w:id="2" w:name="page3"/>
    <w:bookmarkEnd w:id="2"/>
    <w:p>
      <w:pPr>
        <w:ind w:left="92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139065</wp:posOffset>
            </wp:positionV>
            <wp:extent cx="7159625" cy="58185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5818505"/>
                    </a:xfrm>
                    <a:prstGeom prst="rect">
                      <a:avLst/>
                    </a:prstGeom>
                    <a:noFill/>
                  </pic:spPr>
                </pic:pic>
              </a:graphicData>
            </a:graphic>
          </wp:anchor>
        </w:drawing>
      </w:r>
    </w:p>
    <w:p>
      <w:pPr>
        <w:sectPr>
          <w:pgSz w:w="11900" w:h="16838" w:orient="portrait"/>
          <w:cols w:equalWidth="0" w:num="1">
            <w:col w:w="10140"/>
          </w:cols>
          <w:pgMar w:left="1440" w:top="245" w:right="319" w:bottom="1440" w:gutter="0" w:footer="0" w:header="0"/>
        </w:sectPr>
      </w:pPr>
    </w:p>
    <w:bookmarkStart w:id="3" w:name="page4"/>
    <w:bookmarkEnd w:id="3"/>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39"/>
          <w:szCs w:val="39"/>
          <w:b w:val="1"/>
          <w:bCs w:val="1"/>
          <w:color w:val="2AD2C9"/>
        </w:rPr>
        <w:t>Table of Contents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7260" w:type="dxa"/>
            <w:vAlign w:val="bottom"/>
          </w:tcPr>
          <w:p>
            <w:pPr>
              <w:spacing w:after="0"/>
              <w:rPr>
                <w:sz w:val="20"/>
                <w:szCs w:val="20"/>
                <w:color w:val="auto"/>
              </w:rPr>
            </w:pPr>
            <w:r>
              <w:rPr>
                <w:rFonts w:ascii="Arial" w:cs="Arial" w:eastAsia="Arial" w:hAnsi="Arial"/>
                <w:sz w:val="17"/>
                <w:szCs w:val="17"/>
                <w:b w:val="1"/>
                <w:bCs w:val="1"/>
                <w:color w:val="A6A6A6"/>
              </w:rPr>
              <w:t>1Q22 Operating and Financial Highlights</w:t>
            </w:r>
          </w:p>
        </w:tc>
        <w:tc>
          <w:tcPr>
            <w:tcW w:w="344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390"/>
        </w:trPr>
        <w:tc>
          <w:tcPr>
            <w:tcW w:w="7260" w:type="dxa"/>
            <w:vAlign w:val="bottom"/>
          </w:tcPr>
          <w:p>
            <w:pPr>
              <w:spacing w:after="0"/>
              <w:rPr>
                <w:sz w:val="20"/>
                <w:szCs w:val="20"/>
                <w:color w:val="auto"/>
              </w:rPr>
            </w:pPr>
            <w:r>
              <w:rPr>
                <w:rFonts w:ascii="Arial" w:cs="Arial" w:eastAsia="Arial" w:hAnsi="Arial"/>
                <w:sz w:val="17"/>
                <w:szCs w:val="17"/>
                <w:b w:val="1"/>
                <w:bCs w:val="1"/>
                <w:color w:val="A6A6A6"/>
              </w:rPr>
              <w:t>Senior Management Quotes</w:t>
            </w:r>
          </w:p>
        </w:tc>
        <w:tc>
          <w:tcPr>
            <w:tcW w:w="344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390"/>
        </w:trPr>
        <w:tc>
          <w:tcPr>
            <w:tcW w:w="7260" w:type="dxa"/>
            <w:vAlign w:val="bottom"/>
          </w:tcPr>
          <w:p>
            <w:pPr>
              <w:spacing w:after="0"/>
              <w:rPr>
                <w:sz w:val="20"/>
                <w:szCs w:val="20"/>
                <w:color w:val="auto"/>
              </w:rPr>
            </w:pPr>
            <w:r>
              <w:rPr>
                <w:rFonts w:ascii="Arial" w:cs="Arial" w:eastAsia="Arial" w:hAnsi="Arial"/>
                <w:sz w:val="17"/>
                <w:szCs w:val="17"/>
                <w:b w:val="1"/>
                <w:bCs w:val="1"/>
                <w:color w:val="A6A6A6"/>
              </w:rPr>
              <w:t>First Quarter 2022 Earnings Conference Call</w:t>
            </w:r>
          </w:p>
        </w:tc>
        <w:tc>
          <w:tcPr>
            <w:tcW w:w="344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390"/>
        </w:trPr>
        <w:tc>
          <w:tcPr>
            <w:tcW w:w="7260" w:type="dxa"/>
            <w:vAlign w:val="bottom"/>
          </w:tcPr>
          <w:p>
            <w:pPr>
              <w:spacing w:after="0"/>
              <w:rPr>
                <w:sz w:val="20"/>
                <w:szCs w:val="20"/>
                <w:color w:val="auto"/>
              </w:rPr>
            </w:pPr>
            <w:r>
              <w:rPr>
                <w:rFonts w:ascii="Arial" w:cs="Arial" w:eastAsia="Arial" w:hAnsi="Arial"/>
                <w:sz w:val="17"/>
                <w:szCs w:val="17"/>
                <w:b w:val="1"/>
                <w:bCs w:val="1"/>
                <w:color w:val="A6A6A6"/>
              </w:rPr>
              <w:t>Summary of Financial Performance and Outlook</w:t>
            </w:r>
          </w:p>
        </w:tc>
        <w:tc>
          <w:tcPr>
            <w:tcW w:w="344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390"/>
        </w:trPr>
        <w:tc>
          <w:tcPr>
            <w:tcW w:w="7260" w:type="dxa"/>
            <w:vAlign w:val="bottom"/>
          </w:tcPr>
          <w:p>
            <w:pPr>
              <w:spacing w:after="0"/>
              <w:rPr>
                <w:sz w:val="20"/>
                <w:szCs w:val="20"/>
                <w:color w:val="auto"/>
              </w:rPr>
            </w:pPr>
            <w:r>
              <w:rPr>
                <w:rFonts w:ascii="Arial" w:cs="Arial" w:eastAsia="Arial" w:hAnsi="Arial"/>
                <w:sz w:val="17"/>
                <w:szCs w:val="17"/>
                <w:b w:val="1"/>
                <w:bCs w:val="1"/>
                <w:color w:val="A6A6A6"/>
              </w:rPr>
              <w:t>Financial Overview</w:t>
            </w:r>
          </w:p>
        </w:tc>
        <w:tc>
          <w:tcPr>
            <w:tcW w:w="344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390"/>
        </w:trPr>
        <w:tc>
          <w:tcPr>
            <w:tcW w:w="7260" w:type="dxa"/>
            <w:vAlign w:val="bottom"/>
          </w:tcPr>
          <w:p>
            <w:pPr>
              <w:spacing w:after="0"/>
              <w:rPr>
                <w:sz w:val="20"/>
                <w:szCs w:val="20"/>
                <w:color w:val="auto"/>
              </w:rPr>
            </w:pPr>
            <w:r>
              <w:rPr>
                <w:rFonts w:ascii="Arial" w:cs="Arial" w:eastAsia="Arial" w:hAnsi="Arial"/>
                <w:sz w:val="17"/>
                <w:szCs w:val="17"/>
                <w:b w:val="1"/>
                <w:bCs w:val="1"/>
                <w:color w:val="A6A6A6"/>
              </w:rPr>
              <w:t>Credicorp’s Strategy Update</w:t>
            </w:r>
          </w:p>
        </w:tc>
        <w:tc>
          <w:tcPr>
            <w:tcW w:w="34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401"/>
        </w:trPr>
        <w:tc>
          <w:tcPr>
            <w:tcW w:w="7260" w:type="dxa"/>
            <w:vAlign w:val="bottom"/>
          </w:tcPr>
          <w:p>
            <w:pPr>
              <w:spacing w:after="0"/>
              <w:rPr>
                <w:sz w:val="20"/>
                <w:szCs w:val="20"/>
                <w:color w:val="auto"/>
              </w:rPr>
            </w:pPr>
            <w:r>
              <w:rPr>
                <w:rFonts w:ascii="Arial" w:cs="Arial" w:eastAsia="Arial" w:hAnsi="Arial"/>
                <w:sz w:val="17"/>
                <w:szCs w:val="17"/>
                <w:b w:val="1"/>
                <w:bCs w:val="1"/>
                <w:color w:val="A6A6A6"/>
              </w:rPr>
              <w:t>Analysis of 1Q22 Consolidated Results</w:t>
            </w: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-1642745</wp:posOffset>
            </wp:positionV>
            <wp:extent cx="123825" cy="15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825" cy="151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-1395095</wp:posOffset>
            </wp:positionV>
            <wp:extent cx="123825" cy="151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825" cy="151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-1147445</wp:posOffset>
            </wp:positionV>
            <wp:extent cx="123825" cy="151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825" cy="151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-899795</wp:posOffset>
            </wp:positionV>
            <wp:extent cx="123825" cy="15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825" cy="151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-652145</wp:posOffset>
            </wp:positionV>
            <wp:extent cx="123825" cy="15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825" cy="1511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-404495</wp:posOffset>
            </wp:positionV>
            <wp:extent cx="123825" cy="15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825" cy="151130"/>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-156845</wp:posOffset>
            </wp:positionV>
            <wp:extent cx="123825" cy="15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825" cy="1511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p>
      <w:pPr>
        <w:spacing w:after="0" w:line="182"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01</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02</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03</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04</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05</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06</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07</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08</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09</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10</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11</w:t>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34"/>
          <w:szCs w:val="34"/>
          <w:b w:val="1"/>
          <w:bCs w:val="1"/>
          <w:color w:val="E93CAC"/>
        </w:rPr>
        <w:t>12</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5800" w:type="dxa"/>
            <w:vAlign w:val="bottom"/>
          </w:tcPr>
          <w:p>
            <w:pPr>
              <w:spacing w:after="0"/>
              <w:rPr>
                <w:sz w:val="20"/>
                <w:szCs w:val="20"/>
                <w:color w:val="auto"/>
              </w:rPr>
            </w:pPr>
            <w:r>
              <w:rPr>
                <w:rFonts w:ascii="Arial" w:cs="Arial" w:eastAsia="Arial" w:hAnsi="Arial"/>
                <w:sz w:val="17"/>
                <w:szCs w:val="17"/>
                <w:color w:val="E93CAC"/>
              </w:rPr>
              <w:t>Loan Portfolio</w:t>
            </w:r>
          </w:p>
        </w:tc>
        <w:tc>
          <w:tcPr>
            <w:tcW w:w="32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76"/>
        </w:trPr>
        <w:tc>
          <w:tcPr>
            <w:tcW w:w="5800" w:type="dxa"/>
            <w:vAlign w:val="bottom"/>
          </w:tcPr>
          <w:p>
            <w:pPr>
              <w:spacing w:after="0"/>
              <w:rPr>
                <w:sz w:val="20"/>
                <w:szCs w:val="20"/>
                <w:color w:val="auto"/>
              </w:rPr>
            </w:pPr>
            <w:r>
              <w:rPr>
                <w:rFonts w:ascii="Arial" w:cs="Arial" w:eastAsia="Arial" w:hAnsi="Arial"/>
                <w:sz w:val="17"/>
                <w:szCs w:val="17"/>
                <w:color w:val="E93CAC"/>
              </w:rPr>
              <w:t>Deposits</w:t>
            </w:r>
          </w:p>
        </w:tc>
        <w:tc>
          <w:tcPr>
            <w:tcW w:w="320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Interest Earning Assets and Funding</w:t>
            </w:r>
          </w:p>
        </w:tc>
        <w:tc>
          <w:tcPr>
            <w:tcW w:w="320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Net Interest Income</w:t>
            </w:r>
          </w:p>
        </w:tc>
        <w:tc>
          <w:tcPr>
            <w:tcW w:w="320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Provisions</w:t>
            </w:r>
          </w:p>
        </w:tc>
        <w:tc>
          <w:tcPr>
            <w:tcW w:w="32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Other Income</w:t>
            </w:r>
          </w:p>
        </w:tc>
        <w:tc>
          <w:tcPr>
            <w:tcW w:w="32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Insurance Technical Results</w:t>
            </w:r>
          </w:p>
        </w:tc>
        <w:tc>
          <w:tcPr>
            <w:tcW w:w="32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Operating Expenses</w:t>
            </w:r>
          </w:p>
        </w:tc>
        <w:tc>
          <w:tcPr>
            <w:tcW w:w="32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Operating Efficiency</w:t>
            </w:r>
          </w:p>
        </w:tc>
        <w:tc>
          <w:tcPr>
            <w:tcW w:w="3200" w:type="dxa"/>
            <w:vAlign w:val="bottom"/>
          </w:tcPr>
          <w:p>
            <w:pPr>
              <w:jc w:val="right"/>
              <w:spacing w:after="0"/>
              <w:rPr>
                <w:sz w:val="20"/>
                <w:szCs w:val="20"/>
                <w:color w:val="auto"/>
              </w:rPr>
            </w:pPr>
            <w:r>
              <w:rPr>
                <w:rFonts w:ascii="Arial" w:cs="Arial" w:eastAsia="Arial" w:hAnsi="Arial"/>
                <w:sz w:val="13"/>
                <w:szCs w:val="13"/>
                <w:color w:val="auto"/>
              </w:rPr>
              <w:t>35</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Regulatory Capital</w:t>
            </w:r>
          </w:p>
        </w:tc>
        <w:tc>
          <w:tcPr>
            <w:tcW w:w="32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Economic Outlook</w:t>
            </w:r>
          </w:p>
        </w:tc>
        <w:tc>
          <w:tcPr>
            <w:tcW w:w="32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401"/>
        </w:trPr>
        <w:tc>
          <w:tcPr>
            <w:tcW w:w="5800" w:type="dxa"/>
            <w:vAlign w:val="bottom"/>
          </w:tcPr>
          <w:p>
            <w:pPr>
              <w:spacing w:after="0"/>
              <w:rPr>
                <w:sz w:val="20"/>
                <w:szCs w:val="20"/>
                <w:color w:val="auto"/>
              </w:rPr>
            </w:pPr>
            <w:r>
              <w:rPr>
                <w:rFonts w:ascii="Arial" w:cs="Arial" w:eastAsia="Arial" w:hAnsi="Arial"/>
                <w:sz w:val="17"/>
                <w:szCs w:val="17"/>
                <w:color w:val="E93CAC"/>
              </w:rPr>
              <w:t>Appendix</w:t>
            </w:r>
          </w:p>
        </w:tc>
        <w:tc>
          <w:tcPr>
            <w:tcW w:w="3200" w:type="dxa"/>
            <w:vAlign w:val="bottom"/>
          </w:tcPr>
          <w:p>
            <w:pPr>
              <w:jc w:val="right"/>
              <w:spacing w:after="0"/>
              <w:rPr>
                <w:sz w:val="20"/>
                <w:szCs w:val="20"/>
                <w:color w:val="auto"/>
              </w:rPr>
            </w:pPr>
            <w:r>
              <w:rPr>
                <w:rFonts w:ascii="Arial" w:cs="Arial" w:eastAsia="Arial" w:hAnsi="Arial"/>
                <w:sz w:val="13"/>
                <w:szCs w:val="13"/>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282575</wp:posOffset>
            </wp:positionV>
            <wp:extent cx="715962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2">
            <w:col w:w="1560" w:space="720"/>
            <w:col w:w="9000"/>
          </w:cols>
          <w:pgMar w:left="300" w:top="287" w:right="319" w:bottom="1440" w:gutter="0" w:footer="0" w:header="0"/>
          <w:type w:val="continuous"/>
        </w:sectPr>
      </w:pPr>
    </w:p>
    <w:bookmarkStart w:id="4" w:name="page5"/>
    <w:bookmarkEnd w:id="4"/>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01" w:lineRule="exact"/>
        <w:rPr>
          <w:sz w:val="20"/>
          <w:szCs w:val="20"/>
          <w:color w:val="auto"/>
        </w:rPr>
      </w:pPr>
    </w:p>
    <w:p>
      <w:pPr>
        <w:jc w:val="center"/>
        <w:ind w:left="320" w:right="2060"/>
        <w:spacing w:after="0" w:line="390" w:lineRule="auto"/>
        <w:rPr>
          <w:sz w:val="20"/>
          <w:szCs w:val="20"/>
          <w:color w:val="auto"/>
        </w:rPr>
      </w:pPr>
      <w:r>
        <w:rPr>
          <w:rFonts w:ascii="Times New Roman" w:cs="Times New Roman" w:eastAsia="Times New Roman" w:hAnsi="Times New Roman"/>
          <w:sz w:val="16"/>
          <w:szCs w:val="16"/>
          <w:b w:val="1"/>
          <w:bCs w:val="1"/>
          <w:color w:val="auto"/>
        </w:rPr>
        <w:t xml:space="preserve">Credicorp Ltd. Reports First Quarter 2022 Financial and Operating Results </w:t>
      </w:r>
      <w:r>
        <w:rPr>
          <w:rFonts w:ascii="Times New Roman" w:cs="Times New Roman" w:eastAsia="Times New Roman" w:hAnsi="Times New Roman"/>
          <w:sz w:val="16"/>
          <w:szCs w:val="16"/>
          <w:color w:val="auto"/>
        </w:rPr>
        <w:t>ROAE of 17% Driven by Higher Core Income and Lower Provisions Advancing in Sustainability Journey, Accelerating Digital Strategy, and Retaining and Attracting the Best Talent</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b w:val="1"/>
          <w:bCs w:val="1"/>
          <w:color w:val="auto"/>
        </w:rPr>
        <w:t>Lima, Peru – May 5, 2022 – Credicorp Ltd. (“Credicorp” or “the Company”) (NYSE: BAP | BVL: BAP)</w:t>
      </w:r>
      <w:r>
        <w:rPr>
          <w:rFonts w:ascii="Times New Roman" w:cs="Times New Roman" w:eastAsia="Times New Roman" w:hAnsi="Times New Roman"/>
          <w:sz w:val="16"/>
          <w:szCs w:val="16"/>
          <w:color w:val="auto"/>
        </w:rPr>
        <w:t>, the leading financial services holding company in Peru with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presence in Chile, Colombia, Bolivia and Panama; today reported its unaudited results for the first quarter of 2022 ended March 31, 2022. Financial results are expressed in Peruvian Soles and are presented in accordance with International Financial Reporting Standards (IFRS).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1Q22 OPERATING AND FINANCIAL HIGHLIGHTS</w:t>
      </w:r>
    </w:p>
    <w:p>
      <w:pPr>
        <w:spacing w:after="0" w:line="18" w:lineRule="exact"/>
        <w:rPr>
          <w:sz w:val="20"/>
          <w:szCs w:val="20"/>
          <w:color w:val="auto"/>
        </w:rPr>
      </w:pPr>
    </w:p>
    <w:p>
      <w:pPr>
        <w:ind w:left="520" w:hanging="253"/>
        <w:spacing w:after="0" w:line="239"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color w:val="auto"/>
        </w:rPr>
        <w:t>attributable to Credicorp reached S/1,136 million, up 72% YoY, driven by higher core income and lower provisions, resulting in a ROAE of</w:t>
      </w:r>
      <w:r>
        <w:rPr>
          <w:rFonts w:ascii="Arial" w:cs="Arial" w:eastAsia="Arial" w:hAnsi="Arial"/>
          <w:sz w:val="16"/>
          <w:szCs w:val="16"/>
          <w:b w:val="1"/>
          <w:bCs w:val="1"/>
          <w:color w:val="auto"/>
        </w:rPr>
        <w:t xml:space="preserve"> </w:t>
      </w:r>
      <w:r>
        <w:rPr>
          <w:rFonts w:ascii="Arial" w:cs="Arial" w:eastAsia="Arial" w:hAnsi="Arial"/>
          <w:sz w:val="16"/>
          <w:szCs w:val="16"/>
          <w:color w:val="auto"/>
        </w:rPr>
        <w:t>17.0% in 1Q22</w:t>
      </w:r>
    </w:p>
    <w:p>
      <w:pPr>
        <w:ind w:left="520" w:hanging="253"/>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Structural Loans </w:t>
      </w:r>
      <w:r>
        <w:rPr>
          <w:rFonts w:ascii="Arial" w:cs="Arial" w:eastAsia="Arial" w:hAnsi="Arial"/>
          <w:sz w:val="16"/>
          <w:szCs w:val="16"/>
          <w:color w:val="auto"/>
        </w:rPr>
        <w:t>increased 12.4% YoY (+12.3% FX (Foreign Exchange) Neutral) and 0.6% QoQ (+2.7% FX Neutral) in average daily balances.</w:t>
      </w:r>
    </w:p>
    <w:p>
      <w:pPr>
        <w:spacing w:after="0" w:line="104" w:lineRule="exact"/>
        <w:rPr>
          <w:rFonts w:ascii="Arial" w:cs="Arial" w:eastAsia="Arial" w:hAnsi="Arial"/>
          <w:sz w:val="16"/>
          <w:szCs w:val="16"/>
          <w:color w:val="auto"/>
        </w:rPr>
      </w:pPr>
    </w:p>
    <w:p>
      <w:pPr>
        <w:ind w:left="520" w:hanging="253"/>
        <w:spacing w:after="0" w:line="249"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Total Deposits </w:t>
      </w:r>
      <w:r>
        <w:rPr>
          <w:rFonts w:ascii="Arial" w:cs="Arial" w:eastAsia="Arial" w:hAnsi="Arial"/>
          <w:sz w:val="16"/>
          <w:szCs w:val="16"/>
          <w:color w:val="auto"/>
        </w:rPr>
        <w:t>reached S/147,916 million in 1Q22, decreasing 0.5% YoY (+0.3% FX Neutral) and 1.6% QoQ (+2.3% FX Neutral). Low-cost Deposits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accounted for 60% of Total Funding.</w:t>
      </w:r>
    </w:p>
    <w:p>
      <w:pPr>
        <w:spacing w:after="0" w:line="1" w:lineRule="exact"/>
        <w:rPr>
          <w:rFonts w:ascii="Arial" w:cs="Arial" w:eastAsia="Arial" w:hAnsi="Arial"/>
          <w:sz w:val="16"/>
          <w:szCs w:val="16"/>
          <w:color w:val="auto"/>
        </w:rPr>
      </w:pPr>
    </w:p>
    <w:p>
      <w:pPr>
        <w:jc w:val="both"/>
        <w:ind w:left="520" w:hanging="253"/>
        <w:spacing w:after="0" w:line="235"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Structural NPL </w:t>
      </w:r>
      <w:r>
        <w:rPr>
          <w:rFonts w:ascii="Arial" w:cs="Arial" w:eastAsia="Arial" w:hAnsi="Arial"/>
          <w:sz w:val="16"/>
          <w:szCs w:val="16"/>
          <w:color w:val="auto"/>
        </w:rPr>
        <w:t>ratio declined 90bps YoY to 5.1% driven by higher structural loan volumes and an improvement in payment behavior. Structural</w:t>
      </w:r>
      <w:r>
        <w:rPr>
          <w:rFonts w:ascii="Arial" w:cs="Arial" w:eastAsia="Arial" w:hAnsi="Arial"/>
          <w:sz w:val="16"/>
          <w:szCs w:val="16"/>
          <w:b w:val="1"/>
          <w:bCs w:val="1"/>
          <w:color w:val="auto"/>
        </w:rPr>
        <w:t xml:space="preserve"> Cost of Risk </w:t>
      </w:r>
      <w:r>
        <w:rPr>
          <w:rFonts w:ascii="Arial" w:cs="Arial" w:eastAsia="Arial" w:hAnsi="Arial"/>
          <w:sz w:val="16"/>
          <w:szCs w:val="16"/>
          <w:color w:val="auto"/>
        </w:rPr>
        <w:t>at 0.79%, below pre-pandemic levels while Allowance and NPL Coverage ratios continued to decline to more typical levels, standing at 6.3% and</w:t>
      </w:r>
      <w:r>
        <w:rPr>
          <w:rFonts w:ascii="Arial" w:cs="Arial" w:eastAsia="Arial" w:hAnsi="Arial"/>
          <w:sz w:val="16"/>
          <w:szCs w:val="16"/>
          <w:b w:val="1"/>
          <w:bCs w:val="1"/>
          <w:color w:val="auto"/>
        </w:rPr>
        <w:t xml:space="preserve"> </w:t>
      </w:r>
      <w:r>
        <w:rPr>
          <w:rFonts w:ascii="Arial" w:cs="Arial" w:eastAsia="Arial" w:hAnsi="Arial"/>
          <w:sz w:val="16"/>
          <w:szCs w:val="16"/>
          <w:color w:val="auto"/>
        </w:rPr>
        <w:t>123.0%, respectively.</w:t>
      </w:r>
    </w:p>
    <w:p>
      <w:pPr>
        <w:spacing w:after="0" w:line="1" w:lineRule="exact"/>
        <w:rPr>
          <w:rFonts w:ascii="Arial" w:cs="Arial" w:eastAsia="Arial" w:hAnsi="Arial"/>
          <w:sz w:val="16"/>
          <w:szCs w:val="16"/>
          <w:color w:val="auto"/>
        </w:rPr>
      </w:pPr>
    </w:p>
    <w:p>
      <w:pPr>
        <w:ind w:left="520" w:hanging="253"/>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Core Income </w:t>
      </w:r>
      <w:r>
        <w:rPr>
          <w:rFonts w:ascii="Arial" w:cs="Arial" w:eastAsia="Arial" w:hAnsi="Arial"/>
          <w:sz w:val="16"/>
          <w:szCs w:val="16"/>
          <w:color w:val="auto"/>
        </w:rPr>
        <w:t>up 17.7% YoY driven by increases of 19.3% in Net Interest Income (NII), 7.3% in Fees and 45.8% in Gains on FX Transactions.</w:t>
      </w:r>
    </w:p>
    <w:p>
      <w:pPr>
        <w:spacing w:after="0" w:line="29" w:lineRule="exact"/>
        <w:rPr>
          <w:rFonts w:ascii="Arial" w:cs="Arial" w:eastAsia="Arial" w:hAnsi="Arial"/>
          <w:sz w:val="16"/>
          <w:szCs w:val="16"/>
          <w:color w:val="auto"/>
        </w:rPr>
      </w:pPr>
    </w:p>
    <w:p>
      <w:pPr>
        <w:jc w:val="both"/>
        <w:ind w:left="520" w:hanging="253"/>
        <w:spacing w:after="0" w:line="236"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Efficiency Ratio </w:t>
      </w:r>
      <w:r>
        <w:rPr>
          <w:rFonts w:ascii="Arial" w:cs="Arial" w:eastAsia="Arial" w:hAnsi="Arial"/>
          <w:sz w:val="16"/>
          <w:szCs w:val="16"/>
          <w:color w:val="auto"/>
        </w:rPr>
        <w:t>of 44.5%, versus 49.5% in 4Q21 and 44.0% in 1Q21. This evolution reflects higher expenses related to an increase the transactional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cost, in line with growth in transactions; an uptick in digital transformation and innovation initiatives; and an increase in variable compensation, in a context marked by higher earnings.</w:t>
      </w:r>
    </w:p>
    <w:p>
      <w:pPr>
        <w:spacing w:after="0" w:line="1" w:lineRule="exact"/>
        <w:rPr>
          <w:rFonts w:ascii="Arial" w:cs="Arial" w:eastAsia="Arial" w:hAnsi="Arial"/>
          <w:sz w:val="16"/>
          <w:szCs w:val="16"/>
          <w:color w:val="auto"/>
        </w:rPr>
      </w:pPr>
    </w:p>
    <w:p>
      <w:pPr>
        <w:ind w:left="520" w:hanging="253"/>
        <w:spacing w:after="0"/>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Solid Capital base, </w:t>
      </w:r>
      <w:r>
        <w:rPr>
          <w:rFonts w:ascii="Arial" w:cs="Arial" w:eastAsia="Arial" w:hAnsi="Arial"/>
          <w:sz w:val="16"/>
          <w:szCs w:val="16"/>
          <w:b w:val="1"/>
          <w:bCs w:val="1"/>
          <w:color w:val="auto"/>
        </w:rPr>
        <w:t>CET1 Ratio</w:t>
      </w:r>
      <w:r>
        <w:rPr>
          <w:rFonts w:ascii="Arial" w:cs="Arial" w:eastAsia="Arial" w:hAnsi="Arial"/>
          <w:sz w:val="16"/>
          <w:szCs w:val="16"/>
          <w:color w:val="auto"/>
        </w:rPr>
        <w:t xml:space="preserve"> stood at 11.6% at BCP Stand Alone and 15.2% at Mibanco, up 62bps and 48bps YoY, respectively. As of 2022, both subsidiaries report management solvency levels in IFRS. Therefore, CET1 ratio figures will differ from what is reported for 1Q21.</w:t>
      </w:r>
    </w:p>
    <w:p>
      <w:pPr>
        <w:ind w:left="520" w:hanging="253"/>
        <w:spacing w:after="0" w:line="254" w:lineRule="auto"/>
        <w:tabs>
          <w:tab w:leader="none" w:pos="52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Progress in </w:t>
      </w:r>
      <w:r>
        <w:rPr>
          <w:rFonts w:ascii="Arial" w:cs="Arial" w:eastAsia="Arial" w:hAnsi="Arial"/>
          <w:sz w:val="16"/>
          <w:szCs w:val="16"/>
          <w:b w:val="1"/>
          <w:bCs w:val="1"/>
          <w:color w:val="auto"/>
        </w:rPr>
        <w:t>Strategic Initiatives</w:t>
      </w:r>
      <w:r>
        <w:rPr>
          <w:rFonts w:ascii="Arial" w:cs="Arial" w:eastAsia="Arial" w:hAnsi="Arial"/>
          <w:sz w:val="16"/>
          <w:szCs w:val="16"/>
          <w:color w:val="auto"/>
        </w:rPr>
        <w:t>, where Digital Clients at BCP Stand Alone, accounted for 57% of total retail clients as of March 2022. Additionally, Credicorp’s businesses financially included 347 thousand people this quarter.</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Subsequent Events</w:t>
      </w:r>
    </w:p>
    <w:p>
      <w:pPr>
        <w:spacing w:after="0" w:line="110" w:lineRule="exact"/>
        <w:rPr>
          <w:sz w:val="20"/>
          <w:szCs w:val="20"/>
          <w:color w:val="auto"/>
        </w:rPr>
      </w:pPr>
    </w:p>
    <w:p>
      <w:pPr>
        <w:ind w:left="520" w:hanging="253"/>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April 28, 2022, Credicorp announced a S/ 15 soles cash dividend per share to be paid on June 10, 2022.</w:t>
      </w: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5" w:name="page6"/>
    <w:bookmarkEnd w:id="5"/>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137160</wp:posOffset>
            </wp:positionV>
            <wp:extent cx="5859780" cy="4380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59780" cy="438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6" w:name="page7"/>
    <w:bookmarkEnd w:id="6"/>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196215</wp:posOffset>
            </wp:positionV>
            <wp:extent cx="7159625" cy="123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2022 EARNINGS CONFERENCE CALL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21212"/>
        </w:rPr>
        <w:t xml:space="preserve">Date: </w:t>
      </w:r>
      <w:r>
        <w:rPr>
          <w:rFonts w:ascii="Times New Roman" w:cs="Times New Roman" w:eastAsia="Times New Roman" w:hAnsi="Times New Roman"/>
          <w:sz w:val="16"/>
          <w:szCs w:val="16"/>
          <w:color w:val="121212"/>
        </w:rPr>
        <w:t>Friday May 6,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21212"/>
        </w:rPr>
        <w:t xml:space="preserve">Time: </w:t>
      </w:r>
      <w:r>
        <w:rPr>
          <w:rFonts w:ascii="Times New Roman" w:cs="Times New Roman" w:eastAsia="Times New Roman" w:hAnsi="Times New Roman"/>
          <w:sz w:val="16"/>
          <w:szCs w:val="16"/>
          <w:color w:val="121212"/>
        </w:rPr>
        <w:t>10:30 am ET (9:30 am Lima, Peru time)</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b w:val="1"/>
          <w:bCs w:val="1"/>
          <w:color w:val="121212"/>
        </w:rPr>
        <w:t xml:space="preserve">Hosts: </w:t>
      </w:r>
      <w:r>
        <w:rPr>
          <w:rFonts w:ascii="Times New Roman" w:cs="Times New Roman" w:eastAsia="Times New Roman" w:hAnsi="Times New Roman"/>
          <w:sz w:val="16"/>
          <w:szCs w:val="16"/>
          <w:color w:val="121212"/>
        </w:rPr>
        <w:t>Gianfranco Ferrari - CEO, Cesar Rios - Chief Financial Officer, Francesca Raffo – Chief Innovation Officer, Reynaldo Llosa - Chief Risk Officer, Diego Cavero - Head</w:t>
      </w:r>
      <w:r>
        <w:rPr>
          <w:rFonts w:ascii="Times New Roman" w:cs="Times New Roman" w:eastAsia="Times New Roman" w:hAnsi="Times New Roman"/>
          <w:sz w:val="16"/>
          <w:szCs w:val="16"/>
          <w:b w:val="1"/>
          <w:bCs w:val="1"/>
          <w:color w:val="121212"/>
        </w:rPr>
        <w:t xml:space="preserve"> </w:t>
      </w:r>
      <w:r>
        <w:rPr>
          <w:rFonts w:ascii="Times New Roman" w:cs="Times New Roman" w:eastAsia="Times New Roman" w:hAnsi="Times New Roman"/>
          <w:sz w:val="16"/>
          <w:szCs w:val="16"/>
          <w:color w:val="121212"/>
        </w:rPr>
        <w:t>of Universal Banking, Cesar Rivera - Head of Insurance and Pensions, and Investor Relations Team.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21212"/>
        </w:rPr>
        <w:t>To pre-register for the listen-only webcast presentation use the following link: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https://dpregister.com/sreg/10163110/f0c1ec1a46</w:t>
      </w:r>
    </w:p>
    <w:p>
      <w:pPr>
        <w:spacing w:after="0" w:line="15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6"/>
          <w:szCs w:val="16"/>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21212"/>
        </w:rPr>
        <w:t>Those unable to pre-register may dial in by calling: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21212"/>
        </w:rPr>
        <w:t>1 844 435 0321 (U.S. toll free)</w:t>
      </w:r>
    </w:p>
    <w:p>
      <w:pPr>
        <w:spacing w:after="0"/>
        <w:rPr>
          <w:sz w:val="20"/>
          <w:szCs w:val="20"/>
          <w:color w:val="auto"/>
        </w:rPr>
      </w:pPr>
      <w:r>
        <w:rPr>
          <w:rFonts w:ascii="Times New Roman" w:cs="Times New Roman" w:eastAsia="Times New Roman" w:hAnsi="Times New Roman"/>
          <w:sz w:val="16"/>
          <w:szCs w:val="16"/>
          <w:color w:val="121212"/>
        </w:rPr>
        <w:t>1 412 317 5615 (International)</w:t>
      </w:r>
    </w:p>
    <w:p>
      <w:pPr>
        <w:spacing w:after="0"/>
        <w:rPr>
          <w:sz w:val="20"/>
          <w:szCs w:val="20"/>
          <w:color w:val="auto"/>
        </w:rPr>
      </w:pPr>
      <w:r>
        <w:rPr>
          <w:rFonts w:ascii="Times New Roman" w:cs="Times New Roman" w:eastAsia="Times New Roman" w:hAnsi="Times New Roman"/>
          <w:sz w:val="16"/>
          <w:szCs w:val="16"/>
          <w:b w:val="1"/>
          <w:bCs w:val="1"/>
          <w:color w:val="121212"/>
        </w:rPr>
        <w:t>Conference ID: Credicorp Conference Call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21212"/>
        </w:rPr>
        <w:t>The webcast will be archived for one year on our investor relations website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https://credicorp.gcs-web.com/events-and-presentations/upcoming-events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21212"/>
        </w:rPr>
        <w:t>For a full version of Credicorp´s First Quarter 2022 Earnings Release, please visit: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https://credicorp.gcs-web.com/financial-information/quarterly-results</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7" w:name="page8"/>
    <w:bookmarkEnd w:id="7"/>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4392295</wp:posOffset>
            </wp:positionH>
            <wp:positionV relativeFrom="paragraph">
              <wp:posOffset>-131445</wp:posOffset>
            </wp:positionV>
            <wp:extent cx="2132330" cy="159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2330" cy="1595755"/>
                    </a:xfrm>
                    <a:prstGeom prst="rect">
                      <a:avLst/>
                    </a:prstGeom>
                    <a:noFill/>
                  </pic:spPr>
                </pic:pic>
              </a:graphicData>
            </a:graphic>
          </wp:anchor>
        </w:drawing>
      </w:r>
    </w:p>
    <w:p>
      <w:pPr>
        <w:spacing w:after="0" w:line="191" w:lineRule="exact"/>
        <w:rPr>
          <w:sz w:val="20"/>
          <w:szCs w:val="20"/>
          <w:color w:val="auto"/>
        </w:rPr>
      </w:pPr>
    </w:p>
    <w:p>
      <w:pPr>
        <w:jc w:val="both"/>
        <w:ind w:right="5860"/>
        <w:spacing w:after="0" w:line="272" w:lineRule="auto"/>
        <w:rPr>
          <w:sz w:val="20"/>
          <w:szCs w:val="20"/>
          <w:color w:val="auto"/>
        </w:rPr>
      </w:pPr>
      <w:r>
        <w:rPr>
          <w:rFonts w:ascii="Times New Roman" w:cs="Times New Roman" w:eastAsia="Times New Roman" w:hAnsi="Times New Roman"/>
          <w:sz w:val="14"/>
          <w:szCs w:val="14"/>
          <w:color w:val="auto"/>
        </w:rPr>
        <w:t>Structural loans increased 2.7% QoQ, excluding the exchange rate effect. This evolution was driven by the Wholesale, Consumer and SME-Pyme segments at BCP Stand-alone, which experienced an uptick in the generation of leads, and by Mibanco, which reported an improvement in the productivity.</w:t>
      </w:r>
    </w:p>
    <w:p>
      <w:pPr>
        <w:spacing w:after="0" w:line="82"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YoY growth, excluding the exchange rate effect, stood at 12.3%. This increase was primarily driven by Wholesale Banking, which registered a lower base effect in 1Q21, and by Retail Banking and Mibanco, for the reasons indicated in the QoQ analysis.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Deposits</w:t>
      </w:r>
    </w:p>
    <w:p>
      <w:pPr>
        <w:spacing w:after="0" w:line="135"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Deposits increased 2.3% QoQ, excluding the exchange rate effect. This growth was spurred mainly by Time deposits in Local Currency (LC) held by corporate clients and by savings deposits in Foreign Currency (FC), in a context of exchange rate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4460875</wp:posOffset>
            </wp:positionH>
            <wp:positionV relativeFrom="paragraph">
              <wp:posOffset>-139065</wp:posOffset>
            </wp:positionV>
            <wp:extent cx="1973580" cy="1520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3580" cy="1520190"/>
                    </a:xfrm>
                    <a:prstGeom prst="rect">
                      <a:avLst/>
                    </a:prstGeom>
                    <a:noFill/>
                  </pic:spPr>
                </pic:pic>
              </a:graphicData>
            </a:graphic>
          </wp:anchor>
        </w:drawing>
      </w:r>
    </w:p>
    <w:p>
      <w:pPr>
        <w:spacing w:after="0" w:line="60" w:lineRule="exact"/>
        <w:rPr>
          <w:sz w:val="20"/>
          <w:szCs w:val="20"/>
          <w:color w:val="auto"/>
        </w:rPr>
      </w:pPr>
    </w:p>
    <w:p>
      <w:pPr>
        <w:jc w:val="both"/>
        <w:ind w:right="5860"/>
        <w:spacing w:after="0" w:line="266" w:lineRule="auto"/>
        <w:rPr>
          <w:sz w:val="20"/>
          <w:szCs w:val="20"/>
          <w:color w:val="auto"/>
        </w:rPr>
      </w:pPr>
      <w:r>
        <w:rPr>
          <w:rFonts w:ascii="Times New Roman" w:cs="Times New Roman" w:eastAsia="Times New Roman" w:hAnsi="Times New Roman"/>
          <w:sz w:val="14"/>
          <w:szCs w:val="14"/>
          <w:color w:val="auto"/>
        </w:rPr>
        <w:t>YoY growth, excluding the exchange rate effect, stood at 0.3%. This expansion was primarily attributable to expansion in low-cost deposits in FC, which reflected the impact of government relief measures and the fact that clients sought refuge in stable currencies like the US Dollar. This increase was partially offset by a decrease in demand deposits in LC, which reflected amortizations of Reactiva loans. Severance Indemnity Deposits (CTS) fell by nearly half after funds were released under government relief mandates.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Net Interest Income (NII) and Margin (NIM)</w:t>
      </w:r>
    </w:p>
    <w:p>
      <w:pPr>
        <w:spacing w:after="0" w:line="135" w:lineRule="exact"/>
        <w:rPr>
          <w:sz w:val="20"/>
          <w:szCs w:val="20"/>
          <w:color w:val="auto"/>
        </w:rPr>
      </w:pPr>
    </w:p>
    <w:p>
      <w:pPr>
        <w:jc w:val="both"/>
        <w:ind w:right="5860"/>
        <w:spacing w:after="0" w:line="268" w:lineRule="auto"/>
        <w:rPr>
          <w:sz w:val="20"/>
          <w:szCs w:val="20"/>
          <w:color w:val="auto"/>
        </w:rPr>
      </w:pPr>
      <w:r>
        <w:rPr>
          <w:rFonts w:ascii="Times New Roman" w:cs="Times New Roman" w:eastAsia="Times New Roman" w:hAnsi="Times New Roman"/>
          <w:sz w:val="14"/>
          <w:szCs w:val="14"/>
          <w:color w:val="auto"/>
        </w:rPr>
        <w:t>NII rose 2.3% QoQ to S/2,534 million. This evolution was attributable to the LC balance, where financial income was driven upward by an increase in structural loans; a decrease in less profitable assets; and an uptick in Peru’s reference rate. The aforementioned was partially offset by growth in financial expenses, which was attributable to growth in time deposits in LC. In this context, NIM rose 19bs to 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-72390</wp:posOffset>
            </wp:positionV>
            <wp:extent cx="2132330" cy="139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2330" cy="1396365"/>
                    </a:xfrm>
                    <a:prstGeom prst="rect">
                      <a:avLst/>
                    </a:prstGeom>
                    <a:noFill/>
                  </pic:spPr>
                </pic:pic>
              </a:graphicData>
            </a:graphic>
          </wp:anchor>
        </w:drawing>
      </w:r>
    </w:p>
    <w:p>
      <w:pPr>
        <w:spacing w:after="0" w:line="34" w:lineRule="exact"/>
        <w:rPr>
          <w:sz w:val="20"/>
          <w:szCs w:val="20"/>
          <w:color w:val="auto"/>
        </w:rPr>
      </w:pPr>
    </w:p>
    <w:p>
      <w:pPr>
        <w:jc w:val="both"/>
        <w:ind w:right="5860"/>
        <w:spacing w:after="0" w:line="270" w:lineRule="auto"/>
        <w:rPr>
          <w:sz w:val="20"/>
          <w:szCs w:val="20"/>
          <w:color w:val="auto"/>
        </w:rPr>
      </w:pPr>
      <w:r>
        <w:rPr>
          <w:rFonts w:ascii="Times New Roman" w:cs="Times New Roman" w:eastAsia="Times New Roman" w:hAnsi="Times New Roman"/>
          <w:sz w:val="14"/>
          <w:szCs w:val="14"/>
          <w:color w:val="auto"/>
        </w:rPr>
        <w:t>YoY, NII grew 19.3%. This positive evolution was driven by growth in financial income due to an uptick in structural loan volumes and in yields on short-term Interest Earning Assets (IEAs) in LC. Financial expenses fell, impacted by a non-recurring charge in 1Q21, which reflected the impact of liability management transactions at BCP. In this context, NIM rose 71bps.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8" w:name="page9"/>
    <w:bookmarkEnd w:id="8"/>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Portfolio Quality and Structural Cost of Risk (CoR)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-131445</wp:posOffset>
            </wp:positionV>
            <wp:extent cx="2084070" cy="1471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84070" cy="1471930"/>
                    </a:xfrm>
                    <a:prstGeom prst="rect">
                      <a:avLst/>
                    </a:prstGeom>
                    <a:noFill/>
                  </pic:spPr>
                </pic:pic>
              </a:graphicData>
            </a:graphic>
          </wp:anchor>
        </w:drawing>
      </w:r>
    </w:p>
    <w:p>
      <w:pPr>
        <w:spacing w:after="0" w:line="82"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The structural NPL ratio increased 24bps QoQ. Growth was fueled primarily by the SME-Pyme segment, where delinquency is concentrated in tranches of less than 30 days and are considered highly recoverable.</w:t>
      </w:r>
    </w:p>
    <w:p>
      <w:pPr>
        <w:spacing w:after="0" w:line="80"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YoY, the NPL ratio fell 94bps. This drop was mainly attributable to an improvement in the risk profile of origination at Mibanco and to Individuals, which experienced an increase in clients’ liquidity due to AFP fund releases.</w:t>
      </w:r>
    </w:p>
    <w:p>
      <w:pPr>
        <w:spacing w:after="0" w:line="69" w:lineRule="exact"/>
        <w:rPr>
          <w:sz w:val="20"/>
          <w:szCs w:val="20"/>
          <w:color w:val="auto"/>
        </w:rPr>
      </w:pPr>
    </w:p>
    <w:p>
      <w:pPr>
        <w:jc w:val="both"/>
        <w:ind w:right="5880"/>
        <w:spacing w:after="0" w:line="299" w:lineRule="auto"/>
        <w:rPr>
          <w:sz w:val="20"/>
          <w:szCs w:val="20"/>
          <w:color w:val="auto"/>
        </w:rPr>
      </w:pPr>
      <w:r>
        <w:rPr>
          <w:rFonts w:ascii="Times New Roman" w:cs="Times New Roman" w:eastAsia="Times New Roman" w:hAnsi="Times New Roman"/>
          <w:sz w:val="14"/>
          <w:szCs w:val="14"/>
          <w:color w:val="auto"/>
        </w:rPr>
        <w:t>The CoR deteriorated QoQ. This was primarily attributable to a base effect in SME-Pyme and to Mibanco, as provisions hit a record low in 4Q21.</w:t>
      </w:r>
    </w:p>
    <w:p>
      <w:pPr>
        <w:spacing w:after="0" w:line="65" w:lineRule="exact"/>
        <w:rPr>
          <w:sz w:val="20"/>
          <w:szCs w:val="20"/>
          <w:color w:val="auto"/>
        </w:rPr>
      </w:pPr>
    </w:p>
    <w:p>
      <w:pPr>
        <w:jc w:val="both"/>
        <w:ind w:right="5880"/>
        <w:spacing w:after="0" w:line="299" w:lineRule="auto"/>
        <w:rPr>
          <w:sz w:val="20"/>
          <w:szCs w:val="20"/>
          <w:color w:val="auto"/>
        </w:rPr>
      </w:pPr>
      <w:r>
        <w:rPr>
          <w:rFonts w:ascii="Times New Roman" w:cs="Times New Roman" w:eastAsia="Times New Roman" w:hAnsi="Times New Roman"/>
          <w:sz w:val="14"/>
          <w:szCs w:val="14"/>
          <w:color w:val="auto"/>
        </w:rPr>
        <w:t>YoY, the structural CoR improved at the vast majority of subsidiaries due to an uptick in macroeconomic projections and growth in liquidity across the financial system.</w:t>
      </w:r>
    </w:p>
    <w:p>
      <w:pPr>
        <w:spacing w:after="0" w:line="65" w:lineRule="exact"/>
        <w:rPr>
          <w:sz w:val="20"/>
          <w:szCs w:val="20"/>
          <w:color w:val="auto"/>
        </w:rPr>
      </w:pPr>
    </w:p>
    <w:p>
      <w:pPr>
        <w:jc w:val="both"/>
        <w:ind w:right="5860"/>
        <w:spacing w:after="0" w:line="291" w:lineRule="auto"/>
        <w:rPr>
          <w:sz w:val="20"/>
          <w:szCs w:val="20"/>
          <w:color w:val="auto"/>
        </w:rPr>
      </w:pPr>
      <w:r>
        <w:rPr>
          <w:rFonts w:ascii="Times New Roman" w:cs="Times New Roman" w:eastAsia="Times New Roman" w:hAnsi="Times New Roman"/>
          <w:sz w:val="14"/>
          <w:szCs w:val="14"/>
          <w:color w:val="auto"/>
        </w:rPr>
        <w:t>The Coverage ratio for the structural portfolio continued to follow a downward trend due to a reduction in Allowance for loan losses; nonetheless, levels remain below pre-pandemic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-217170</wp:posOffset>
            </wp:positionV>
            <wp:extent cx="1877695" cy="1176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77695" cy="117602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Other Income</w:t>
      </w:r>
    </w:p>
    <w:p>
      <w:pPr>
        <w:spacing w:after="0" w:line="135" w:lineRule="exact"/>
        <w:rPr>
          <w:sz w:val="20"/>
          <w:szCs w:val="20"/>
          <w:color w:val="auto"/>
        </w:rPr>
      </w:pPr>
    </w:p>
    <w:p>
      <w:pPr>
        <w:ind w:right="5860"/>
        <w:spacing w:after="0" w:line="299" w:lineRule="auto"/>
        <w:rPr>
          <w:sz w:val="20"/>
          <w:szCs w:val="20"/>
          <w:color w:val="auto"/>
        </w:rPr>
      </w:pPr>
      <w:r>
        <w:rPr>
          <w:rFonts w:ascii="Times New Roman" w:cs="Times New Roman" w:eastAsia="Times New Roman" w:hAnsi="Times New Roman"/>
          <w:sz w:val="14"/>
          <w:szCs w:val="14"/>
          <w:color w:val="auto"/>
        </w:rPr>
        <w:t>Other Core Income (Fees + Gains on FX) fell QoQ due to seasonal factors. YoY, Other Core Income rose 14% due to growth in transactions and an increase in exchange rate volatility.</w:t>
      </w:r>
    </w:p>
    <w:p>
      <w:pPr>
        <w:spacing w:after="0" w:line="65"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Other Non-core Oncome fell QoQ and YoY due to the net loss on securities at Pacifico, which was attributable to impairment in its fixed income investments, and to losses on investments in fixed-income mutual funds at Credicorp Stand-alone.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Insurance Underwriting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-7620</wp:posOffset>
            </wp:positionV>
            <wp:extent cx="1788160" cy="2730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8160" cy="2730500"/>
                    </a:xfrm>
                    <a:prstGeom prst="rect">
                      <a:avLst/>
                    </a:prstGeom>
                    <a:noFill/>
                  </pic:spPr>
                </pic:pic>
              </a:graphicData>
            </a:graphic>
          </wp:anchor>
        </w:drawing>
      </w:r>
    </w:p>
    <w:p>
      <w:pPr>
        <w:spacing w:after="0" w:line="115"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The Insurance Underwriting Result continued to follow an upward trend QoQ and YoY, driven by claims normalization in the Life business. Additionally, total premiums rose in a context marked by economic reactivation and price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9" w:name="page10"/>
    <w:bookmarkEnd w:id="9"/>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4708525</wp:posOffset>
            </wp:positionH>
            <wp:positionV relativeFrom="paragraph">
              <wp:posOffset>-131445</wp:posOffset>
            </wp:positionV>
            <wp:extent cx="1506220" cy="129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06220" cy="1299845"/>
                    </a:xfrm>
                    <a:prstGeom prst="rect">
                      <a:avLst/>
                    </a:prstGeom>
                    <a:noFill/>
                  </pic:spPr>
                </pic:pic>
              </a:graphicData>
            </a:graphic>
          </wp:anchor>
        </w:drawing>
      </w:r>
    </w:p>
    <w:p>
      <w:pPr>
        <w:spacing w:after="0" w:line="191" w:lineRule="exact"/>
        <w:rPr>
          <w:sz w:val="20"/>
          <w:szCs w:val="20"/>
          <w:color w:val="auto"/>
        </w:rPr>
      </w:pPr>
    </w:p>
    <w:p>
      <w:pPr>
        <w:jc w:val="both"/>
        <w:ind w:right="5860"/>
        <w:spacing w:after="0" w:line="266" w:lineRule="auto"/>
        <w:rPr>
          <w:sz w:val="20"/>
          <w:szCs w:val="20"/>
          <w:color w:val="auto"/>
        </w:rPr>
      </w:pPr>
      <w:r>
        <w:rPr>
          <w:rFonts w:ascii="Times New Roman" w:cs="Times New Roman" w:eastAsia="Times New Roman" w:hAnsi="Times New Roman"/>
          <w:sz w:val="14"/>
          <w:szCs w:val="14"/>
          <w:color w:val="auto"/>
        </w:rPr>
        <w:t>The Efficiency Ratio deteriorated 50bps YoY to stand at 44.5%. This evolution reflected an increase in expenses related to growth in transactional cost, which was in line with an uptick in transactions; investment in the digital transformation strategy; and an increase in variable remuneration in line with higher profits. If we exclude operating expenses on investments and disruptive initiatives (Yape + Krealo), the efficiency ratio would have stood at 42.5%, which is 200bps lower than the one reported.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AD2C9"/>
        </w:rPr>
        <w:t>Net income attributable to Credicorp</w:t>
      </w:r>
    </w:p>
    <w:p>
      <w:pPr>
        <w:spacing w:after="0" w:line="211"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Net income attributable to Credicorp stood at S/1,136 million, which represented an increase of 7.2% and 72% in terms of 4Q21 and 1Q21 respectively. This growth was driven by an increase in core income and a decrease in provisions. In this context, ROAE stood at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4446905</wp:posOffset>
            </wp:positionH>
            <wp:positionV relativeFrom="paragraph">
              <wp:posOffset>-338455</wp:posOffset>
            </wp:positionV>
            <wp:extent cx="1994535" cy="1244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94535" cy="124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AD2C9"/>
        </w:rPr>
        <w:t>Contributions* and ROAE by subsidiary in 1Q22</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AD2C9"/>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84455</wp:posOffset>
            </wp:positionV>
            <wp:extent cx="4545965" cy="1932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45965"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*Contributions to Credicorp reflect the eliminations for consolidation purposes (eliminations for transactions among Credicorp’s subsidiaries or between Credicorp and its subsidiaries).</w:t>
      </w:r>
    </w:p>
    <w:p>
      <w:pPr>
        <w:ind w:left="60" w:hanging="53"/>
        <w:spacing w:after="0" w:line="232" w:lineRule="auto"/>
        <w:tabs>
          <w:tab w:leader="none" w:pos="6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figure is lower than the net income of BCP Stand Alone as contribution do not consider investments in other Credicorp subsidiaries (Mibanco).</w:t>
      </w:r>
    </w:p>
    <w:p>
      <w:pPr>
        <w:ind w:left="60" w:hanging="53"/>
        <w:spacing w:after="0" w:line="226" w:lineRule="auto"/>
        <w:tabs>
          <w:tab w:leader="none" w:pos="6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figure is lower than the net income of Mibanco as Credicorp owns 99.921% of Mibanco (directly and indirectly).</w:t>
      </w:r>
    </w:p>
    <w:p>
      <w:pPr>
        <w:ind w:left="60" w:hanging="53"/>
        <w:spacing w:after="0" w:line="226" w:lineRule="auto"/>
        <w:tabs>
          <w:tab w:leader="none" w:pos="6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contribution is higher than Grupo Pacifico’s net income because Credicorp owns 65.20% directly, and 33.57% through Grupo Credito.</w:t>
      </w:r>
    </w:p>
    <w:p>
      <w:pPr>
        <w:ind w:left="60" w:hanging="53"/>
        <w:spacing w:after="0"/>
        <w:tabs>
          <w:tab w:leader="none" w:pos="60"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Grupo Credito excluding Prima (Servicorp and Emisiones BCP Latam), others of Atlantic Security Holding Corporation and others of Credicorp Ltd.</w:t>
      </w: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0" w:name="page11"/>
    <w:bookmarkEnd w:id="10"/>
    <w:p>
      <w:pPr>
        <w:jc w:val="center"/>
        <w:ind w:left="218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1238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90170</wp:posOffset>
            </wp:positionV>
            <wp:extent cx="3431540" cy="267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31540" cy="267970"/>
                    </a:xfrm>
                    <a:prstGeom prst="rect">
                      <a:avLst/>
                    </a:prstGeom>
                    <a:noFill/>
                  </pic:spPr>
                </pic:pic>
              </a:graphicData>
            </a:graphic>
          </wp:anchor>
        </w:drawing>
      </w:r>
    </w:p>
    <w:p>
      <w:pPr>
        <w:spacing w:after="0" w:line="207"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FFFFFF"/>
        </w:rPr>
        <w:t>Universal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3437890" cy="686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7890" cy="686435"/>
                    </a:xfrm>
                    <a:prstGeom prst="rect">
                      <a:avLst/>
                    </a:prstGeom>
                    <a:noFill/>
                  </pic:spPr>
                </pic:pic>
              </a:graphicData>
            </a:graphic>
          </wp:anchor>
        </w:drawing>
      </w:r>
    </w:p>
    <w:p>
      <w:pPr>
        <w:spacing w:after="0" w:line="341" w:lineRule="exact"/>
        <w:rPr>
          <w:sz w:val="20"/>
          <w:szCs w:val="20"/>
          <w:color w:val="auto"/>
        </w:rPr>
      </w:pPr>
    </w:p>
    <w:p>
      <w:pPr>
        <w:jc w:val="center"/>
        <w:ind w:left="60"/>
        <w:spacing w:after="0" w:line="235" w:lineRule="auto"/>
        <w:rPr>
          <w:sz w:val="20"/>
          <w:szCs w:val="20"/>
          <w:color w:val="auto"/>
        </w:rPr>
      </w:pPr>
      <w:r>
        <w:rPr>
          <w:rFonts w:ascii="Arial" w:cs="Arial" w:eastAsia="Arial" w:hAnsi="Arial"/>
          <w:sz w:val="16"/>
          <w:szCs w:val="16"/>
          <w:b w:val="1"/>
          <w:bCs w:val="1"/>
          <w:color w:val="auto"/>
        </w:rPr>
        <w:t xml:space="preserve">BCP Stand-alone </w:t>
      </w:r>
      <w:r>
        <w:rPr>
          <w:rFonts w:ascii="Arial" w:cs="Arial" w:eastAsia="Arial" w:hAnsi="Arial"/>
          <w:sz w:val="16"/>
          <w:szCs w:val="16"/>
          <w:color w:val="auto"/>
        </w:rPr>
        <w:t>reported strong profitability driven by robust core income</w:t>
      </w:r>
      <w:r>
        <w:rPr>
          <w:rFonts w:ascii="Arial" w:cs="Arial" w:eastAsia="Arial" w:hAnsi="Arial"/>
          <w:sz w:val="16"/>
          <w:szCs w:val="16"/>
          <w:b w:val="1"/>
          <w:bCs w:val="1"/>
          <w:color w:val="auto"/>
        </w:rPr>
        <w:t xml:space="preserve"> </w:t>
      </w:r>
      <w:r>
        <w:rPr>
          <w:rFonts w:ascii="Arial" w:cs="Arial" w:eastAsia="Arial" w:hAnsi="Arial"/>
          <w:sz w:val="16"/>
          <w:szCs w:val="16"/>
          <w:color w:val="auto"/>
        </w:rPr>
        <w:t>and lower provisions. Core income was boosted by an uptick in structural loans; growth in interest rates; controlled funding costs; and growth in fees and gains on FX transactions, due to an uptick in transactional levels and FX volatility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3431540" cy="267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1540" cy="26797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FFFFFF"/>
        </w:rPr>
        <w:t>Insurance and Pension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3437890" cy="356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37890" cy="356870"/>
                    </a:xfrm>
                    <a:prstGeom prst="rect">
                      <a:avLst/>
                    </a:prstGeom>
                    <a:noFill/>
                  </pic:spPr>
                </pic:pic>
              </a:graphicData>
            </a:graphic>
          </wp:anchor>
        </w:drawing>
      </w:r>
    </w:p>
    <w:p>
      <w:pPr>
        <w:spacing w:after="0" w:line="341" w:lineRule="exact"/>
        <w:rPr>
          <w:sz w:val="20"/>
          <w:szCs w:val="20"/>
          <w:color w:val="auto"/>
        </w:rPr>
      </w:pPr>
    </w:p>
    <w:p>
      <w:pPr>
        <w:jc w:val="center"/>
        <w:ind w:left="60" w:right="40"/>
        <w:spacing w:after="0" w:line="259" w:lineRule="auto"/>
        <w:rPr>
          <w:sz w:val="20"/>
          <w:szCs w:val="20"/>
          <w:color w:val="auto"/>
        </w:rPr>
      </w:pPr>
      <w:r>
        <w:rPr>
          <w:rFonts w:ascii="Arial" w:cs="Arial" w:eastAsia="Arial" w:hAnsi="Arial"/>
          <w:sz w:val="16"/>
          <w:szCs w:val="16"/>
          <w:b w:val="1"/>
          <w:bCs w:val="1"/>
          <w:color w:val="auto"/>
        </w:rPr>
        <w:t xml:space="preserve">Pacifico </w:t>
      </w:r>
      <w:r>
        <w:rPr>
          <w:rFonts w:ascii="Arial" w:cs="Arial" w:eastAsia="Arial" w:hAnsi="Arial"/>
          <w:sz w:val="16"/>
          <w:szCs w:val="16"/>
          <w:color w:val="auto"/>
        </w:rPr>
        <w:t>insurance underwriting results continued to recover as COVID-19</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claims in the Life business subside and P&amp;C claims normalize.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385445</wp:posOffset>
            </wp:positionV>
            <wp:extent cx="7159625" cy="4673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673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FFFFFF"/>
        </w:rPr>
        <w:t>Microfinance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-177800</wp:posOffset>
            </wp:positionV>
            <wp:extent cx="3431540" cy="267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31540" cy="267970"/>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210820</wp:posOffset>
            </wp:positionV>
            <wp:extent cx="3437890" cy="686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37890" cy="686435"/>
                    </a:xfrm>
                    <a:prstGeom prst="rect">
                      <a:avLst/>
                    </a:prstGeom>
                    <a:noFill/>
                  </pic:spPr>
                </pic:pic>
              </a:graphicData>
            </a:graphic>
          </wp:anchor>
        </w:drawing>
      </w:r>
    </w:p>
    <w:p>
      <w:pPr>
        <w:spacing w:after="0" w:line="341" w:lineRule="exact"/>
        <w:rPr>
          <w:sz w:val="20"/>
          <w:szCs w:val="20"/>
          <w:color w:val="auto"/>
        </w:rPr>
      </w:pPr>
    </w:p>
    <w:p>
      <w:pPr>
        <w:jc w:val="center"/>
        <w:ind w:left="40" w:right="80"/>
        <w:spacing w:after="0" w:line="235" w:lineRule="auto"/>
        <w:rPr>
          <w:sz w:val="20"/>
          <w:szCs w:val="20"/>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presents solid growth and its hybrid model continued to play a</w:t>
      </w:r>
      <w:r>
        <w:rPr>
          <w:rFonts w:ascii="Arial" w:cs="Arial" w:eastAsia="Arial" w:hAnsi="Arial"/>
          <w:sz w:val="16"/>
          <w:szCs w:val="16"/>
          <w:b w:val="1"/>
          <w:bCs w:val="1"/>
          <w:color w:val="auto"/>
        </w:rPr>
        <w:t xml:space="preserve"> </w:t>
      </w:r>
      <w:r>
        <w:rPr>
          <w:rFonts w:ascii="Arial" w:cs="Arial" w:eastAsia="Arial" w:hAnsi="Arial"/>
          <w:sz w:val="16"/>
          <w:szCs w:val="16"/>
          <w:color w:val="auto"/>
        </w:rPr>
        <w:t>crucial role enabling record levels of structural disbursements. This led to higher core income but was partially offset by provisions, which registered more typical levels. Advances in efficiency and risk management after consolidation of the hybrid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217170</wp:posOffset>
            </wp:positionV>
            <wp:extent cx="3431540" cy="337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31540" cy="337185"/>
                    </a:xfrm>
                    <a:prstGeom prst="rect">
                      <a:avLst/>
                    </a:prstGeom>
                    <a:noFill/>
                  </pic:spPr>
                </pic:pic>
              </a:graphicData>
            </a:graphic>
          </wp:anchor>
        </w:drawing>
      </w:r>
    </w:p>
    <w:p>
      <w:pPr>
        <w:spacing w:after="0" w:line="36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FFFFFF"/>
        </w:rPr>
        <w:t>Investment Banking</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FFFFFF"/>
        </w:rPr>
        <w:t>&amp; 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172085</wp:posOffset>
            </wp:positionV>
            <wp:extent cx="3437890" cy="466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37890" cy="466725"/>
                    </a:xfrm>
                    <a:prstGeom prst="rect">
                      <a:avLst/>
                    </a:prstGeom>
                    <a:noFill/>
                  </pic:spPr>
                </pic:pic>
              </a:graphicData>
            </a:graphic>
          </wp:anchor>
        </w:drawing>
      </w:r>
    </w:p>
    <w:p>
      <w:pPr>
        <w:spacing w:after="0" w:line="280" w:lineRule="exact"/>
        <w:rPr>
          <w:sz w:val="20"/>
          <w:szCs w:val="20"/>
          <w:color w:val="auto"/>
        </w:rPr>
      </w:pPr>
    </w:p>
    <w:p>
      <w:pPr>
        <w:jc w:val="center"/>
        <w:ind w:right="80"/>
        <w:spacing w:after="0" w:line="267" w:lineRule="auto"/>
        <w:rPr>
          <w:sz w:val="20"/>
          <w:szCs w:val="20"/>
          <w:color w:val="auto"/>
        </w:rPr>
      </w:pPr>
      <w:r>
        <w:rPr>
          <w:rFonts w:ascii="Arial" w:cs="Arial" w:eastAsia="Arial" w:hAnsi="Arial"/>
          <w:sz w:val="15"/>
          <w:szCs w:val="15"/>
          <w:color w:val="auto"/>
        </w:rPr>
        <w:t>The IB &amp; WM business is challenged by the current environment. Market volatility and political uncertainty negatively impacted the non-core businesses while AM &amp; WM reflect the impact of last year´s funds outflows.</w:t>
      </w:r>
    </w:p>
    <w:p>
      <w:pPr>
        <w:spacing w:after="0" w:line="200" w:lineRule="exact"/>
        <w:rPr>
          <w:sz w:val="20"/>
          <w:szCs w:val="20"/>
          <w:color w:val="auto"/>
        </w:rPr>
      </w:pPr>
    </w:p>
    <w:p>
      <w:pPr>
        <w:sectPr>
          <w:pgSz w:w="11900" w:h="16838" w:orient="portrait"/>
          <w:cols w:equalWidth="0" w:num="2">
            <w:col w:w="5360" w:space="580"/>
            <w:col w:w="5340"/>
          </w:cols>
          <w:pgMar w:left="300" w:top="287" w:right="31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7165340" cy="796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796925"/>
                    </a:xfrm>
                    <a:prstGeom prst="rect">
                      <a:avLst/>
                    </a:prstGeom>
                    <a:noFill/>
                  </pic:spPr>
                </pic:pic>
              </a:graphicData>
            </a:graphic>
          </wp:anchor>
        </w:drawing>
      </w:r>
    </w:p>
    <w:p>
      <w:pPr>
        <w:spacing w:after="0" w:line="341" w:lineRule="exact"/>
        <w:rPr>
          <w:sz w:val="20"/>
          <w:szCs w:val="20"/>
          <w:color w:val="auto"/>
        </w:rPr>
      </w:pPr>
    </w:p>
    <w:p>
      <w:pPr>
        <w:jc w:val="center"/>
        <w:ind w:left="140" w:right="120"/>
        <w:spacing w:after="0" w:line="236" w:lineRule="auto"/>
        <w:rPr>
          <w:sz w:val="20"/>
          <w:szCs w:val="20"/>
          <w:color w:val="auto"/>
        </w:rPr>
      </w:pPr>
      <w:r>
        <w:rPr>
          <w:rFonts w:ascii="Arial" w:cs="Arial" w:eastAsia="Arial" w:hAnsi="Arial"/>
          <w:sz w:val="16"/>
          <w:szCs w:val="16"/>
          <w:color w:val="auto"/>
        </w:rPr>
        <w:t>Given the current environment of increasing interest rates and high levels of transactional activity, Credicorp has revised its guidance for 2022. The Company expects to close 2022 with an ROE at around 17.5%, at the higher end of its initial guidance range. The main drivers of ROE include:</w:t>
      </w:r>
    </w:p>
    <w:p>
      <w:pPr>
        <w:ind w:left="4200" w:hanging="140"/>
        <w:spacing w:after="0" w:line="227" w:lineRule="auto"/>
        <w:tabs>
          <w:tab w:leader="none" w:pos="42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 dynamic growth of the structural portfolio,</w:t>
      </w:r>
    </w:p>
    <w:p>
      <w:pPr>
        <w:ind w:left="4540" w:hanging="175"/>
        <w:spacing w:after="0" w:line="226" w:lineRule="auto"/>
        <w:tabs>
          <w:tab w:leader="none" w:pos="4540" w:val="left"/>
        </w:tabs>
        <w:numPr>
          <w:ilvl w:val="3"/>
          <w:numId w:val="4"/>
        </w:numPr>
        <w:rPr>
          <w:rFonts w:ascii="Arial" w:cs="Arial" w:eastAsia="Arial" w:hAnsi="Arial"/>
          <w:sz w:val="16"/>
          <w:szCs w:val="16"/>
          <w:color w:val="auto"/>
        </w:rPr>
      </w:pPr>
      <w:r>
        <w:rPr>
          <w:rFonts w:ascii="Arial" w:cs="Arial" w:eastAsia="Arial" w:hAnsi="Arial"/>
          <w:sz w:val="16"/>
          <w:szCs w:val="16"/>
          <w:color w:val="auto"/>
        </w:rPr>
        <w:t>an increase in net interest margin,</w:t>
      </w:r>
    </w:p>
    <w:p>
      <w:pPr>
        <w:ind w:left="4340" w:hanging="200"/>
        <w:spacing w:after="0" w:line="226" w:lineRule="auto"/>
        <w:tabs>
          <w:tab w:leader="none" w:pos="4340" w:val="left"/>
        </w:tabs>
        <w:numPr>
          <w:ilvl w:val="2"/>
          <w:numId w:val="4"/>
        </w:numPr>
        <w:rPr>
          <w:rFonts w:ascii="Arial" w:cs="Arial" w:eastAsia="Arial" w:hAnsi="Arial"/>
          <w:sz w:val="16"/>
          <w:szCs w:val="16"/>
          <w:color w:val="auto"/>
        </w:rPr>
      </w:pPr>
      <w:r>
        <w:rPr>
          <w:rFonts w:ascii="Arial" w:cs="Arial" w:eastAsia="Arial" w:hAnsi="Arial"/>
          <w:sz w:val="16"/>
          <w:szCs w:val="16"/>
          <w:color w:val="auto"/>
        </w:rPr>
        <w:t>historically low levels of cost of risk and,</w:t>
      </w:r>
    </w:p>
    <w:p>
      <w:pPr>
        <w:ind w:left="4100" w:hanging="212"/>
        <w:spacing w:after="0"/>
        <w:tabs>
          <w:tab w:leader="none" w:pos="4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significant investments in disruptive innovation.</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1" w:name="page12"/>
    <w:bookmarkEnd w:id="11"/>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78" w:lineRule="exact"/>
        <w:rPr>
          <w:sz w:val="20"/>
          <w:szCs w:val="20"/>
          <w:color w:val="auto"/>
        </w:rPr>
      </w:pPr>
    </w:p>
    <w:tbl>
      <w:tblPr>
        <w:tblLayout w:type="fixed"/>
        <w:tblInd w:w="590" w:type="dxa"/>
        <w:tblCellMar>
          <w:top w:w="0" w:type="dxa"/>
          <w:left w:w="0" w:type="dxa"/>
          <w:bottom w:w="0" w:type="dxa"/>
          <w:right w:w="0" w:type="dxa"/>
        </w:tblCellMar>
      </w:tblPr>
      <w:tr>
        <w:trPr>
          <w:trHeight w:val="159"/>
        </w:trPr>
        <w:tc>
          <w:tcPr>
            <w:tcW w:w="468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Credicorp Ltd.</w:t>
            </w:r>
          </w:p>
        </w:tc>
        <w:tc>
          <w:tcPr>
            <w:tcW w:w="1340" w:type="dxa"/>
            <w:vAlign w:val="bottom"/>
            <w:tcBorders>
              <w:top w:val="single" w:sz="8" w:color="auto"/>
            </w:tcBorders>
            <w:shd w:val="clear" w:color="auto" w:fill="2AD2C9"/>
          </w:tcPr>
          <w:p>
            <w:pPr>
              <w:spacing w:after="0"/>
              <w:rPr>
                <w:sz w:val="13"/>
                <w:szCs w:val="13"/>
                <w:color w:val="auto"/>
              </w:rPr>
            </w:pPr>
          </w:p>
        </w:tc>
        <w:tc>
          <w:tcPr>
            <w:tcW w:w="1220" w:type="dxa"/>
            <w:vAlign w:val="bottom"/>
            <w:tcBorders>
              <w:top w:val="single" w:sz="8" w:color="auto"/>
            </w:tcBorders>
            <w:shd w:val="clear" w:color="auto" w:fill="2AD2C9"/>
          </w:tcPr>
          <w:p>
            <w:pPr>
              <w:jc w:val="right"/>
              <w:ind w:right="448"/>
              <w:spacing w:after="0" w:line="159" w:lineRule="exact"/>
              <w:rPr>
                <w:sz w:val="20"/>
                <w:szCs w:val="20"/>
                <w:color w:val="auto"/>
              </w:rPr>
            </w:pPr>
            <w:r>
              <w:rPr>
                <w:rFonts w:ascii="Arial" w:cs="Arial" w:eastAsia="Arial" w:hAnsi="Arial"/>
                <w:sz w:val="14"/>
                <w:szCs w:val="14"/>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1880" w:type="dxa"/>
            <w:vAlign w:val="bottom"/>
            <w:tcBorders>
              <w:top w:val="single" w:sz="8" w:color="auto"/>
              <w:right w:val="single" w:sz="8" w:color="auto"/>
            </w:tcBorders>
            <w:gridSpan w:val="2"/>
            <w:shd w:val="clear" w:color="auto" w:fill="2AD2C9"/>
          </w:tcPr>
          <w:p>
            <w:pPr>
              <w:jc w:val="right"/>
              <w:ind w:right="548"/>
              <w:spacing w:after="0" w:line="159" w:lineRule="exact"/>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340" w:type="dxa"/>
            <w:vAlign w:val="bottom"/>
            <w:shd w:val="clear" w:color="auto" w:fill="2AD2C9"/>
          </w:tcPr>
          <w:p>
            <w:pPr>
              <w:jc w:val="right"/>
              <w:ind w:right="508"/>
              <w:spacing w:after="0"/>
              <w:rPr>
                <w:sz w:val="20"/>
                <w:szCs w:val="20"/>
                <w:color w:val="auto"/>
              </w:rPr>
            </w:pPr>
            <w:r>
              <w:rPr>
                <w:rFonts w:ascii="Arial" w:cs="Arial" w:eastAsia="Arial" w:hAnsi="Arial"/>
                <w:sz w:val="14"/>
                <w:szCs w:val="14"/>
                <w:b w:val="1"/>
                <w:bCs w:val="1"/>
                <w:color w:val="FFFFFF"/>
              </w:rPr>
              <w:t>1Q21</w:t>
            </w:r>
          </w:p>
        </w:tc>
        <w:tc>
          <w:tcPr>
            <w:tcW w:w="1220" w:type="dxa"/>
            <w:vAlign w:val="bottom"/>
            <w:shd w:val="clear" w:color="auto" w:fill="2AD2C9"/>
          </w:tcPr>
          <w:p>
            <w:pPr>
              <w:jc w:val="right"/>
              <w:ind w:right="548"/>
              <w:spacing w:after="0"/>
              <w:rPr>
                <w:sz w:val="20"/>
                <w:szCs w:val="20"/>
                <w:color w:val="auto"/>
              </w:rPr>
            </w:pPr>
            <w:r>
              <w:rPr>
                <w:rFonts w:ascii="Arial" w:cs="Arial" w:eastAsia="Arial" w:hAnsi="Arial"/>
                <w:sz w:val="14"/>
                <w:szCs w:val="14"/>
                <w:b w:val="1"/>
                <w:bCs w:val="1"/>
                <w:color w:val="FFFFFF"/>
              </w:rPr>
              <w:t>4Q21</w:t>
            </w:r>
          </w:p>
        </w:tc>
        <w:tc>
          <w:tcPr>
            <w:tcW w:w="1020" w:type="dxa"/>
            <w:vAlign w:val="bottom"/>
            <w:tcBorders>
              <w:right w:val="single" w:sz="8" w:color="auto"/>
            </w:tcBorders>
            <w:shd w:val="clear" w:color="auto" w:fill="2AD2C9"/>
          </w:tcPr>
          <w:p>
            <w:pPr>
              <w:jc w:val="right"/>
              <w:ind w:right="368"/>
              <w:spacing w:after="0"/>
              <w:rPr>
                <w:sz w:val="20"/>
                <w:szCs w:val="20"/>
                <w:color w:val="auto"/>
              </w:rPr>
            </w:pPr>
            <w:r>
              <w:rPr>
                <w:rFonts w:ascii="Arial" w:cs="Arial" w:eastAsia="Arial" w:hAnsi="Arial"/>
                <w:sz w:val="14"/>
                <w:szCs w:val="14"/>
                <w:b w:val="1"/>
                <w:bCs w:val="1"/>
                <w:color w:val="FFFFFF"/>
              </w:rPr>
              <w:t>1Q22</w:t>
            </w:r>
          </w:p>
        </w:tc>
        <w:tc>
          <w:tcPr>
            <w:tcW w:w="1060" w:type="dxa"/>
            <w:vAlign w:val="bottom"/>
            <w:shd w:val="clear" w:color="auto" w:fill="2AD2C9"/>
          </w:tcPr>
          <w:p>
            <w:pPr>
              <w:jc w:val="right"/>
              <w:ind w:right="388"/>
              <w:spacing w:after="0"/>
              <w:rPr>
                <w:sz w:val="20"/>
                <w:szCs w:val="20"/>
                <w:color w:val="auto"/>
              </w:rPr>
            </w:pPr>
            <w:r>
              <w:rPr>
                <w:rFonts w:ascii="Arial" w:cs="Arial" w:eastAsia="Arial" w:hAnsi="Arial"/>
                <w:sz w:val="14"/>
                <w:szCs w:val="14"/>
                <w:b w:val="1"/>
                <w:bCs w:val="1"/>
                <w:color w:val="FFFFFF"/>
              </w:rPr>
              <w:t>QoQ</w:t>
            </w:r>
          </w:p>
        </w:tc>
        <w:tc>
          <w:tcPr>
            <w:tcW w:w="820" w:type="dxa"/>
            <w:vAlign w:val="bottom"/>
            <w:tcBorders>
              <w:right w:val="single" w:sz="8" w:color="auto"/>
            </w:tcBorders>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48"/>
        </w:trPr>
        <w:tc>
          <w:tcPr>
            <w:tcW w:w="468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Net interest, similar income and expenses</w:t>
            </w:r>
          </w:p>
        </w:tc>
        <w:tc>
          <w:tcPr>
            <w:tcW w:w="1340" w:type="dxa"/>
            <w:vAlign w:val="bottom"/>
          </w:tcPr>
          <w:p>
            <w:pPr>
              <w:jc w:val="right"/>
              <w:ind w:right="88"/>
              <w:spacing w:after="0" w:line="148" w:lineRule="exact"/>
              <w:rPr>
                <w:sz w:val="20"/>
                <w:szCs w:val="20"/>
                <w:color w:val="auto"/>
              </w:rPr>
            </w:pPr>
            <w:r>
              <w:rPr>
                <w:rFonts w:ascii="Arial" w:cs="Arial" w:eastAsia="Arial" w:hAnsi="Arial"/>
                <w:sz w:val="14"/>
                <w:szCs w:val="14"/>
                <w:color w:val="auto"/>
              </w:rPr>
              <w:t>2,123,383</w:t>
            </w:r>
          </w:p>
        </w:tc>
        <w:tc>
          <w:tcPr>
            <w:tcW w:w="1220" w:type="dxa"/>
            <w:vAlign w:val="bottom"/>
          </w:tcPr>
          <w:p>
            <w:pPr>
              <w:jc w:val="right"/>
              <w:ind w:right="128"/>
              <w:spacing w:after="0" w:line="148" w:lineRule="exact"/>
              <w:rPr>
                <w:sz w:val="20"/>
                <w:szCs w:val="20"/>
                <w:color w:val="auto"/>
              </w:rPr>
            </w:pPr>
            <w:r>
              <w:rPr>
                <w:rFonts w:ascii="Arial" w:cs="Arial" w:eastAsia="Arial" w:hAnsi="Arial"/>
                <w:sz w:val="14"/>
                <w:szCs w:val="14"/>
                <w:color w:val="auto"/>
              </w:rPr>
              <w:t>2,477,847</w:t>
            </w:r>
          </w:p>
        </w:tc>
        <w:tc>
          <w:tcPr>
            <w:tcW w:w="10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2,534,090</w:t>
            </w:r>
          </w:p>
        </w:tc>
        <w:tc>
          <w:tcPr>
            <w:tcW w:w="1060" w:type="dxa"/>
            <w:vAlign w:val="bottom"/>
          </w:tcPr>
          <w:p>
            <w:pPr>
              <w:jc w:val="right"/>
              <w:ind w:right="88"/>
              <w:spacing w:after="0" w:line="148" w:lineRule="exact"/>
              <w:rPr>
                <w:sz w:val="20"/>
                <w:szCs w:val="20"/>
                <w:color w:val="auto"/>
              </w:rPr>
            </w:pPr>
            <w:r>
              <w:rPr>
                <w:rFonts w:ascii="Arial" w:cs="Arial" w:eastAsia="Arial" w:hAnsi="Arial"/>
                <w:sz w:val="14"/>
                <w:szCs w:val="14"/>
                <w:color w:val="auto"/>
              </w:rPr>
              <w:t>2.3%</w:t>
            </w:r>
          </w:p>
        </w:tc>
        <w:tc>
          <w:tcPr>
            <w:tcW w:w="82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Provision for credit losses on loan portfolio, net of recoveries</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(557,647)</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(126,782)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(257,590)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103.2%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interest, similar income and expenses, after provision for credit</w:t>
            </w:r>
          </w:p>
        </w:tc>
        <w:tc>
          <w:tcPr>
            <w:tcW w:w="13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1,565,736</w:t>
            </w: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2,351,065</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2,276,500</w:t>
            </w:r>
          </w:p>
        </w:tc>
        <w:tc>
          <w:tcPr>
            <w:tcW w:w="10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-3.2%</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45.4%</w:t>
            </w:r>
          </w:p>
        </w:tc>
        <w:tc>
          <w:tcPr>
            <w:tcW w:w="0" w:type="dxa"/>
            <w:vAlign w:val="bottom"/>
          </w:tcPr>
          <w:p>
            <w:pPr>
              <w:spacing w:after="0"/>
              <w:rPr>
                <w:sz w:val="1"/>
                <w:szCs w:val="1"/>
                <w:color w:val="auto"/>
              </w:rPr>
            </w:pPr>
          </w:p>
        </w:tc>
      </w:tr>
      <w:tr>
        <w:trPr>
          <w:trHeight w:val="112"/>
        </w:trPr>
        <w:tc>
          <w:tcPr>
            <w:tcW w:w="468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losses on loan portfolio</w:t>
            </w:r>
          </w:p>
        </w:tc>
        <w:tc>
          <w:tcPr>
            <w:tcW w:w="13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680" w:type="dxa"/>
            <w:vAlign w:val="bottom"/>
            <w:tcBorders>
              <w:left w:val="single" w:sz="8" w:color="auto"/>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other income</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1,194,530</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1,301,959</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1,242,749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Insurance underwriting result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(65,247)</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127,657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141,546</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10.9%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other expenses</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(1,680,271)</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(2,221,574)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(1,950,182)</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Profit (loss) before income tax</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1,014,748</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1,559,107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1,710,613</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9.7%</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68.6%</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Income tax</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(337,599)</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(471,860)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(546,001)</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15.7%</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profit (loss)</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677,149</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1,087,247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1,164,612</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7.1%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72.0%</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Non-controlling interest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16,351</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26,631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27,786</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profit (loss) attributable to Credicorp</w:t>
            </w:r>
          </w:p>
        </w:tc>
        <w:tc>
          <w:tcPr>
            <w:tcW w:w="1340" w:type="dxa"/>
            <w:vAlign w:val="bottom"/>
          </w:tcPr>
          <w:p>
            <w:pPr>
              <w:jc w:val="right"/>
              <w:ind w:right="88"/>
              <w:spacing w:after="0"/>
              <w:rPr>
                <w:sz w:val="20"/>
                <w:szCs w:val="20"/>
                <w:color w:val="auto"/>
              </w:rPr>
            </w:pPr>
            <w:r>
              <w:rPr>
                <w:rFonts w:ascii="Arial" w:cs="Arial" w:eastAsia="Arial" w:hAnsi="Arial"/>
                <w:sz w:val="14"/>
                <w:szCs w:val="14"/>
                <w:b w:val="1"/>
                <w:bCs w:val="1"/>
                <w:color w:val="auto"/>
              </w:rPr>
              <w:t>660,798</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1,060,616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1,136,826</w:t>
            </w: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7.2%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72.0%</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profit (loss) / share (S/)</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8.28</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14.25</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39"/>
        </w:trPr>
        <w:tc>
          <w:tcPr>
            <w:tcW w:w="468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Loans</w:t>
            </w:r>
          </w:p>
        </w:tc>
        <w:tc>
          <w:tcPr>
            <w:tcW w:w="1340" w:type="dxa"/>
            <w:vAlign w:val="bottom"/>
          </w:tcPr>
          <w:p>
            <w:pPr>
              <w:jc w:val="right"/>
              <w:ind w:right="88"/>
              <w:spacing w:after="0" w:line="139" w:lineRule="exact"/>
              <w:rPr>
                <w:sz w:val="20"/>
                <w:szCs w:val="20"/>
                <w:color w:val="auto"/>
              </w:rPr>
            </w:pPr>
            <w:r>
              <w:rPr>
                <w:rFonts w:ascii="Arial" w:cs="Arial" w:eastAsia="Arial" w:hAnsi="Arial"/>
                <w:sz w:val="14"/>
                <w:szCs w:val="14"/>
                <w:color w:val="auto"/>
              </w:rPr>
              <w:t>137,031,239</w:t>
            </w:r>
          </w:p>
        </w:tc>
        <w:tc>
          <w:tcPr>
            <w:tcW w:w="1220" w:type="dxa"/>
            <w:vAlign w:val="bottom"/>
          </w:tcPr>
          <w:p>
            <w:pPr>
              <w:jc w:val="right"/>
              <w:ind w:right="128"/>
              <w:spacing w:after="0" w:line="139" w:lineRule="exact"/>
              <w:rPr>
                <w:sz w:val="20"/>
                <w:szCs w:val="20"/>
                <w:color w:val="auto"/>
              </w:rPr>
            </w:pPr>
            <w:r>
              <w:rPr>
                <w:rFonts w:ascii="Arial" w:cs="Arial" w:eastAsia="Arial" w:hAnsi="Arial"/>
                <w:sz w:val="14"/>
                <w:szCs w:val="14"/>
                <w:color w:val="auto"/>
              </w:rPr>
              <w:t>147,597,412</w:t>
            </w:r>
          </w:p>
        </w:tc>
        <w:tc>
          <w:tcPr>
            <w:tcW w:w="102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144,621,513</w:t>
            </w:r>
          </w:p>
        </w:tc>
        <w:tc>
          <w:tcPr>
            <w:tcW w:w="1060" w:type="dxa"/>
            <w:vAlign w:val="bottom"/>
          </w:tcPr>
          <w:p>
            <w:pPr>
              <w:jc w:val="right"/>
              <w:ind w:right="88"/>
              <w:spacing w:after="0" w:line="139" w:lineRule="exact"/>
              <w:rPr>
                <w:sz w:val="20"/>
                <w:szCs w:val="20"/>
                <w:color w:val="auto"/>
              </w:rPr>
            </w:pPr>
            <w:r>
              <w:rPr>
                <w:rFonts w:ascii="Arial" w:cs="Arial" w:eastAsia="Arial" w:hAnsi="Arial"/>
                <w:sz w:val="14"/>
                <w:szCs w:val="14"/>
                <w:color w:val="auto"/>
              </w:rPr>
              <w:t>-2.0%</w:t>
            </w:r>
          </w:p>
        </w:tc>
        <w:tc>
          <w:tcPr>
            <w:tcW w:w="82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Deposits and obligations</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148,626,339</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150,340,862</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147,915,964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equity</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24,529,958</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26,496,767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26,872,626</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9"/>
        </w:trPr>
        <w:tc>
          <w:tcPr>
            <w:tcW w:w="468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Profitability</w:t>
            </w: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interest margin</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3.73%</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4.44%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71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Risk-adjusted Net interest margin</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2.75%</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4.04%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124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Funding cost</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1.43%</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ROAE</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60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630 pbs</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ROAA</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 pbs</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 pbs</w:t>
            </w:r>
          </w:p>
        </w:tc>
        <w:tc>
          <w:tcPr>
            <w:tcW w:w="0" w:type="dxa"/>
            <w:vAlign w:val="bottom"/>
          </w:tcPr>
          <w:p>
            <w:pPr>
              <w:spacing w:after="0"/>
              <w:rPr>
                <w:sz w:val="1"/>
                <w:szCs w:val="1"/>
                <w:color w:val="auto"/>
              </w:rPr>
            </w:pPr>
          </w:p>
        </w:tc>
      </w:tr>
      <w:tr>
        <w:trPr>
          <w:trHeight w:val="130"/>
        </w:trPr>
        <w:tc>
          <w:tcPr>
            <w:tcW w:w="46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b w:val="1"/>
                <w:bCs w:val="1"/>
                <w:color w:val="auto"/>
              </w:rPr>
              <w:t>Loan portfolio quality</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8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2"/>
                <w:szCs w:val="12"/>
                <w:color w:val="auto"/>
              </w:rPr>
              <w:t xml:space="preserve">Internal overdue ratio </w:t>
            </w:r>
            <w:r>
              <w:rPr>
                <w:rFonts w:ascii="Arial" w:cs="Arial" w:eastAsia="Arial" w:hAnsi="Arial"/>
                <w:sz w:val="19"/>
                <w:szCs w:val="19"/>
                <w:color w:val="auto"/>
                <w:vertAlign w:val="superscript"/>
              </w:rPr>
              <w:t>(1)</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3.55%</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3.76%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30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51 pbs</w:t>
            </w:r>
          </w:p>
        </w:tc>
        <w:tc>
          <w:tcPr>
            <w:tcW w:w="0" w:type="dxa"/>
            <w:vAlign w:val="bottom"/>
          </w:tcPr>
          <w:p>
            <w:pPr>
              <w:spacing w:after="0"/>
              <w:rPr>
                <w:sz w:val="1"/>
                <w:szCs w:val="1"/>
                <w:color w:val="auto"/>
              </w:rPr>
            </w:pPr>
          </w:p>
        </w:tc>
      </w:tr>
      <w:tr>
        <w:trPr>
          <w:trHeight w:val="154"/>
        </w:trPr>
        <w:tc>
          <w:tcPr>
            <w:tcW w:w="468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4"/>
                <w:szCs w:val="14"/>
                <w:color w:val="auto"/>
              </w:rPr>
              <w:t>Internal overdue ratio over 90 days</w:t>
            </w:r>
          </w:p>
        </w:tc>
        <w:tc>
          <w:tcPr>
            <w:tcW w:w="1340" w:type="dxa"/>
            <w:vAlign w:val="bottom"/>
          </w:tcPr>
          <w:p>
            <w:pPr>
              <w:jc w:val="right"/>
              <w:ind w:right="88"/>
              <w:spacing w:after="0" w:line="154" w:lineRule="exact"/>
              <w:rPr>
                <w:sz w:val="20"/>
                <w:szCs w:val="20"/>
                <w:color w:val="auto"/>
              </w:rPr>
            </w:pPr>
            <w:r>
              <w:rPr>
                <w:rFonts w:ascii="Arial" w:cs="Arial" w:eastAsia="Arial" w:hAnsi="Arial"/>
                <w:sz w:val="14"/>
                <w:szCs w:val="14"/>
                <w:color w:val="auto"/>
              </w:rPr>
              <w:t>2.77%</w:t>
            </w:r>
          </w:p>
        </w:tc>
        <w:tc>
          <w:tcPr>
            <w:tcW w:w="1220" w:type="dxa"/>
            <w:vAlign w:val="bottom"/>
          </w:tcPr>
          <w:p>
            <w:pPr>
              <w:jc w:val="right"/>
              <w:ind w:right="128"/>
              <w:spacing w:after="0" w:line="154" w:lineRule="exact"/>
              <w:rPr>
                <w:sz w:val="20"/>
                <w:szCs w:val="20"/>
                <w:color w:val="auto"/>
              </w:rPr>
            </w:pPr>
            <w:r>
              <w:rPr>
                <w:rFonts w:ascii="Arial" w:cs="Arial" w:eastAsia="Arial" w:hAnsi="Arial"/>
                <w:sz w:val="14"/>
                <w:szCs w:val="14"/>
                <w:color w:val="auto"/>
              </w:rPr>
              <w:t>2.85%</w:t>
            </w:r>
          </w:p>
        </w:tc>
        <w:tc>
          <w:tcPr>
            <w:tcW w:w="102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3.06%</w:t>
            </w:r>
          </w:p>
        </w:tc>
        <w:tc>
          <w:tcPr>
            <w:tcW w:w="1060" w:type="dxa"/>
            <w:vAlign w:val="bottom"/>
          </w:tcPr>
          <w:p>
            <w:pPr>
              <w:jc w:val="right"/>
              <w:ind w:right="88"/>
              <w:spacing w:after="0" w:line="154" w:lineRule="exact"/>
              <w:rPr>
                <w:sz w:val="20"/>
                <w:szCs w:val="20"/>
                <w:color w:val="auto"/>
              </w:rPr>
            </w:pPr>
            <w:r>
              <w:rPr>
                <w:rFonts w:ascii="Arial" w:cs="Arial" w:eastAsia="Arial" w:hAnsi="Arial"/>
                <w:sz w:val="14"/>
                <w:szCs w:val="14"/>
                <w:color w:val="auto"/>
              </w:rPr>
              <w:t>21 pbs</w:t>
            </w:r>
          </w:p>
        </w:tc>
        <w:tc>
          <w:tcPr>
            <w:tcW w:w="82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29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NPL ratio </w:t>
            </w:r>
            <w:r>
              <w:rPr>
                <w:rFonts w:ascii="Arial" w:cs="Arial" w:eastAsia="Arial" w:hAnsi="Arial"/>
                <w:sz w:val="18"/>
                <w:szCs w:val="18"/>
                <w:color w:val="auto"/>
                <w:vertAlign w:val="superscript"/>
              </w:rPr>
              <w:t>(2)</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4.98%</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4.98%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5.25%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27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 pbs</w:t>
            </w:r>
          </w:p>
        </w:tc>
        <w:tc>
          <w:tcPr>
            <w:tcW w:w="0" w:type="dxa"/>
            <w:vAlign w:val="bottom"/>
          </w:tcPr>
          <w:p>
            <w:pPr>
              <w:spacing w:after="0"/>
              <w:rPr>
                <w:sz w:val="1"/>
                <w:szCs w:val="1"/>
                <w:color w:val="auto"/>
              </w:rPr>
            </w:pPr>
          </w:p>
        </w:tc>
      </w:tr>
      <w:tr>
        <w:trPr>
          <w:trHeight w:val="171"/>
        </w:trPr>
        <w:tc>
          <w:tcPr>
            <w:tcW w:w="468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2"/>
                <w:szCs w:val="12"/>
                <w:color w:val="auto"/>
              </w:rPr>
              <w:t xml:space="preserve">Cost of risk </w:t>
            </w:r>
            <w:r>
              <w:rPr>
                <w:rFonts w:ascii="Arial" w:cs="Arial" w:eastAsia="Arial" w:hAnsi="Arial"/>
                <w:sz w:val="19"/>
                <w:szCs w:val="19"/>
                <w:color w:val="auto"/>
                <w:vertAlign w:val="superscript"/>
              </w:rPr>
              <w:t>(3)</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1.63%</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0.34%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37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-92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Coverage ratio of IOLs</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200.2%</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152.7%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-1200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-5950 pbs</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Coverage ratio of NPLs</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142.9%</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115.3%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-640 pbs</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-3400 pbs</w:t>
            </w:r>
          </w:p>
        </w:tc>
        <w:tc>
          <w:tcPr>
            <w:tcW w:w="0" w:type="dxa"/>
            <w:vAlign w:val="bottom"/>
          </w:tcPr>
          <w:p>
            <w:pPr>
              <w:spacing w:after="0"/>
              <w:rPr>
                <w:sz w:val="1"/>
                <w:szCs w:val="1"/>
                <w:color w:val="auto"/>
              </w:rPr>
            </w:pPr>
          </w:p>
        </w:tc>
      </w:tr>
      <w:tr>
        <w:trPr>
          <w:trHeight w:val="130"/>
        </w:trPr>
        <w:tc>
          <w:tcPr>
            <w:tcW w:w="46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b w:val="1"/>
                <w:bCs w:val="1"/>
                <w:color w:val="auto"/>
              </w:rPr>
              <w:t>Operating efficiency</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8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2"/>
                <w:szCs w:val="12"/>
                <w:color w:val="auto"/>
              </w:rPr>
              <w:t xml:space="preserve">Efficiency ratio </w:t>
            </w:r>
            <w:r>
              <w:rPr>
                <w:rFonts w:ascii="Arial" w:cs="Arial" w:eastAsia="Arial" w:hAnsi="Arial"/>
                <w:sz w:val="19"/>
                <w:szCs w:val="19"/>
                <w:color w:val="auto"/>
                <w:vertAlign w:val="superscript"/>
              </w:rPr>
              <w:t>(4)</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44.0%</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49.5%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-500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50 pbs</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Operating expenses / Total average assets</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2.83%</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3.52%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 pbs</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40 pbs</w:t>
            </w:r>
          </w:p>
        </w:tc>
        <w:tc>
          <w:tcPr>
            <w:tcW w:w="0" w:type="dxa"/>
            <w:vAlign w:val="bottom"/>
          </w:tcPr>
          <w:p>
            <w:pPr>
              <w:spacing w:after="0"/>
              <w:rPr>
                <w:sz w:val="1"/>
                <w:szCs w:val="1"/>
                <w:color w:val="auto"/>
              </w:rPr>
            </w:pPr>
          </w:p>
        </w:tc>
      </w:tr>
      <w:tr>
        <w:trPr>
          <w:trHeight w:val="130"/>
        </w:trPr>
        <w:tc>
          <w:tcPr>
            <w:tcW w:w="46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b w:val="1"/>
                <w:bCs w:val="1"/>
                <w:color w:val="auto"/>
              </w:rPr>
              <w:t>Insurance ratios</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Combined ratio of P&amp;C </w:t>
            </w:r>
            <w:r>
              <w:rPr>
                <w:rFonts w:ascii="Arial" w:cs="Arial" w:eastAsia="Arial" w:hAnsi="Arial"/>
                <w:sz w:val="18"/>
                <w:szCs w:val="18"/>
                <w:color w:val="auto"/>
                <w:vertAlign w:val="superscript"/>
              </w:rPr>
              <w:t>(5) (6)</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85.5%</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86.5%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790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890 pbs</w:t>
            </w:r>
          </w:p>
        </w:tc>
        <w:tc>
          <w:tcPr>
            <w:tcW w:w="0" w:type="dxa"/>
            <w:vAlign w:val="bottom"/>
          </w:tcPr>
          <w:p>
            <w:pPr>
              <w:spacing w:after="0"/>
              <w:rPr>
                <w:sz w:val="1"/>
                <w:szCs w:val="1"/>
                <w:color w:val="auto"/>
              </w:rPr>
            </w:pPr>
          </w:p>
        </w:tc>
      </w:tr>
      <w:tr>
        <w:trPr>
          <w:trHeight w:val="186"/>
        </w:trPr>
        <w:tc>
          <w:tcPr>
            <w:tcW w:w="468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(6)</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96.4%</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-220 pbs</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-2730 pbs</w:t>
            </w:r>
          </w:p>
        </w:tc>
        <w:tc>
          <w:tcPr>
            <w:tcW w:w="0" w:type="dxa"/>
            <w:vAlign w:val="bottom"/>
          </w:tcPr>
          <w:p>
            <w:pPr>
              <w:spacing w:after="0"/>
              <w:rPr>
                <w:sz w:val="1"/>
                <w:szCs w:val="1"/>
                <w:color w:val="auto"/>
              </w:rPr>
            </w:pPr>
          </w:p>
        </w:tc>
      </w:tr>
      <w:tr>
        <w:trPr>
          <w:trHeight w:val="130"/>
        </w:trPr>
        <w:tc>
          <w:tcPr>
            <w:tcW w:w="46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0"/>
                <w:szCs w:val="10"/>
                <w:b w:val="1"/>
                <w:bCs w:val="1"/>
                <w:color w:val="auto"/>
              </w:rPr>
              <w:t xml:space="preserve">Capital adequacy - BCP Stand-alone </w:t>
            </w:r>
            <w:r>
              <w:rPr>
                <w:rFonts w:ascii="Arial" w:cs="Arial" w:eastAsia="Arial" w:hAnsi="Arial"/>
                <w:sz w:val="15"/>
                <w:szCs w:val="15"/>
                <w:b w:val="1"/>
                <w:bCs w:val="1"/>
                <w:color w:val="auto"/>
                <w:vertAlign w:val="superscript"/>
              </w:rPr>
              <w:t>(7)</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Global Capital ratio </w:t>
            </w:r>
            <w:r>
              <w:rPr>
                <w:rFonts w:ascii="Arial" w:cs="Arial" w:eastAsia="Arial" w:hAnsi="Arial"/>
                <w:sz w:val="18"/>
                <w:szCs w:val="18"/>
                <w:color w:val="auto"/>
                <w:vertAlign w:val="superscript"/>
              </w:rPr>
              <w:t>(8)</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16.46%</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14.94%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15.79%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85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-67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Tier 1 ratio </w:t>
            </w:r>
            <w:r>
              <w:rPr>
                <w:rFonts w:ascii="Arial" w:cs="Arial" w:eastAsia="Arial" w:hAnsi="Arial"/>
                <w:sz w:val="18"/>
                <w:szCs w:val="18"/>
                <w:color w:val="auto"/>
                <w:vertAlign w:val="superscript"/>
              </w:rPr>
              <w:t>(9)</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10.59%</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9.94%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80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 pbs</w:t>
            </w:r>
          </w:p>
        </w:tc>
        <w:tc>
          <w:tcPr>
            <w:tcW w:w="0" w:type="dxa"/>
            <w:vAlign w:val="bottom"/>
          </w:tcPr>
          <w:p>
            <w:pPr>
              <w:spacing w:after="0"/>
              <w:rPr>
                <w:sz w:val="1"/>
                <w:szCs w:val="1"/>
                <w:color w:val="auto"/>
              </w:rPr>
            </w:pPr>
          </w:p>
        </w:tc>
      </w:tr>
      <w:tr>
        <w:trPr>
          <w:trHeight w:val="186"/>
        </w:trPr>
        <w:tc>
          <w:tcPr>
            <w:tcW w:w="468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(10) (12)</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11.01%</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11.91%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 pbs</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62 pbs</w:t>
            </w:r>
          </w:p>
        </w:tc>
        <w:tc>
          <w:tcPr>
            <w:tcW w:w="0" w:type="dxa"/>
            <w:vAlign w:val="bottom"/>
          </w:tcPr>
          <w:p>
            <w:pPr>
              <w:spacing w:after="0"/>
              <w:rPr>
                <w:sz w:val="1"/>
                <w:szCs w:val="1"/>
                <w:color w:val="auto"/>
              </w:rPr>
            </w:pPr>
          </w:p>
        </w:tc>
      </w:tr>
      <w:tr>
        <w:trPr>
          <w:trHeight w:val="130"/>
        </w:trPr>
        <w:tc>
          <w:tcPr>
            <w:tcW w:w="46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0"/>
                <w:szCs w:val="10"/>
                <w:b w:val="1"/>
                <w:bCs w:val="1"/>
                <w:color w:val="auto"/>
              </w:rPr>
              <w:t xml:space="preserve">Capital adequacy - Mibanco </w:t>
            </w:r>
            <w:r>
              <w:rPr>
                <w:rFonts w:ascii="Arial" w:cs="Arial" w:eastAsia="Arial" w:hAnsi="Arial"/>
                <w:sz w:val="15"/>
                <w:szCs w:val="15"/>
                <w:b w:val="1"/>
                <w:bCs w:val="1"/>
                <w:color w:val="auto"/>
                <w:vertAlign w:val="superscript"/>
              </w:rPr>
              <w:t>(7)</w:t>
            </w: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Global Capital ratio </w:t>
            </w:r>
            <w:r>
              <w:rPr>
                <w:rFonts w:ascii="Arial" w:cs="Arial" w:eastAsia="Arial" w:hAnsi="Arial"/>
                <w:sz w:val="18"/>
                <w:szCs w:val="18"/>
                <w:color w:val="auto"/>
                <w:vertAlign w:val="superscript"/>
              </w:rPr>
              <w:t>(8)</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17.83%</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16.40%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15.61%</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-79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-222 pbs</w:t>
            </w:r>
          </w:p>
        </w:tc>
        <w:tc>
          <w:tcPr>
            <w:tcW w:w="0" w:type="dxa"/>
            <w:vAlign w:val="bottom"/>
          </w:tcPr>
          <w:p>
            <w:pPr>
              <w:spacing w:after="0"/>
              <w:rPr>
                <w:sz w:val="1"/>
                <w:szCs w:val="1"/>
                <w:color w:val="auto"/>
              </w:rPr>
            </w:pPr>
          </w:p>
        </w:tc>
      </w:tr>
      <w:tr>
        <w:trPr>
          <w:trHeight w:val="162"/>
        </w:trPr>
        <w:tc>
          <w:tcPr>
            <w:tcW w:w="46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Tier 1 ratio </w:t>
            </w:r>
            <w:r>
              <w:rPr>
                <w:rFonts w:ascii="Arial" w:cs="Arial" w:eastAsia="Arial" w:hAnsi="Arial"/>
                <w:sz w:val="18"/>
                <w:szCs w:val="18"/>
                <w:color w:val="auto"/>
                <w:vertAlign w:val="superscript"/>
              </w:rPr>
              <w:t>(9)</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14.48%</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13.96%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-72 pbs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-124 pbs</w:t>
            </w:r>
          </w:p>
        </w:tc>
        <w:tc>
          <w:tcPr>
            <w:tcW w:w="0" w:type="dxa"/>
            <w:vAlign w:val="bottom"/>
          </w:tcPr>
          <w:p>
            <w:pPr>
              <w:spacing w:after="0"/>
              <w:rPr>
                <w:sz w:val="1"/>
                <w:szCs w:val="1"/>
                <w:color w:val="auto"/>
              </w:rPr>
            </w:pPr>
          </w:p>
        </w:tc>
      </w:tr>
      <w:tr>
        <w:trPr>
          <w:trHeight w:val="186"/>
        </w:trPr>
        <w:tc>
          <w:tcPr>
            <w:tcW w:w="468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(10) (12)</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14.73%</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15.24%</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15.21%</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 pbs</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48 pbs</w:t>
            </w:r>
          </w:p>
        </w:tc>
        <w:tc>
          <w:tcPr>
            <w:tcW w:w="0" w:type="dxa"/>
            <w:vAlign w:val="bottom"/>
          </w:tcPr>
          <w:p>
            <w:pPr>
              <w:spacing w:after="0"/>
              <w:rPr>
                <w:sz w:val="1"/>
                <w:szCs w:val="1"/>
                <w:color w:val="auto"/>
              </w:rPr>
            </w:pPr>
          </w:p>
        </w:tc>
      </w:tr>
      <w:tr>
        <w:trPr>
          <w:trHeight w:val="153"/>
        </w:trPr>
        <w:tc>
          <w:tcPr>
            <w:tcW w:w="46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Employees</w:t>
            </w:r>
          </w:p>
        </w:tc>
        <w:tc>
          <w:tcPr>
            <w:tcW w:w="134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36,233</w:t>
            </w:r>
          </w:p>
        </w:tc>
        <w:tc>
          <w:tcPr>
            <w:tcW w:w="1220" w:type="dxa"/>
            <w:vAlign w:val="bottom"/>
            <w:tcBorders>
              <w:bottom w:val="single" w:sz="8" w:color="auto"/>
            </w:tcBorders>
          </w:tcPr>
          <w:p>
            <w:pPr>
              <w:jc w:val="right"/>
              <w:ind w:right="128"/>
              <w:spacing w:after="0" w:line="153" w:lineRule="exact"/>
              <w:rPr>
                <w:sz w:val="20"/>
                <w:szCs w:val="20"/>
                <w:color w:val="auto"/>
              </w:rPr>
            </w:pPr>
            <w:r>
              <w:rPr>
                <w:rFonts w:ascii="Arial" w:cs="Arial" w:eastAsia="Arial" w:hAnsi="Arial"/>
                <w:sz w:val="14"/>
                <w:szCs w:val="14"/>
                <w:color w:val="auto"/>
              </w:rPr>
              <w:t>36,358</w:t>
            </w:r>
          </w:p>
        </w:tc>
        <w:tc>
          <w:tcPr>
            <w:tcW w:w="102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36,199</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-0.4%</w:t>
            </w:r>
          </w:p>
        </w:tc>
        <w:tc>
          <w:tcPr>
            <w:tcW w:w="82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9"/>
        </w:trPr>
        <w:tc>
          <w:tcPr>
            <w:tcW w:w="468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Share Information</w:t>
            </w: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68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4"/>
                <w:szCs w:val="14"/>
                <w:color w:val="auto"/>
              </w:rPr>
              <w:t>Issued Shares</w:t>
            </w:r>
          </w:p>
        </w:tc>
        <w:tc>
          <w:tcPr>
            <w:tcW w:w="1340" w:type="dxa"/>
            <w:vAlign w:val="bottom"/>
          </w:tcPr>
          <w:p>
            <w:pPr>
              <w:jc w:val="right"/>
              <w:ind w:right="88"/>
              <w:spacing w:after="0" w:line="154" w:lineRule="exact"/>
              <w:rPr>
                <w:sz w:val="20"/>
                <w:szCs w:val="20"/>
                <w:color w:val="auto"/>
              </w:rPr>
            </w:pPr>
            <w:r>
              <w:rPr>
                <w:rFonts w:ascii="Arial" w:cs="Arial" w:eastAsia="Arial" w:hAnsi="Arial"/>
                <w:sz w:val="14"/>
                <w:szCs w:val="14"/>
                <w:color w:val="auto"/>
              </w:rPr>
              <w:t>94,382</w:t>
            </w:r>
          </w:p>
        </w:tc>
        <w:tc>
          <w:tcPr>
            <w:tcW w:w="1220" w:type="dxa"/>
            <w:vAlign w:val="bottom"/>
          </w:tcPr>
          <w:p>
            <w:pPr>
              <w:jc w:val="right"/>
              <w:ind w:right="128"/>
              <w:spacing w:after="0" w:line="154" w:lineRule="exact"/>
              <w:rPr>
                <w:sz w:val="20"/>
                <w:szCs w:val="20"/>
                <w:color w:val="auto"/>
              </w:rPr>
            </w:pPr>
            <w:r>
              <w:rPr>
                <w:rFonts w:ascii="Arial" w:cs="Arial" w:eastAsia="Arial" w:hAnsi="Arial"/>
                <w:sz w:val="14"/>
                <w:szCs w:val="14"/>
                <w:color w:val="auto"/>
              </w:rPr>
              <w:t>94,382</w:t>
            </w:r>
          </w:p>
        </w:tc>
        <w:tc>
          <w:tcPr>
            <w:tcW w:w="102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94,382</w:t>
            </w:r>
          </w:p>
        </w:tc>
        <w:tc>
          <w:tcPr>
            <w:tcW w:w="1060" w:type="dxa"/>
            <w:vAlign w:val="bottom"/>
          </w:tcPr>
          <w:p>
            <w:pPr>
              <w:jc w:val="right"/>
              <w:ind w:right="88"/>
              <w:spacing w:after="0" w:line="154" w:lineRule="exact"/>
              <w:rPr>
                <w:sz w:val="20"/>
                <w:szCs w:val="20"/>
                <w:color w:val="auto"/>
              </w:rPr>
            </w:pPr>
            <w:r>
              <w:rPr>
                <w:rFonts w:ascii="Arial" w:cs="Arial" w:eastAsia="Arial" w:hAnsi="Arial"/>
                <w:sz w:val="14"/>
                <w:szCs w:val="14"/>
                <w:color w:val="auto"/>
              </w:rPr>
              <w:t>0.0%</w:t>
            </w:r>
          </w:p>
        </w:tc>
        <w:tc>
          <w:tcPr>
            <w:tcW w:w="82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1"/>
        </w:trPr>
        <w:tc>
          <w:tcPr>
            <w:tcW w:w="468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2"/>
                <w:szCs w:val="12"/>
                <w:color w:val="auto"/>
              </w:rPr>
              <w:t xml:space="preserve">Treasury Shares </w:t>
            </w:r>
            <w:r>
              <w:rPr>
                <w:rFonts w:ascii="Arial" w:cs="Arial" w:eastAsia="Arial" w:hAnsi="Arial"/>
                <w:sz w:val="19"/>
                <w:szCs w:val="19"/>
                <w:color w:val="auto"/>
                <w:vertAlign w:val="superscript"/>
              </w:rPr>
              <w:t>(11)</w:t>
            </w:r>
          </w:p>
        </w:tc>
        <w:tc>
          <w:tcPr>
            <w:tcW w:w="1340" w:type="dxa"/>
            <w:vAlign w:val="bottom"/>
          </w:tcPr>
          <w:p>
            <w:pPr>
              <w:jc w:val="right"/>
              <w:ind w:right="88"/>
              <w:spacing w:after="0"/>
              <w:rPr>
                <w:sz w:val="20"/>
                <w:szCs w:val="20"/>
                <w:color w:val="auto"/>
              </w:rPr>
            </w:pPr>
            <w:r>
              <w:rPr>
                <w:rFonts w:ascii="Arial" w:cs="Arial" w:eastAsia="Arial" w:hAnsi="Arial"/>
                <w:sz w:val="14"/>
                <w:szCs w:val="14"/>
                <w:color w:val="auto"/>
              </w:rPr>
              <w:t>14,872</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14,850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14,862</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0.1%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7"/>
        </w:trPr>
        <w:tc>
          <w:tcPr>
            <w:tcW w:w="4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Outstanding Shares</w:t>
            </w:r>
          </w:p>
        </w:tc>
        <w:tc>
          <w:tcPr>
            <w:tcW w:w="1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79,510</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79,532</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79,520</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Internal overdue loans: includes overdue loans and loans under legal collection, according to our internal policy for overdue loans. Internal Overdue ratio: Internal overdue loans / Total loans.</w:t>
      </w:r>
    </w:p>
    <w:p>
      <w:pPr>
        <w:spacing w:after="0" w:line="7"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Non-performing loans (NPL): Internal overdue loans + Refinanced loans. NPL ratio: NPL / Total loans.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Cost of risk: Annualized provision for loan losses, net of recoveries / Total loans.</w:t>
      </w:r>
    </w:p>
    <w:p>
      <w:pPr>
        <w:spacing w:after="0" w:line="4" w:lineRule="exact"/>
        <w:rPr>
          <w:rFonts w:ascii="Times New Roman" w:cs="Times New Roman" w:eastAsia="Times New Roman" w:hAnsi="Times New Roman"/>
          <w:sz w:val="9"/>
          <w:szCs w:val="9"/>
          <w:color w:val="auto"/>
        </w:rPr>
      </w:pPr>
    </w:p>
    <w:p>
      <w:pPr>
        <w:ind w:right="60" w:firstLine="7"/>
        <w:spacing w:after="0" w:line="251" w:lineRule="auto"/>
        <w:tabs>
          <w:tab w:leader="none" w:pos="133"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Combined ratio = (Net claims / Net earned premiums) + [(Acquisition cost + Operating expenses) / Net earned premiums]. Does not include Life insurance business.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Considers Grupo Pacifico's figures before eliminations for consolidation to Credicorp.</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All Capital ratios for BCP Stand-alone and Mibanco are based on Peru GAAP.</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Regulatory Capital / Risk-weighted assets (legal minimum = 10% since July 2011).</w:t>
      </w:r>
    </w:p>
    <w:p>
      <w:pPr>
        <w:spacing w:after="0" w:line="4" w:lineRule="exact"/>
        <w:rPr>
          <w:rFonts w:ascii="Times New Roman" w:cs="Times New Roman" w:eastAsia="Times New Roman" w:hAnsi="Times New Roman"/>
          <w:sz w:val="9"/>
          <w:szCs w:val="9"/>
          <w:color w:val="auto"/>
        </w:rPr>
      </w:pPr>
    </w:p>
    <w:p>
      <w:pPr>
        <w:ind w:right="80" w:firstLine="7"/>
        <w:spacing w:after="0" w:line="251" w:lineRule="auto"/>
        <w:tabs>
          <w:tab w:leader="none" w:pos="133"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80" w:hanging="173"/>
        <w:spacing w:after="0"/>
        <w:tabs>
          <w:tab w:leader="none" w:pos="1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Common Equity Tier I = Capital + Reserves – 100% of applicable deductions (investment in subsidiaries, goodwill, intangibles and net deferred taxes that rely on future profitability) + retained earnings + unrealized gains.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spacing w:after="0" w:line="5" w:lineRule="exact"/>
        <w:rPr>
          <w:sz w:val="20"/>
          <w:szCs w:val="20"/>
          <w:color w:val="auto"/>
        </w:rPr>
      </w:pPr>
    </w:p>
    <w:p>
      <w:pPr>
        <w:ind w:left="180" w:hanging="173"/>
        <w:spacing w:after="0"/>
        <w:tabs>
          <w:tab w:leader="none" w:pos="1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Consider shares held by Atlantic Security Holding Corporation (ASHC) and stock awards.</w:t>
      </w:r>
    </w:p>
    <w:p>
      <w:pPr>
        <w:spacing w:after="0" w:line="4" w:lineRule="exact"/>
        <w:rPr>
          <w:rFonts w:ascii="Times New Roman" w:cs="Times New Roman" w:eastAsia="Times New Roman" w:hAnsi="Times New Roman"/>
          <w:sz w:val="9"/>
          <w:szCs w:val="9"/>
          <w:color w:val="auto"/>
        </w:rPr>
      </w:pPr>
    </w:p>
    <w:p>
      <w:pPr>
        <w:ind w:left="180" w:hanging="173"/>
        <w:spacing w:after="0"/>
        <w:tabs>
          <w:tab w:leader="none" w:pos="1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Common Equity Tier I calculated based on IFRS Accounting.</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2" w:name="page13"/>
    <w:bookmarkEnd w:id="12"/>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Credicorp’s strategy focuses on three priorities:</w:t>
      </w:r>
    </w:p>
    <w:p>
      <w:pPr>
        <w:spacing w:after="0" w:line="191" w:lineRule="exact"/>
        <w:rPr>
          <w:sz w:val="20"/>
          <w:szCs w:val="20"/>
          <w:color w:val="auto"/>
        </w:rPr>
      </w:pPr>
    </w:p>
    <w:p>
      <w:pPr>
        <w:ind w:left="520" w:hanging="253"/>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Accelerating Digital Transformation and Innovation at the Credicorp Level</w:t>
      </w:r>
    </w:p>
    <w:p>
      <w:pPr>
        <w:spacing w:after="0" w:line="15" w:lineRule="exact"/>
        <w:rPr>
          <w:rFonts w:ascii="Arial" w:cs="Arial" w:eastAsia="Arial" w:hAnsi="Arial"/>
          <w:sz w:val="14"/>
          <w:szCs w:val="14"/>
          <w:color w:val="auto"/>
        </w:rPr>
      </w:pPr>
    </w:p>
    <w:p>
      <w:pPr>
        <w:ind w:left="520" w:hanging="253"/>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Ensuring the Best Talent Offering an Integral Value Proposition</w:t>
      </w:r>
    </w:p>
    <w:p>
      <w:pPr>
        <w:spacing w:after="0" w:line="1" w:lineRule="exact"/>
        <w:rPr>
          <w:rFonts w:ascii="Arial" w:cs="Arial" w:eastAsia="Arial" w:hAnsi="Arial"/>
          <w:sz w:val="14"/>
          <w:szCs w:val="14"/>
          <w:color w:val="auto"/>
        </w:rPr>
      </w:pPr>
    </w:p>
    <w:p>
      <w:pPr>
        <w:ind w:left="520" w:hanging="253"/>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Integrating Sustainability, at the Core of How Credicorp Does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Accelerating Digital Transformation and Innovation at the Credicorp Level</w:t>
      </w:r>
    </w:p>
    <w:p>
      <w:pPr>
        <w:spacing w:after="0" w:line="209"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Credicorp’s digital strategy is a fundamental component of its quest to live its purpose, reflect its values and achieve its strategic objectives: Experience, Efficiency and Growth. The Company constantly challenges itself, innovates and disrupts its markets to strengthen its competitive position.</w:t>
      </w:r>
    </w:p>
    <w:p>
      <w:pPr>
        <w:spacing w:after="0" w:line="14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Through its client-centered focus, the Company has been developing its capacities, including: 1) a mindset of self-disruption, 2) an agile culture and focus on the user experience, 3) development of digital talent and 4) solid technological capabilities for Data Analytics, Information Technology and Cybersecurity, with an eye on consolidating its position as a data-driven organization. Credicorp is accelerating its innovation strategy to capture new digital opportunities and expand its market potential. For this purpose, in 1Q22, the Company implemented a governance scheme to further promote innovation across the organization and created two new governance bodies at the Group level:</w:t>
      </w:r>
    </w:p>
    <w:p>
      <w:pPr>
        <w:spacing w:after="0" w:line="158" w:lineRule="exact"/>
        <w:rPr>
          <w:sz w:val="20"/>
          <w:szCs w:val="20"/>
          <w:color w:val="auto"/>
        </w:rPr>
      </w:pPr>
    </w:p>
    <w:p>
      <w:pPr>
        <w:ind w:left="520" w:hanging="253"/>
        <w:spacing w:after="0" w:line="286"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Innovation Committee, which defines the strategic guidelines for innovation at the Credicorp level, including the investment appetite; competitive domains; funding strategy; and resource allotment. This committee will make management decisions with regard to the innovation portfolio; and</w:t>
      </w:r>
    </w:p>
    <w:p>
      <w:pPr>
        <w:spacing w:after="0" w:line="136" w:lineRule="exact"/>
        <w:rPr>
          <w:rFonts w:ascii="Arial" w:cs="Arial" w:eastAsia="Arial" w:hAnsi="Arial"/>
          <w:sz w:val="14"/>
          <w:szCs w:val="14"/>
          <w:color w:val="auto"/>
        </w:rPr>
      </w:pPr>
    </w:p>
    <w:p>
      <w:pPr>
        <w:ind w:left="520" w:hanging="253"/>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Innovation Round Table, which will facilitate the process to identify opportunities and share ideas and synergies within the Group.</w:t>
      </w:r>
    </w:p>
    <w:p>
      <w:pPr>
        <w:spacing w:after="0" w:line="196"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The objective of this new governance structure is to strengthen the Company’s disruptive and entrepreneurial culture while providing an additional layer of management to support innovation and optimize the return on investment in innovation.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Credicorp’s innovation initiatives are taking place: internally, through innovation laboratories at each of our subsidiaries, or externally through Krealo, the Corporate Venture Capital Center.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digital operating indicators listed below are directed at measuring the following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140970</wp:posOffset>
            </wp:positionV>
            <wp:extent cx="151130" cy="144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130" cy="144145"/>
                    </a:xfrm>
                    <a:prstGeom prst="rect">
                      <a:avLst/>
                    </a:prstGeom>
                    <a:noFill/>
                  </pic:spPr>
                </pic:pic>
              </a:graphicData>
            </a:graphic>
          </wp:anchor>
        </w:drawing>
        <w:drawing>
          <wp:anchor simplePos="0" relativeHeight="251657728" behindDoc="1" locked="0" layoutInCell="0" allowOverlap="1">
            <wp:simplePos x="0" y="0"/>
            <wp:positionH relativeFrom="column">
              <wp:posOffset>6991985</wp:posOffset>
            </wp:positionH>
            <wp:positionV relativeFrom="paragraph">
              <wp:posOffset>140970</wp:posOffset>
            </wp:positionV>
            <wp:extent cx="172085" cy="144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2085" cy="144145"/>
                    </a:xfrm>
                    <a:prstGeom prst="rect">
                      <a:avLst/>
                    </a:prstGeom>
                    <a:noFill/>
                  </pic:spPr>
                </pic:pic>
              </a:graphicData>
            </a:graphic>
          </wp:anchor>
        </w:drawing>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3900" w:type="dxa"/>
            <w:vAlign w:val="bottom"/>
            <w:tcBorders>
              <w:left w:val="single" w:sz="8" w:color="2AD2C9"/>
            </w:tcBorders>
            <w:shd w:val="clear" w:color="auto" w:fill="2AD2C9"/>
          </w:tcPr>
          <w:p>
            <w:pPr>
              <w:ind w:left="120"/>
              <w:spacing w:after="0"/>
              <w:rPr>
                <w:sz w:val="20"/>
                <w:szCs w:val="20"/>
                <w:color w:val="auto"/>
              </w:rPr>
            </w:pPr>
            <w:r>
              <w:rPr>
                <w:rFonts w:ascii="Arial" w:cs="Arial" w:eastAsia="Arial" w:hAnsi="Arial"/>
                <w:sz w:val="16"/>
                <w:szCs w:val="16"/>
                <w:b w:val="1"/>
                <w:bCs w:val="1"/>
                <w:color w:val="FFFFFF"/>
              </w:rPr>
              <w:t>Experience</w:t>
            </w:r>
          </w:p>
        </w:tc>
        <w:tc>
          <w:tcPr>
            <w:tcW w:w="2840" w:type="dxa"/>
            <w:vAlign w:val="bottom"/>
            <w:tcBorders>
              <w:right w:val="single" w:sz="8" w:color="2AD2C9"/>
            </w:tcBorders>
            <w:shd w:val="clear" w:color="auto" w:fill="2AD2C9"/>
          </w:tcPr>
          <w:p>
            <w:pPr>
              <w:ind w:left="740"/>
              <w:spacing w:after="0"/>
              <w:rPr>
                <w:sz w:val="20"/>
                <w:szCs w:val="20"/>
                <w:color w:val="auto"/>
              </w:rPr>
            </w:pPr>
            <w:r>
              <w:rPr>
                <w:rFonts w:ascii="Arial" w:cs="Arial" w:eastAsia="Arial" w:hAnsi="Arial"/>
                <w:sz w:val="16"/>
                <w:szCs w:val="16"/>
                <w:b w:val="1"/>
                <w:bCs w:val="1"/>
                <w:color w:val="FFFFFF"/>
              </w:rPr>
              <w:t>Efficiency</w:t>
            </w:r>
          </w:p>
        </w:tc>
        <w:tc>
          <w:tcPr>
            <w:tcW w:w="1140" w:type="dxa"/>
            <w:vAlign w:val="bottom"/>
            <w:tcBorders>
              <w:right w:val="single" w:sz="8" w:color="2AD2C9"/>
            </w:tcBorders>
            <w:shd w:val="clear" w:color="auto" w:fill="2AD2C9"/>
          </w:tcPr>
          <w:p>
            <w:pPr>
              <w:spacing w:after="0"/>
              <w:rPr>
                <w:sz w:val="24"/>
                <w:szCs w:val="24"/>
                <w:color w:val="auto"/>
              </w:rPr>
            </w:pPr>
          </w:p>
        </w:tc>
        <w:tc>
          <w:tcPr>
            <w:tcW w:w="1140" w:type="dxa"/>
            <w:vAlign w:val="bottom"/>
            <w:tcBorders>
              <w:right w:val="single" w:sz="8" w:color="2AD2C9"/>
            </w:tcBorders>
            <w:shd w:val="clear" w:color="auto" w:fill="2AD2C9"/>
          </w:tcPr>
          <w:p>
            <w:pPr>
              <w:spacing w:after="0"/>
              <w:rPr>
                <w:sz w:val="24"/>
                <w:szCs w:val="24"/>
                <w:color w:val="auto"/>
              </w:rPr>
            </w:pPr>
          </w:p>
        </w:tc>
        <w:tc>
          <w:tcPr>
            <w:tcW w:w="1140" w:type="dxa"/>
            <w:vAlign w:val="bottom"/>
            <w:tcBorders>
              <w:right w:val="single" w:sz="8" w:color="2AD2C9"/>
            </w:tcBorders>
            <w:shd w:val="clear" w:color="auto" w:fill="2AD2C9"/>
          </w:tcPr>
          <w:p>
            <w:pPr>
              <w:spacing w:after="0"/>
              <w:rPr>
                <w:sz w:val="24"/>
                <w:szCs w:val="24"/>
                <w:color w:val="auto"/>
              </w:rPr>
            </w:pPr>
          </w:p>
        </w:tc>
        <w:tc>
          <w:tcPr>
            <w:tcW w:w="1160" w:type="dxa"/>
            <w:vAlign w:val="bottom"/>
            <w:gridSpan w:val="2"/>
            <w:shd w:val="clear" w:color="auto" w:fill="2AD2C9"/>
          </w:tcPr>
          <w:p>
            <w:pPr>
              <w:ind w:left="260"/>
              <w:spacing w:after="0"/>
              <w:rPr>
                <w:sz w:val="20"/>
                <w:szCs w:val="20"/>
                <w:color w:val="auto"/>
              </w:rPr>
            </w:pPr>
            <w:r>
              <w:rPr>
                <w:rFonts w:ascii="Arial" w:cs="Arial" w:eastAsia="Arial" w:hAnsi="Arial"/>
                <w:sz w:val="16"/>
                <w:szCs w:val="16"/>
                <w:b w:val="1"/>
                <w:bCs w:val="1"/>
                <w:color w:val="FFFFFF"/>
              </w:rPr>
              <w:t>Growth</w:t>
            </w:r>
          </w:p>
        </w:tc>
      </w:tr>
      <w:tr>
        <w:trPr>
          <w:trHeight w:val="94"/>
        </w:trPr>
        <w:tc>
          <w:tcPr>
            <w:tcW w:w="3900" w:type="dxa"/>
            <w:vAlign w:val="bottom"/>
            <w:tcBorders>
              <w:left w:val="single" w:sz="8" w:color="2AD2C9"/>
            </w:tcBorders>
            <w:shd w:val="clear" w:color="auto" w:fill="2AD2C9"/>
          </w:tcPr>
          <w:p>
            <w:pPr>
              <w:spacing w:after="0"/>
              <w:rPr>
                <w:sz w:val="8"/>
                <w:szCs w:val="8"/>
                <w:color w:val="auto"/>
              </w:rPr>
            </w:pPr>
          </w:p>
        </w:tc>
        <w:tc>
          <w:tcPr>
            <w:tcW w:w="2840" w:type="dxa"/>
            <w:vAlign w:val="bottom"/>
            <w:tcBorders>
              <w:right w:val="single" w:sz="8" w:color="2AD2C9"/>
            </w:tcBorders>
            <w:shd w:val="clear" w:color="auto" w:fill="2AD2C9"/>
          </w:tcPr>
          <w:p>
            <w:pPr>
              <w:spacing w:after="0"/>
              <w:rPr>
                <w:sz w:val="8"/>
                <w:szCs w:val="8"/>
                <w:color w:val="auto"/>
              </w:rPr>
            </w:pPr>
          </w:p>
        </w:tc>
        <w:tc>
          <w:tcPr>
            <w:tcW w:w="1140" w:type="dxa"/>
            <w:vAlign w:val="bottom"/>
            <w:tcBorders>
              <w:right w:val="single" w:sz="8" w:color="2AD2C9"/>
            </w:tcBorders>
            <w:shd w:val="clear" w:color="auto" w:fill="2AD2C9"/>
          </w:tcPr>
          <w:p>
            <w:pPr>
              <w:spacing w:after="0"/>
              <w:rPr>
                <w:sz w:val="8"/>
                <w:szCs w:val="8"/>
                <w:color w:val="auto"/>
              </w:rPr>
            </w:pPr>
          </w:p>
        </w:tc>
        <w:tc>
          <w:tcPr>
            <w:tcW w:w="1140" w:type="dxa"/>
            <w:vAlign w:val="bottom"/>
            <w:tcBorders>
              <w:right w:val="single" w:sz="8" w:color="2AD2C9"/>
            </w:tcBorders>
            <w:shd w:val="clear" w:color="auto" w:fill="2AD2C9"/>
          </w:tcPr>
          <w:p>
            <w:pPr>
              <w:spacing w:after="0"/>
              <w:rPr>
                <w:sz w:val="8"/>
                <w:szCs w:val="8"/>
                <w:color w:val="auto"/>
              </w:rPr>
            </w:pPr>
          </w:p>
        </w:tc>
        <w:tc>
          <w:tcPr>
            <w:tcW w:w="1140" w:type="dxa"/>
            <w:vAlign w:val="bottom"/>
            <w:tcBorders>
              <w:right w:val="single" w:sz="8" w:color="2AD2C9"/>
            </w:tcBorders>
            <w:shd w:val="clear" w:color="auto" w:fill="2AD2C9"/>
          </w:tcPr>
          <w:p>
            <w:pPr>
              <w:spacing w:after="0"/>
              <w:rPr>
                <w:sz w:val="8"/>
                <w:szCs w:val="8"/>
                <w:color w:val="auto"/>
              </w:rPr>
            </w:pPr>
          </w:p>
        </w:tc>
        <w:tc>
          <w:tcPr>
            <w:tcW w:w="1140" w:type="dxa"/>
            <w:vAlign w:val="bottom"/>
            <w:tcBorders>
              <w:right w:val="single" w:sz="8" w:color="2AD2C9"/>
            </w:tcBorders>
            <w:shd w:val="clear" w:color="auto" w:fill="2AD2C9"/>
          </w:tcPr>
          <w:p>
            <w:pPr>
              <w:spacing w:after="0"/>
              <w:rPr>
                <w:sz w:val="8"/>
                <w:szCs w:val="8"/>
                <w:color w:val="auto"/>
              </w:rPr>
            </w:pPr>
          </w:p>
        </w:tc>
        <w:tc>
          <w:tcPr>
            <w:tcW w:w="20" w:type="dxa"/>
            <w:vAlign w:val="bottom"/>
            <w:shd w:val="clear" w:color="auto" w:fill="2AD2C9"/>
          </w:tcPr>
          <w:p>
            <w:pPr>
              <w:spacing w:after="0"/>
              <w:rPr>
                <w:sz w:val="8"/>
                <w:szCs w:val="8"/>
                <w:color w:val="auto"/>
              </w:rPr>
            </w:pPr>
          </w:p>
        </w:tc>
      </w:tr>
      <w:tr>
        <w:trPr>
          <w:trHeight w:val="195"/>
        </w:trPr>
        <w:tc>
          <w:tcPr>
            <w:tcW w:w="39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3900" w:type="dxa"/>
            <w:vAlign w:val="bottom"/>
            <w:tcBorders>
              <w:left w:val="single" w:sz="8" w:color="auto"/>
              <w:bottom w:val="single" w:sz="8" w:color="auto"/>
            </w:tcBorders>
            <w:shd w:val="clear" w:color="auto" w:fill="2AD2C9"/>
          </w:tcPr>
          <w:p>
            <w:pPr>
              <w:ind w:left="120"/>
              <w:spacing w:after="0" w:line="154" w:lineRule="exact"/>
              <w:rPr>
                <w:sz w:val="20"/>
                <w:szCs w:val="20"/>
                <w:color w:val="auto"/>
              </w:rPr>
            </w:pPr>
            <w:r>
              <w:rPr>
                <w:rFonts w:ascii="Arial" w:cs="Arial" w:eastAsia="Arial" w:hAnsi="Arial"/>
                <w:sz w:val="11"/>
                <w:szCs w:val="11"/>
                <w:b w:val="1"/>
                <w:bCs w:val="1"/>
                <w:i w:val="1"/>
                <w:iCs w:val="1"/>
                <w:color w:val="FFFFFF"/>
              </w:rPr>
              <w:t xml:space="preserve">Transformation of traditional businesses </w:t>
            </w:r>
            <w:r>
              <w:rPr>
                <w:rFonts w:ascii="Arial" w:cs="Arial" w:eastAsia="Arial" w:hAnsi="Arial"/>
                <w:sz w:val="17"/>
                <w:szCs w:val="17"/>
                <w:b w:val="1"/>
                <w:bCs w:val="1"/>
                <w:i w:val="1"/>
                <w:iCs w:val="1"/>
                <w:color w:val="FFFFFF"/>
                <w:vertAlign w:val="superscript"/>
              </w:rPr>
              <w:t>(1)</w:t>
            </w:r>
          </w:p>
        </w:tc>
        <w:tc>
          <w:tcPr>
            <w:tcW w:w="2840" w:type="dxa"/>
            <w:vAlign w:val="bottom"/>
            <w:tcBorders>
              <w:bottom w:val="single" w:sz="8" w:color="auto"/>
              <w:right w:val="single" w:sz="8" w:color="auto"/>
            </w:tcBorders>
            <w:shd w:val="clear" w:color="auto" w:fill="2AD2C9"/>
          </w:tcPr>
          <w:p>
            <w:pPr>
              <w:spacing w:after="0"/>
              <w:rPr>
                <w:sz w:val="13"/>
                <w:szCs w:val="13"/>
                <w:color w:val="auto"/>
              </w:rPr>
            </w:pPr>
          </w:p>
        </w:tc>
        <w:tc>
          <w:tcPr>
            <w:tcW w:w="1140" w:type="dxa"/>
            <w:vAlign w:val="bottom"/>
            <w:tcBorders>
              <w:bottom w:val="single" w:sz="8" w:color="auto"/>
              <w:right w:val="single" w:sz="8" w:color="auto"/>
            </w:tcBorders>
            <w:shd w:val="clear" w:color="auto" w:fill="2AD2C9"/>
          </w:tcPr>
          <w:p>
            <w:pPr>
              <w:spacing w:after="0" w:line="153" w:lineRule="exact"/>
              <w:rPr>
                <w:sz w:val="20"/>
                <w:szCs w:val="20"/>
                <w:color w:val="auto"/>
              </w:rPr>
            </w:pPr>
            <w:r>
              <w:rPr>
                <w:rFonts w:ascii="Arial" w:cs="Arial" w:eastAsia="Arial" w:hAnsi="Arial"/>
                <w:sz w:val="14"/>
                <w:szCs w:val="14"/>
                <w:b w:val="1"/>
                <w:bCs w:val="1"/>
                <w:i w:val="1"/>
                <w:iCs w:val="1"/>
                <w:color w:val="FFFFFF"/>
              </w:rPr>
              <w:t>Subsidiary</w:t>
            </w:r>
          </w:p>
        </w:tc>
        <w:tc>
          <w:tcPr>
            <w:tcW w:w="1140" w:type="dxa"/>
            <w:vAlign w:val="bottom"/>
            <w:tcBorders>
              <w:bottom w:val="single" w:sz="8" w:color="auto"/>
              <w:right w:val="single" w:sz="8" w:color="auto"/>
            </w:tcBorders>
            <w:shd w:val="clear" w:color="auto" w:fill="2AD2C9"/>
          </w:tcPr>
          <w:p>
            <w:pPr>
              <w:jc w:val="center"/>
              <w:spacing w:after="0" w:line="153" w:lineRule="exact"/>
              <w:rPr>
                <w:sz w:val="20"/>
                <w:szCs w:val="20"/>
                <w:color w:val="auto"/>
              </w:rPr>
            </w:pPr>
            <w:r>
              <w:rPr>
                <w:rFonts w:ascii="Arial" w:cs="Arial" w:eastAsia="Arial" w:hAnsi="Arial"/>
                <w:sz w:val="14"/>
                <w:szCs w:val="14"/>
                <w:b w:val="1"/>
                <w:bCs w:val="1"/>
                <w:i w:val="1"/>
                <w:iCs w:val="1"/>
                <w:color w:val="FFFFFF"/>
                <w:w w:val="99"/>
              </w:rPr>
              <w:t>1Q19</w:t>
            </w:r>
          </w:p>
        </w:tc>
        <w:tc>
          <w:tcPr>
            <w:tcW w:w="1140" w:type="dxa"/>
            <w:vAlign w:val="bottom"/>
            <w:tcBorders>
              <w:bottom w:val="single" w:sz="8" w:color="auto"/>
              <w:right w:val="single" w:sz="8" w:color="auto"/>
            </w:tcBorders>
            <w:shd w:val="clear" w:color="auto" w:fill="2AD2C9"/>
          </w:tcPr>
          <w:p>
            <w:pPr>
              <w:jc w:val="center"/>
              <w:spacing w:after="0" w:line="153" w:lineRule="exact"/>
              <w:rPr>
                <w:sz w:val="20"/>
                <w:szCs w:val="20"/>
                <w:color w:val="auto"/>
              </w:rPr>
            </w:pPr>
            <w:r>
              <w:rPr>
                <w:rFonts w:ascii="Arial" w:cs="Arial" w:eastAsia="Arial" w:hAnsi="Arial"/>
                <w:sz w:val="14"/>
                <w:szCs w:val="14"/>
                <w:b w:val="1"/>
                <w:bCs w:val="1"/>
                <w:i w:val="1"/>
                <w:iCs w:val="1"/>
                <w:color w:val="FFFFFF"/>
                <w:w w:val="99"/>
              </w:rPr>
              <w:t>1Q21</w:t>
            </w:r>
          </w:p>
        </w:tc>
        <w:tc>
          <w:tcPr>
            <w:tcW w:w="1140" w:type="dxa"/>
            <w:vAlign w:val="bottom"/>
            <w:tcBorders>
              <w:bottom w:val="single" w:sz="8" w:color="auto"/>
              <w:right w:val="single" w:sz="8" w:color="auto"/>
            </w:tcBorders>
            <w:shd w:val="clear" w:color="auto" w:fill="2AD2C9"/>
          </w:tcPr>
          <w:p>
            <w:pPr>
              <w:jc w:val="center"/>
              <w:spacing w:after="0" w:line="153" w:lineRule="exact"/>
              <w:rPr>
                <w:sz w:val="20"/>
                <w:szCs w:val="20"/>
                <w:color w:val="auto"/>
              </w:rPr>
            </w:pPr>
            <w:r>
              <w:rPr>
                <w:rFonts w:ascii="Arial" w:cs="Arial" w:eastAsia="Arial" w:hAnsi="Arial"/>
                <w:sz w:val="14"/>
                <w:szCs w:val="14"/>
                <w:b w:val="1"/>
                <w:bCs w:val="1"/>
                <w:i w:val="1"/>
                <w:iCs w:val="1"/>
                <w:color w:val="FFFFFF"/>
                <w:w w:val="99"/>
              </w:rPr>
              <w:t>1Q22</w:t>
            </w:r>
          </w:p>
        </w:tc>
        <w:tc>
          <w:tcPr>
            <w:tcW w:w="20" w:type="dxa"/>
            <w:vAlign w:val="bottom"/>
          </w:tcPr>
          <w:p>
            <w:pPr>
              <w:spacing w:after="0"/>
              <w:rPr>
                <w:sz w:val="13"/>
                <w:szCs w:val="13"/>
                <w:color w:val="auto"/>
              </w:rPr>
            </w:pPr>
          </w:p>
        </w:tc>
      </w:tr>
      <w:tr>
        <w:trPr>
          <w:trHeight w:val="152"/>
        </w:trPr>
        <w:tc>
          <w:tcPr>
            <w:tcW w:w="3900" w:type="dxa"/>
            <w:vAlign w:val="bottom"/>
            <w:tcBorders>
              <w:left w:val="single" w:sz="8" w:color="auto"/>
            </w:tcBorders>
          </w:tcPr>
          <w:p>
            <w:pPr>
              <w:ind w:left="120"/>
              <w:spacing w:after="0" w:line="151" w:lineRule="exact"/>
              <w:rPr>
                <w:sz w:val="20"/>
                <w:szCs w:val="20"/>
                <w:color w:val="auto"/>
              </w:rPr>
            </w:pPr>
            <w:r>
              <w:rPr>
                <w:rFonts w:ascii="Arial" w:cs="Arial" w:eastAsia="Arial" w:hAnsi="Arial"/>
                <w:sz w:val="14"/>
                <w:szCs w:val="14"/>
                <w:b w:val="1"/>
                <w:bCs w:val="1"/>
                <w:i w:val="1"/>
                <w:iCs w:val="1"/>
                <w:color w:val="auto"/>
              </w:rPr>
              <w:t>Day-to-day</w:t>
            </w:r>
          </w:p>
        </w:tc>
        <w:tc>
          <w:tcPr>
            <w:tcW w:w="28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3900" w:type="dxa"/>
            <w:vAlign w:val="bottom"/>
            <w:tcBorders>
              <w:left w:val="single" w:sz="8" w:color="auto"/>
            </w:tcBorders>
          </w:tcPr>
          <w:p>
            <w:pPr>
              <w:ind w:left="120"/>
              <w:spacing w:after="0" w:line="184" w:lineRule="exact"/>
              <w:rPr>
                <w:sz w:val="20"/>
                <w:szCs w:val="20"/>
                <w:color w:val="auto"/>
              </w:rPr>
            </w:pPr>
            <w:r>
              <w:rPr>
                <w:rFonts w:ascii="Arial" w:cs="Arial" w:eastAsia="Arial" w:hAnsi="Arial"/>
                <w:sz w:val="13"/>
                <w:szCs w:val="13"/>
                <w:color w:val="auto"/>
              </w:rPr>
              <w:t xml:space="preserve">Digital Clients </w:t>
            </w:r>
            <w:r>
              <w:rPr>
                <w:rFonts w:ascii="Arial" w:cs="Arial" w:eastAsia="Arial" w:hAnsi="Arial"/>
                <w:sz w:val="21"/>
                <w:szCs w:val="21"/>
                <w:color w:val="auto"/>
                <w:vertAlign w:val="superscript"/>
              </w:rPr>
              <w:t>(2)</w:t>
            </w:r>
          </w:p>
        </w:tc>
        <w:tc>
          <w:tcPr>
            <w:tcW w:w="28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BCP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6"/>
                <w:szCs w:val="16"/>
                <w:color w:val="auto"/>
              </w:rPr>
            </w:pPr>
          </w:p>
        </w:tc>
      </w:tr>
      <w:tr>
        <w:trPr>
          <w:trHeight w:val="193"/>
        </w:trPr>
        <w:tc>
          <w:tcPr>
            <w:tcW w:w="3900" w:type="dxa"/>
            <w:vAlign w:val="bottom"/>
            <w:tcBorders>
              <w:left w:val="single" w:sz="8" w:color="auto"/>
            </w:tcBorders>
          </w:tcPr>
          <w:p>
            <w:pPr>
              <w:ind w:left="120"/>
              <w:spacing w:after="0" w:line="192" w:lineRule="exact"/>
              <w:rPr>
                <w:sz w:val="20"/>
                <w:szCs w:val="20"/>
                <w:color w:val="auto"/>
              </w:rPr>
            </w:pPr>
            <w:r>
              <w:rPr>
                <w:rFonts w:ascii="Arial" w:cs="Arial" w:eastAsia="Arial" w:hAnsi="Arial"/>
                <w:sz w:val="13"/>
                <w:szCs w:val="13"/>
                <w:color w:val="auto"/>
              </w:rPr>
              <w:t xml:space="preserve">Digital Monetary Transactions </w:t>
            </w:r>
            <w:r>
              <w:rPr>
                <w:rFonts w:ascii="Arial" w:cs="Arial" w:eastAsia="Arial" w:hAnsi="Arial"/>
                <w:sz w:val="22"/>
                <w:szCs w:val="22"/>
                <w:color w:val="auto"/>
                <w:vertAlign w:val="superscript"/>
              </w:rPr>
              <w:t>(3)</w:t>
            </w:r>
          </w:p>
        </w:tc>
        <w:tc>
          <w:tcPr>
            <w:tcW w:w="28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BCP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6"/>
                <w:szCs w:val="16"/>
                <w:color w:val="auto"/>
              </w:rPr>
            </w:pPr>
          </w:p>
        </w:tc>
      </w:tr>
      <w:tr>
        <w:trPr>
          <w:trHeight w:val="175"/>
        </w:trPr>
        <w:tc>
          <w:tcPr>
            <w:tcW w:w="3900" w:type="dxa"/>
            <w:vAlign w:val="bottom"/>
            <w:tcBorders>
              <w:left w:val="single" w:sz="8" w:color="auto"/>
            </w:tcBorders>
          </w:tcPr>
          <w:p>
            <w:pPr>
              <w:ind w:left="120"/>
              <w:spacing w:after="0"/>
              <w:rPr>
                <w:sz w:val="20"/>
                <w:szCs w:val="20"/>
                <w:color w:val="auto"/>
              </w:rPr>
            </w:pPr>
            <w:r>
              <w:rPr>
                <w:rFonts w:ascii="Arial" w:cs="Arial" w:eastAsia="Arial" w:hAnsi="Arial"/>
                <w:sz w:val="14"/>
                <w:szCs w:val="14"/>
                <w:color w:val="auto"/>
              </w:rPr>
              <w:t>Transactional Cost per Unit (S/)</w:t>
            </w:r>
          </w:p>
        </w:tc>
        <w:tc>
          <w:tcPr>
            <w:tcW w:w="284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BCP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0.40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0.15</w:t>
            </w:r>
          </w:p>
        </w:tc>
        <w:tc>
          <w:tcPr>
            <w:tcW w:w="20" w:type="dxa"/>
            <w:vAlign w:val="bottom"/>
          </w:tcPr>
          <w:p>
            <w:pPr>
              <w:spacing w:after="0"/>
              <w:rPr>
                <w:sz w:val="15"/>
                <w:szCs w:val="15"/>
                <w:color w:val="auto"/>
              </w:rPr>
            </w:pPr>
          </w:p>
        </w:tc>
      </w:tr>
      <w:tr>
        <w:trPr>
          <w:trHeight w:val="184"/>
        </w:trPr>
        <w:tc>
          <w:tcPr>
            <w:tcW w:w="3900" w:type="dxa"/>
            <w:vAlign w:val="bottom"/>
            <w:tcBorders>
              <w:left w:val="single" w:sz="8" w:color="auto"/>
            </w:tcBorders>
          </w:tcPr>
          <w:p>
            <w:pPr>
              <w:ind w:left="120"/>
              <w:spacing w:after="0" w:line="184" w:lineRule="exact"/>
              <w:rPr>
                <w:sz w:val="20"/>
                <w:szCs w:val="20"/>
                <w:color w:val="auto"/>
              </w:rPr>
            </w:pPr>
            <w:r>
              <w:rPr>
                <w:rFonts w:ascii="Arial" w:cs="Arial" w:eastAsia="Arial" w:hAnsi="Arial"/>
                <w:sz w:val="13"/>
                <w:szCs w:val="13"/>
                <w:color w:val="auto"/>
              </w:rPr>
              <w:t xml:space="preserve">Disbursements through Leads </w:t>
            </w:r>
            <w:r>
              <w:rPr>
                <w:rFonts w:ascii="Arial" w:cs="Arial" w:eastAsia="Arial" w:hAnsi="Arial"/>
                <w:sz w:val="21"/>
                <w:szCs w:val="21"/>
                <w:color w:val="auto"/>
                <w:vertAlign w:val="superscript"/>
              </w:rPr>
              <w:t>(4)</w:t>
            </w:r>
          </w:p>
        </w:tc>
        <w:tc>
          <w:tcPr>
            <w:tcW w:w="28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Mibanco</w:t>
            </w:r>
          </w:p>
        </w:tc>
        <w:tc>
          <w:tcPr>
            <w:tcW w:w="1140" w:type="dxa"/>
            <w:vAlign w:val="bottom"/>
            <w:tcBorders>
              <w:right w:val="single" w:sz="8" w:color="auto"/>
            </w:tcBorders>
          </w:tcPr>
          <w:p>
            <w:pPr>
              <w:ind w:left="420"/>
              <w:spacing w:after="0"/>
              <w:rPr>
                <w:sz w:val="20"/>
                <w:szCs w:val="20"/>
                <w:color w:val="auto"/>
              </w:rPr>
            </w:pPr>
            <w:r>
              <w:rPr>
                <w:rFonts w:ascii="Arial" w:cs="Arial" w:eastAsia="Arial" w:hAnsi="Arial"/>
                <w:sz w:val="14"/>
                <w:szCs w:val="14"/>
                <w:color w:val="auto"/>
              </w:rPr>
              <w:t>N.A.</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76.9%</w:t>
            </w:r>
          </w:p>
        </w:tc>
        <w:tc>
          <w:tcPr>
            <w:tcW w:w="20" w:type="dxa"/>
            <w:vAlign w:val="bottom"/>
          </w:tcPr>
          <w:p>
            <w:pPr>
              <w:spacing w:after="0"/>
              <w:rPr>
                <w:sz w:val="16"/>
                <w:szCs w:val="16"/>
                <w:color w:val="auto"/>
              </w:rPr>
            </w:pPr>
          </w:p>
        </w:tc>
      </w:tr>
      <w:tr>
        <w:trPr>
          <w:trHeight w:val="186"/>
        </w:trPr>
        <w:tc>
          <w:tcPr>
            <w:tcW w:w="3900" w:type="dxa"/>
            <w:vAlign w:val="bottom"/>
            <w:tcBorders>
              <w:left w:val="single" w:sz="8" w:color="auto"/>
              <w:bottom w:val="single" w:sz="8" w:color="auto"/>
            </w:tcBorders>
          </w:tcPr>
          <w:p>
            <w:pPr>
              <w:ind w:left="120"/>
              <w:spacing w:after="0" w:line="186" w:lineRule="exact"/>
              <w:rPr>
                <w:sz w:val="20"/>
                <w:szCs w:val="20"/>
                <w:color w:val="auto"/>
              </w:rPr>
            </w:pPr>
            <w:r>
              <w:rPr>
                <w:rFonts w:ascii="Arial" w:cs="Arial" w:eastAsia="Arial" w:hAnsi="Arial"/>
                <w:sz w:val="13"/>
                <w:szCs w:val="13"/>
                <w:color w:val="auto"/>
              </w:rPr>
              <w:t xml:space="preserve">Disbursements through Alternative Channels </w:t>
            </w:r>
            <w:r>
              <w:rPr>
                <w:rFonts w:ascii="Arial" w:cs="Arial" w:eastAsia="Arial" w:hAnsi="Arial"/>
                <w:sz w:val="21"/>
                <w:szCs w:val="21"/>
                <w:color w:val="auto"/>
                <w:vertAlign w:val="superscript"/>
              </w:rPr>
              <w:t>(5)</w:t>
            </w:r>
          </w:p>
        </w:tc>
        <w:tc>
          <w:tcPr>
            <w:tcW w:w="28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Mibanco</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15.1%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45.5%</w:t>
            </w:r>
          </w:p>
        </w:tc>
        <w:tc>
          <w:tcPr>
            <w:tcW w:w="20" w:type="dxa"/>
            <w:vAlign w:val="bottom"/>
          </w:tcPr>
          <w:p>
            <w:pPr>
              <w:spacing w:after="0"/>
              <w:rPr>
                <w:sz w:val="16"/>
                <w:szCs w:val="16"/>
                <w:color w:val="auto"/>
              </w:rPr>
            </w:pPr>
          </w:p>
        </w:tc>
      </w:tr>
      <w:tr>
        <w:trPr>
          <w:trHeight w:val="152"/>
        </w:trPr>
        <w:tc>
          <w:tcPr>
            <w:tcW w:w="3900" w:type="dxa"/>
            <w:vAlign w:val="bottom"/>
            <w:tcBorders>
              <w:left w:val="single" w:sz="8" w:color="auto"/>
            </w:tcBorders>
          </w:tcPr>
          <w:p>
            <w:pPr>
              <w:ind w:left="120"/>
              <w:spacing w:after="0" w:line="151" w:lineRule="exact"/>
              <w:rPr>
                <w:sz w:val="20"/>
                <w:szCs w:val="20"/>
                <w:color w:val="auto"/>
              </w:rPr>
            </w:pPr>
            <w:r>
              <w:rPr>
                <w:rFonts w:ascii="Arial" w:cs="Arial" w:eastAsia="Arial" w:hAnsi="Arial"/>
                <w:sz w:val="14"/>
                <w:szCs w:val="14"/>
                <w:b w:val="1"/>
                <w:bCs w:val="1"/>
                <w:i w:val="1"/>
                <w:iCs w:val="1"/>
                <w:color w:val="auto"/>
              </w:rPr>
              <w:t>Cashless</w:t>
            </w:r>
          </w:p>
        </w:tc>
        <w:tc>
          <w:tcPr>
            <w:tcW w:w="28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900" w:type="dxa"/>
            <w:vAlign w:val="bottom"/>
            <w:tcBorders>
              <w:left w:val="single" w:sz="8" w:color="auto"/>
            </w:tcBorders>
          </w:tcPr>
          <w:p>
            <w:pPr>
              <w:ind w:left="120"/>
              <w:spacing w:after="0" w:line="172" w:lineRule="exact"/>
              <w:rPr>
                <w:sz w:val="20"/>
                <w:szCs w:val="20"/>
                <w:color w:val="auto"/>
              </w:rPr>
            </w:pPr>
            <w:r>
              <w:rPr>
                <w:rFonts w:ascii="Arial" w:cs="Arial" w:eastAsia="Arial" w:hAnsi="Arial"/>
                <w:sz w:val="12"/>
                <w:szCs w:val="12"/>
                <w:color w:val="auto"/>
              </w:rPr>
              <w:t xml:space="preserve">Cashless Transactions </w:t>
            </w:r>
            <w:r>
              <w:rPr>
                <w:rFonts w:ascii="Arial" w:cs="Arial" w:eastAsia="Arial" w:hAnsi="Arial"/>
                <w:sz w:val="19"/>
                <w:szCs w:val="19"/>
                <w:color w:val="auto"/>
                <w:vertAlign w:val="superscript"/>
              </w:rPr>
              <w:t>(6)</w:t>
            </w:r>
          </w:p>
        </w:tc>
        <w:tc>
          <w:tcPr>
            <w:tcW w:w="28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BCP</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r>
      <w:tr>
        <w:trPr>
          <w:trHeight w:val="177"/>
        </w:trPr>
        <w:tc>
          <w:tcPr>
            <w:tcW w:w="39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Mobile Banking Rating</w:t>
            </w:r>
          </w:p>
        </w:tc>
        <w:tc>
          <w:tcPr>
            <w:tcW w:w="28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BCP</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5"/>
                <w:szCs w:val="15"/>
                <w:color w:val="auto"/>
              </w:rPr>
            </w:pPr>
          </w:p>
        </w:tc>
      </w:tr>
      <w:tr>
        <w:trPr>
          <w:trHeight w:val="152"/>
        </w:trPr>
        <w:tc>
          <w:tcPr>
            <w:tcW w:w="3900" w:type="dxa"/>
            <w:vAlign w:val="bottom"/>
            <w:tcBorders>
              <w:left w:val="single" w:sz="8" w:color="auto"/>
            </w:tcBorders>
          </w:tcPr>
          <w:p>
            <w:pPr>
              <w:ind w:left="120"/>
              <w:spacing w:after="0" w:line="151" w:lineRule="exact"/>
              <w:rPr>
                <w:sz w:val="20"/>
                <w:szCs w:val="20"/>
                <w:color w:val="auto"/>
              </w:rPr>
            </w:pPr>
            <w:r>
              <w:rPr>
                <w:rFonts w:ascii="Arial" w:cs="Arial" w:eastAsia="Arial" w:hAnsi="Arial"/>
                <w:sz w:val="14"/>
                <w:szCs w:val="14"/>
                <w:b w:val="1"/>
                <w:bCs w:val="1"/>
                <w:i w:val="1"/>
                <w:iCs w:val="1"/>
                <w:color w:val="auto"/>
              </w:rPr>
              <w:t>Digital Acquisition</w:t>
            </w:r>
          </w:p>
        </w:tc>
        <w:tc>
          <w:tcPr>
            <w:tcW w:w="28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3900" w:type="dxa"/>
            <w:vAlign w:val="bottom"/>
            <w:tcBorders>
              <w:left w:val="single" w:sz="8" w:color="auto"/>
              <w:bottom w:val="single" w:sz="8" w:color="auto"/>
            </w:tcBorders>
          </w:tcPr>
          <w:p>
            <w:pPr>
              <w:ind w:left="120"/>
              <w:spacing w:after="0" w:line="186" w:lineRule="exact"/>
              <w:rPr>
                <w:sz w:val="20"/>
                <w:szCs w:val="20"/>
                <w:color w:val="auto"/>
              </w:rPr>
            </w:pPr>
            <w:r>
              <w:rPr>
                <w:rFonts w:ascii="Arial" w:cs="Arial" w:eastAsia="Arial" w:hAnsi="Arial"/>
                <w:sz w:val="13"/>
                <w:szCs w:val="13"/>
                <w:color w:val="auto"/>
              </w:rPr>
              <w:t xml:space="preserve">Digital Sales </w:t>
            </w:r>
            <w:r>
              <w:rPr>
                <w:rFonts w:ascii="Arial" w:cs="Arial" w:eastAsia="Arial" w:hAnsi="Arial"/>
                <w:sz w:val="21"/>
                <w:szCs w:val="21"/>
                <w:color w:val="auto"/>
                <w:vertAlign w:val="superscript"/>
              </w:rPr>
              <w:t>(7)</w:t>
            </w:r>
          </w:p>
        </w:tc>
        <w:tc>
          <w:tcPr>
            <w:tcW w:w="284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BCP</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-1725295</wp:posOffset>
            </wp:positionV>
            <wp:extent cx="179070" cy="137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070" cy="13779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-1148080</wp:posOffset>
            </wp:positionV>
            <wp:extent cx="116840" cy="5848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6840" cy="58483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-453390</wp:posOffset>
            </wp:positionV>
            <wp:extent cx="116840" cy="213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6840" cy="213360"/>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-123190</wp:posOffset>
            </wp:positionV>
            <wp:extent cx="116840" cy="116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Figures as of March 2019, 2021 and 2022</w:t>
      </w:r>
    </w:p>
    <w:p>
      <w:pPr>
        <w:spacing w:after="0" w:line="41" w:lineRule="exact"/>
        <w:rPr>
          <w:rFonts w:ascii="Arial" w:cs="Arial" w:eastAsia="Arial" w:hAnsi="Arial"/>
          <w:sz w:val="9"/>
          <w:szCs w:val="9"/>
          <w:color w:val="auto"/>
        </w:rPr>
      </w:pP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Digital clients: Retail banking customers who carry out 50% of their monetary transactions through digital channels; or bought products online in the last 12 months. Digital Clients/ Total retail clients.</w:t>
      </w:r>
    </w:p>
    <w:p>
      <w:pPr>
        <w:spacing w:after="0" w:line="48" w:lineRule="exact"/>
        <w:rPr>
          <w:rFonts w:ascii="Arial" w:cs="Arial" w:eastAsia="Arial" w:hAnsi="Arial"/>
          <w:sz w:val="9"/>
          <w:szCs w:val="9"/>
          <w:color w:val="auto"/>
        </w:rPr>
      </w:pP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Retail Transactions made through Mobile Banking, Internet Banking, Yape and Telecredito / Total Retail monetary transactions.</w:t>
      </w:r>
    </w:p>
    <w:p>
      <w:pPr>
        <w:spacing w:after="0" w:line="48" w:lineRule="exact"/>
        <w:rPr>
          <w:rFonts w:ascii="Arial" w:cs="Arial" w:eastAsia="Arial" w:hAnsi="Arial"/>
          <w:sz w:val="9"/>
          <w:szCs w:val="9"/>
          <w:color w:val="auto"/>
        </w:rPr>
      </w:pP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Disbursements generated by a lead/ Total disbursements.</w:t>
      </w:r>
    </w:p>
    <w:p>
      <w:pPr>
        <w:spacing w:after="0" w:line="48" w:lineRule="exact"/>
        <w:rPr>
          <w:rFonts w:ascii="Arial" w:cs="Arial" w:eastAsia="Arial" w:hAnsi="Arial"/>
          <w:sz w:val="9"/>
          <w:szCs w:val="9"/>
          <w:color w:val="auto"/>
        </w:rPr>
      </w:pP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Disbursements made to alternative channels/ Total disbursements.</w:t>
      </w:r>
    </w:p>
    <w:p>
      <w:pPr>
        <w:spacing w:after="0" w:line="48" w:lineRule="exact"/>
        <w:rPr>
          <w:rFonts w:ascii="Arial" w:cs="Arial" w:eastAsia="Arial" w:hAnsi="Arial"/>
          <w:sz w:val="9"/>
          <w:szCs w:val="9"/>
          <w:color w:val="auto"/>
        </w:rPr>
      </w:pP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Retail amount transacted through Mobile Banking, Internet Banking, Yape and POS/ Total retail amount transacted.</w:t>
      </w:r>
    </w:p>
    <w:p>
      <w:pPr>
        <w:spacing w:after="0" w:line="48" w:lineRule="exact"/>
        <w:rPr>
          <w:rFonts w:ascii="Arial" w:cs="Arial" w:eastAsia="Arial" w:hAnsi="Arial"/>
          <w:sz w:val="9"/>
          <w:szCs w:val="9"/>
          <w:color w:val="auto"/>
        </w:rPr>
      </w:pPr>
    </w:p>
    <w:p>
      <w:pPr>
        <w:ind w:left="660" w:hanging="253"/>
        <w:spacing w:after="0"/>
        <w:tabs>
          <w:tab w:leader="none" w:pos="660" w:val="left"/>
        </w:tabs>
        <w:numPr>
          <w:ilvl w:val="0"/>
          <w:numId w:val="10"/>
        </w:numPr>
        <w:rPr>
          <w:rFonts w:ascii="Arial" w:cs="Arial" w:eastAsia="Arial" w:hAnsi="Arial"/>
          <w:sz w:val="9"/>
          <w:szCs w:val="9"/>
          <w:color w:val="auto"/>
        </w:rPr>
      </w:pPr>
      <w:r>
        <w:rPr>
          <w:rFonts w:ascii="Arial" w:cs="Arial" w:eastAsia="Arial" w:hAnsi="Arial"/>
          <w:sz w:val="9"/>
          <w:szCs w:val="9"/>
          <w:color w:val="auto"/>
        </w:rPr>
        <w:t>Retail Units sold through digital channels/ Total Retail Units sold.</w:t>
      </w:r>
    </w:p>
    <w:p>
      <w:pPr>
        <w:spacing w:after="0" w:line="362"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5962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3" w:name="page14"/>
    <w:bookmarkEnd w:id="13"/>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78" w:lineRule="exact"/>
        <w:rPr>
          <w:sz w:val="20"/>
          <w:szCs w:val="20"/>
          <w:color w:val="auto"/>
        </w:rPr>
      </w:pPr>
    </w:p>
    <w:tbl>
      <w:tblPr>
        <w:tblLayout w:type="fixed"/>
        <w:tblInd w:w="1150" w:type="dxa"/>
        <w:tblCellMar>
          <w:top w:w="0" w:type="dxa"/>
          <w:left w:w="0" w:type="dxa"/>
          <w:bottom w:w="0" w:type="dxa"/>
          <w:right w:w="0" w:type="dxa"/>
        </w:tblCellMar>
      </w:tblPr>
      <w:tr>
        <w:trPr>
          <w:trHeight w:val="217"/>
        </w:trPr>
        <w:tc>
          <w:tcPr>
            <w:tcW w:w="6000" w:type="dxa"/>
            <w:vAlign w:val="bottom"/>
            <w:tcBorders>
              <w:top w:val="single" w:sz="8" w:color="auto"/>
              <w:left w:val="single" w:sz="8" w:color="auto"/>
              <w:bottom w:val="single" w:sz="8" w:color="auto"/>
              <w:right w:val="single" w:sz="8" w:color="auto"/>
            </w:tcBorders>
            <w:shd w:val="clear" w:color="auto" w:fill="2AD2C9"/>
          </w:tcPr>
          <w:p>
            <w:pPr>
              <w:ind w:left="140"/>
              <w:spacing w:after="0" w:line="217" w:lineRule="exact"/>
              <w:rPr>
                <w:sz w:val="20"/>
                <w:szCs w:val="20"/>
                <w:color w:val="auto"/>
              </w:rPr>
            </w:pPr>
            <w:r>
              <w:rPr>
                <w:rFonts w:ascii="Arial" w:cs="Arial" w:eastAsia="Arial" w:hAnsi="Arial"/>
                <w:sz w:val="14"/>
                <w:szCs w:val="14"/>
                <w:b w:val="1"/>
                <w:bCs w:val="1"/>
                <w:i w:val="1"/>
                <w:iCs w:val="1"/>
                <w:color w:val="auto"/>
              </w:rPr>
              <w:t xml:space="preserve">Disruptive Initiatives: Yape </w:t>
            </w:r>
            <w:r>
              <w:rPr>
                <w:rFonts w:ascii="Arial" w:cs="Arial" w:eastAsia="Arial" w:hAnsi="Arial"/>
                <w:sz w:val="24"/>
                <w:szCs w:val="24"/>
                <w:b w:val="1"/>
                <w:bCs w:val="1"/>
                <w:i w:val="1"/>
                <w:iCs w:val="1"/>
                <w:color w:val="auto"/>
                <w:vertAlign w:val="superscript"/>
              </w:rPr>
              <w:t>(1)</w:t>
            </w:r>
          </w:p>
        </w:tc>
        <w:tc>
          <w:tcPr>
            <w:tcW w:w="9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i w:val="1"/>
                <w:iCs w:val="1"/>
                <w:color w:val="auto"/>
              </w:rPr>
              <w:t>1Q19</w:t>
            </w:r>
          </w:p>
        </w:tc>
        <w:tc>
          <w:tcPr>
            <w:tcW w:w="102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i w:val="1"/>
                <w:iCs w:val="1"/>
                <w:color w:val="auto"/>
              </w:rPr>
              <w:t>1Q21</w:t>
            </w:r>
          </w:p>
        </w:tc>
        <w:tc>
          <w:tcPr>
            <w:tcW w:w="104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i w:val="1"/>
                <w:iCs w:val="1"/>
                <w:color w:val="auto"/>
                <w:w w:val="99"/>
              </w:rPr>
              <w:t>1Q22</w:t>
            </w:r>
          </w:p>
        </w:tc>
      </w:tr>
      <w:tr>
        <w:trPr>
          <w:trHeight w:val="196"/>
        </w:trPr>
        <w:tc>
          <w:tcPr>
            <w:tcW w:w="60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i w:val="1"/>
                <w:iCs w:val="1"/>
                <w:color w:val="auto"/>
              </w:rPr>
              <w:t>Cashless</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19"/>
        </w:trPr>
        <w:tc>
          <w:tcPr>
            <w:tcW w:w="60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Users (thousands)</w:t>
            </w:r>
          </w:p>
        </w:tc>
        <w:tc>
          <w:tcPr>
            <w:tcW w:w="960" w:type="dxa"/>
            <w:vAlign w:val="bottom"/>
          </w:tcPr>
          <w:p>
            <w:pPr>
              <w:jc w:val="center"/>
              <w:spacing w:after="0"/>
              <w:rPr>
                <w:sz w:val="20"/>
                <w:szCs w:val="20"/>
                <w:color w:val="auto"/>
              </w:rPr>
            </w:pPr>
            <w:r>
              <w:rPr>
                <w:rFonts w:ascii="Arial" w:cs="Arial" w:eastAsia="Arial" w:hAnsi="Arial"/>
                <w:sz w:val="14"/>
                <w:szCs w:val="14"/>
                <w:color w:val="auto"/>
              </w:rPr>
              <w:t>726</w:t>
            </w:r>
          </w:p>
        </w:tc>
        <w:tc>
          <w:tcPr>
            <w:tcW w:w="1020" w:type="dxa"/>
            <w:vAlign w:val="bottom"/>
          </w:tcPr>
          <w:p>
            <w:pPr>
              <w:jc w:val="center"/>
              <w:spacing w:after="0"/>
              <w:rPr>
                <w:sz w:val="20"/>
                <w:szCs w:val="20"/>
                <w:color w:val="auto"/>
              </w:rPr>
            </w:pPr>
            <w:r>
              <w:rPr>
                <w:rFonts w:ascii="Arial" w:cs="Arial" w:eastAsia="Arial" w:hAnsi="Arial"/>
                <w:sz w:val="14"/>
                <w:szCs w:val="14"/>
                <w:color w:val="auto"/>
              </w:rPr>
              <w:t>5,933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9,133</w:t>
            </w:r>
          </w:p>
        </w:tc>
      </w:tr>
      <w:tr>
        <w:trPr>
          <w:trHeight w:val="257"/>
        </w:trPr>
        <w:tc>
          <w:tcPr>
            <w:tcW w:w="6000" w:type="dxa"/>
            <w:vAlign w:val="bottom"/>
            <w:tcBorders>
              <w:left w:val="single" w:sz="8" w:color="auto"/>
              <w:right w:val="single" w:sz="8" w:color="auto"/>
            </w:tcBorders>
          </w:tcPr>
          <w:p>
            <w:pPr>
              <w:ind w:left="140"/>
              <w:spacing w:after="0" w:line="257" w:lineRule="exact"/>
              <w:rPr>
                <w:sz w:val="20"/>
                <w:szCs w:val="20"/>
                <w:color w:val="auto"/>
              </w:rPr>
            </w:pPr>
            <w:r>
              <w:rPr>
                <w:rFonts w:ascii="Arial" w:cs="Arial" w:eastAsia="Arial" w:hAnsi="Arial"/>
                <w:sz w:val="14"/>
                <w:szCs w:val="14"/>
                <w:color w:val="auto"/>
              </w:rPr>
              <w:t xml:space="preserve">% of BCP Client Users </w:t>
            </w:r>
            <w:r>
              <w:rPr>
                <w:rFonts w:ascii="Arial" w:cs="Arial" w:eastAsia="Arial" w:hAnsi="Arial"/>
                <w:sz w:val="24"/>
                <w:szCs w:val="24"/>
                <w:b w:val="1"/>
                <w:bCs w:val="1"/>
                <w:i w:val="1"/>
                <w:iCs w:val="1"/>
                <w:color w:val="auto"/>
                <w:vertAlign w:val="superscript"/>
              </w:rPr>
              <w:t>(2)</w:t>
            </w:r>
          </w:p>
        </w:tc>
        <w:tc>
          <w:tcPr>
            <w:tcW w:w="960" w:type="dxa"/>
            <w:vAlign w:val="bottom"/>
          </w:tcPr>
          <w:p>
            <w:pPr>
              <w:jc w:val="center"/>
              <w:spacing w:after="0"/>
              <w:rPr>
                <w:sz w:val="20"/>
                <w:szCs w:val="20"/>
                <w:color w:val="auto"/>
              </w:rPr>
            </w:pPr>
            <w:r>
              <w:rPr>
                <w:rFonts w:ascii="Arial" w:cs="Arial" w:eastAsia="Arial" w:hAnsi="Arial"/>
                <w:sz w:val="14"/>
                <w:szCs w:val="14"/>
                <w:color w:val="auto"/>
              </w:rPr>
              <w:t>100%</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64%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w:t>
            </w:r>
          </w:p>
        </w:tc>
      </w:tr>
      <w:tr>
        <w:trPr>
          <w:trHeight w:val="227"/>
        </w:trPr>
        <w:tc>
          <w:tcPr>
            <w:tcW w:w="6000" w:type="dxa"/>
            <w:vAlign w:val="bottom"/>
            <w:tcBorders>
              <w:left w:val="single" w:sz="8" w:color="auto"/>
              <w:right w:val="single" w:sz="8" w:color="auto"/>
            </w:tcBorders>
          </w:tcPr>
          <w:p>
            <w:pPr>
              <w:ind w:left="140"/>
              <w:spacing w:after="0" w:line="227" w:lineRule="exact"/>
              <w:rPr>
                <w:sz w:val="20"/>
                <w:szCs w:val="20"/>
                <w:color w:val="auto"/>
              </w:rPr>
            </w:pPr>
            <w:r>
              <w:rPr>
                <w:rFonts w:ascii="Arial" w:cs="Arial" w:eastAsia="Arial" w:hAnsi="Arial"/>
                <w:sz w:val="14"/>
                <w:szCs w:val="14"/>
                <w:color w:val="auto"/>
              </w:rPr>
              <w:t xml:space="preserve">% of Yapecard Users </w:t>
            </w:r>
            <w:r>
              <w:rPr>
                <w:rFonts w:ascii="Arial" w:cs="Arial" w:eastAsia="Arial" w:hAnsi="Arial"/>
                <w:sz w:val="24"/>
                <w:szCs w:val="24"/>
                <w:b w:val="1"/>
                <w:bCs w:val="1"/>
                <w:i w:val="1"/>
                <w:iCs w:val="1"/>
                <w:color w:val="auto"/>
                <w:vertAlign w:val="superscript"/>
              </w:rPr>
              <w:t>(3)</w:t>
            </w:r>
          </w:p>
        </w:tc>
        <w:tc>
          <w:tcPr>
            <w:tcW w:w="960" w:type="dxa"/>
            <w:vAlign w:val="bottom"/>
          </w:tcPr>
          <w:p>
            <w:pPr>
              <w:ind w:left="340"/>
              <w:spacing w:after="0"/>
              <w:rPr>
                <w:sz w:val="20"/>
                <w:szCs w:val="20"/>
                <w:color w:val="auto"/>
              </w:rPr>
            </w:pPr>
            <w:r>
              <w:rPr>
                <w:rFonts w:ascii="Arial" w:cs="Arial" w:eastAsia="Arial" w:hAnsi="Arial"/>
                <w:sz w:val="14"/>
                <w:szCs w:val="14"/>
                <w:color w:val="auto"/>
              </w:rPr>
              <w:t>N.A.</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30%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w:t>
            </w:r>
          </w:p>
        </w:tc>
      </w:tr>
      <w:tr>
        <w:trPr>
          <w:trHeight w:val="227"/>
        </w:trPr>
        <w:tc>
          <w:tcPr>
            <w:tcW w:w="6000" w:type="dxa"/>
            <w:vAlign w:val="bottom"/>
            <w:tcBorders>
              <w:left w:val="single" w:sz="8" w:color="auto"/>
              <w:right w:val="single" w:sz="8" w:color="auto"/>
            </w:tcBorders>
          </w:tcPr>
          <w:p>
            <w:pPr>
              <w:ind w:left="140"/>
              <w:spacing w:after="0" w:line="227" w:lineRule="exact"/>
              <w:rPr>
                <w:sz w:val="20"/>
                <w:szCs w:val="20"/>
                <w:color w:val="auto"/>
              </w:rPr>
            </w:pPr>
            <w:r>
              <w:rPr>
                <w:rFonts w:ascii="Arial" w:cs="Arial" w:eastAsia="Arial" w:hAnsi="Arial"/>
                <w:sz w:val="14"/>
                <w:szCs w:val="14"/>
                <w:color w:val="auto"/>
              </w:rPr>
              <w:t xml:space="preserve">Active Users (millions) </w:t>
            </w:r>
            <w:r>
              <w:rPr>
                <w:rFonts w:ascii="Arial" w:cs="Arial" w:eastAsia="Arial" w:hAnsi="Arial"/>
                <w:sz w:val="24"/>
                <w:szCs w:val="24"/>
                <w:b w:val="1"/>
                <w:bCs w:val="1"/>
                <w:i w:val="1"/>
                <w:iCs w:val="1"/>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rPr>
              <w:t>0.3</w:t>
            </w:r>
          </w:p>
        </w:tc>
        <w:tc>
          <w:tcPr>
            <w:tcW w:w="1020" w:type="dxa"/>
            <w:vAlign w:val="bottom"/>
          </w:tcPr>
          <w:p>
            <w:pPr>
              <w:jc w:val="center"/>
              <w:spacing w:after="0"/>
              <w:rPr>
                <w:sz w:val="20"/>
                <w:szCs w:val="20"/>
                <w:color w:val="auto"/>
              </w:rPr>
            </w:pPr>
            <w:r>
              <w:rPr>
                <w:rFonts w:ascii="Arial" w:cs="Arial" w:eastAsia="Arial" w:hAnsi="Arial"/>
                <w:sz w:val="14"/>
                <w:szCs w:val="14"/>
                <w:color w:val="auto"/>
              </w:rPr>
              <w:t>2.8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r>
      <w:tr>
        <w:trPr>
          <w:trHeight w:val="234"/>
        </w:trPr>
        <w:tc>
          <w:tcPr>
            <w:tcW w:w="6000" w:type="dxa"/>
            <w:vAlign w:val="bottom"/>
            <w:tcBorders>
              <w:left w:val="single" w:sz="8" w:color="auto"/>
              <w:right w:val="single" w:sz="8" w:color="auto"/>
            </w:tcBorders>
          </w:tcPr>
          <w:p>
            <w:pPr>
              <w:ind w:left="140"/>
              <w:spacing w:after="0" w:line="234" w:lineRule="exact"/>
              <w:rPr>
                <w:sz w:val="20"/>
                <w:szCs w:val="20"/>
                <w:color w:val="auto"/>
              </w:rPr>
            </w:pPr>
            <w:r>
              <w:rPr>
                <w:rFonts w:ascii="Arial" w:cs="Arial" w:eastAsia="Arial" w:hAnsi="Arial"/>
                <w:sz w:val="14"/>
                <w:szCs w:val="14"/>
                <w:color w:val="auto"/>
              </w:rPr>
              <w:t xml:space="preserve">% Active Monthly Users </w:t>
            </w:r>
            <w:r>
              <w:rPr>
                <w:rFonts w:ascii="Arial" w:cs="Arial" w:eastAsia="Arial" w:hAnsi="Arial"/>
                <w:sz w:val="24"/>
                <w:szCs w:val="24"/>
                <w:b w:val="1"/>
                <w:bCs w:val="1"/>
                <w:i w:val="1"/>
                <w:iCs w:val="1"/>
                <w:color w:val="auto"/>
                <w:vertAlign w:val="superscript"/>
              </w:rPr>
              <w:t>(5)</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35%</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47%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w:t>
            </w:r>
          </w:p>
        </w:tc>
      </w:tr>
      <w:tr>
        <w:trPr>
          <w:trHeight w:val="191"/>
        </w:trPr>
        <w:tc>
          <w:tcPr>
            <w:tcW w:w="60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No. of Monthly Transactins (thousand)</w:t>
            </w:r>
          </w:p>
        </w:tc>
        <w:tc>
          <w:tcPr>
            <w:tcW w:w="960" w:type="dxa"/>
            <w:vAlign w:val="bottom"/>
          </w:tcPr>
          <w:p>
            <w:pPr>
              <w:jc w:val="center"/>
              <w:spacing w:after="0"/>
              <w:rPr>
                <w:sz w:val="20"/>
                <w:szCs w:val="20"/>
                <w:color w:val="auto"/>
              </w:rPr>
            </w:pPr>
            <w:r>
              <w:rPr>
                <w:rFonts w:ascii="Arial" w:cs="Arial" w:eastAsia="Arial" w:hAnsi="Arial"/>
                <w:sz w:val="14"/>
                <w:szCs w:val="14"/>
                <w:color w:val="auto"/>
              </w:rPr>
              <w:t>896</w:t>
            </w:r>
          </w:p>
        </w:tc>
        <w:tc>
          <w:tcPr>
            <w:tcW w:w="1020" w:type="dxa"/>
            <w:vAlign w:val="bottom"/>
          </w:tcPr>
          <w:p>
            <w:pPr>
              <w:jc w:val="center"/>
              <w:spacing w:after="0"/>
              <w:rPr>
                <w:sz w:val="20"/>
                <w:szCs w:val="20"/>
                <w:color w:val="auto"/>
              </w:rPr>
            </w:pPr>
            <w:r>
              <w:rPr>
                <w:rFonts w:ascii="Arial" w:cs="Arial" w:eastAsia="Arial" w:hAnsi="Arial"/>
                <w:sz w:val="14"/>
                <w:szCs w:val="14"/>
                <w:color w:val="auto"/>
              </w:rPr>
              <w:t>22,574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69,238</w:t>
            </w:r>
          </w:p>
        </w:tc>
      </w:tr>
      <w:tr>
        <w:trPr>
          <w:trHeight w:val="227"/>
        </w:trPr>
        <w:tc>
          <w:tcPr>
            <w:tcW w:w="60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Monthly Transaction Amount (million, S/)</w:t>
            </w:r>
          </w:p>
        </w:tc>
        <w:tc>
          <w:tcPr>
            <w:tcW w:w="960" w:type="dxa"/>
            <w:vAlign w:val="bottom"/>
          </w:tcPr>
          <w:p>
            <w:pPr>
              <w:jc w:val="center"/>
              <w:spacing w:after="0"/>
              <w:rPr>
                <w:sz w:val="20"/>
                <w:szCs w:val="20"/>
                <w:color w:val="auto"/>
              </w:rPr>
            </w:pPr>
            <w:r>
              <w:rPr>
                <w:rFonts w:ascii="Arial" w:cs="Arial" w:eastAsia="Arial" w:hAnsi="Arial"/>
                <w:sz w:val="14"/>
                <w:szCs w:val="14"/>
                <w:color w:val="auto"/>
              </w:rPr>
              <w:t>42</w:t>
            </w:r>
          </w:p>
        </w:tc>
        <w:tc>
          <w:tcPr>
            <w:tcW w:w="1020" w:type="dxa"/>
            <w:vAlign w:val="bottom"/>
          </w:tcPr>
          <w:p>
            <w:pPr>
              <w:jc w:val="center"/>
              <w:spacing w:after="0"/>
              <w:rPr>
                <w:sz w:val="20"/>
                <w:szCs w:val="20"/>
                <w:color w:val="auto"/>
              </w:rPr>
            </w:pPr>
            <w:r>
              <w:rPr>
                <w:rFonts w:ascii="Arial" w:cs="Arial" w:eastAsia="Arial" w:hAnsi="Arial"/>
                <w:sz w:val="14"/>
                <w:szCs w:val="14"/>
                <w:color w:val="auto"/>
              </w:rPr>
              <w:t>1,625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4,075</w:t>
            </w:r>
          </w:p>
        </w:tc>
      </w:tr>
      <w:tr>
        <w:trPr>
          <w:trHeight w:val="236"/>
        </w:trPr>
        <w:tc>
          <w:tcPr>
            <w:tcW w:w="6000" w:type="dxa"/>
            <w:vAlign w:val="bottom"/>
            <w:tcBorders>
              <w:left w:val="single" w:sz="8" w:color="auto"/>
              <w:bottom w:val="single" w:sz="8" w:color="auto"/>
              <w:right w:val="single" w:sz="8" w:color="auto"/>
            </w:tcBorders>
          </w:tcPr>
          <w:p>
            <w:pPr>
              <w:ind w:left="140"/>
              <w:spacing w:after="0" w:line="235" w:lineRule="exact"/>
              <w:rPr>
                <w:sz w:val="20"/>
                <w:szCs w:val="20"/>
                <w:color w:val="auto"/>
              </w:rPr>
            </w:pPr>
            <w:r>
              <w:rPr>
                <w:rFonts w:ascii="Arial" w:cs="Arial" w:eastAsia="Arial" w:hAnsi="Arial"/>
                <w:sz w:val="14"/>
                <w:szCs w:val="14"/>
                <w:color w:val="auto"/>
              </w:rPr>
              <w:t xml:space="preserve">Monthly Transactions per Active User </w:t>
            </w:r>
            <w:r>
              <w:rPr>
                <w:rFonts w:ascii="Arial" w:cs="Arial" w:eastAsia="Arial" w:hAnsi="Arial"/>
                <w:sz w:val="24"/>
                <w:szCs w:val="24"/>
                <w:b w:val="1"/>
                <w:bCs w:val="1"/>
                <w:i w:val="1"/>
                <w:iCs w:val="1"/>
                <w:color w:val="auto"/>
                <w:vertAlign w:val="superscript"/>
              </w:rPr>
              <w:t>(6)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-1148080</wp:posOffset>
            </wp:positionV>
            <wp:extent cx="116840" cy="1168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-1003300</wp:posOffset>
            </wp:positionV>
            <wp:extent cx="116840" cy="1168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-859155</wp:posOffset>
            </wp:positionV>
            <wp:extent cx="116840" cy="1168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-714375</wp:posOffset>
            </wp:positionV>
            <wp:extent cx="116840" cy="1168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-570230</wp:posOffset>
            </wp:positionV>
            <wp:extent cx="116840" cy="116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-425450</wp:posOffset>
            </wp:positionV>
            <wp:extent cx="116840" cy="1168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-281305</wp:posOffset>
            </wp:positionV>
            <wp:extent cx="116840" cy="1168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840" cy="11684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-137160</wp:posOffset>
            </wp:positionV>
            <wp:extent cx="116840" cy="1168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ind w:left="1100" w:hanging="184"/>
        <w:spacing w:after="0"/>
        <w:tabs>
          <w:tab w:leader="none" w:pos="1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Figures as of March 2019, 2021 and 2022</w:t>
      </w:r>
    </w:p>
    <w:p>
      <w:pPr>
        <w:spacing w:after="0" w:line="7" w:lineRule="exact"/>
        <w:rPr>
          <w:rFonts w:ascii="Times New Roman" w:cs="Times New Roman" w:eastAsia="Times New Roman" w:hAnsi="Times New Roman"/>
          <w:sz w:val="9"/>
          <w:szCs w:val="9"/>
          <w:color w:val="auto"/>
        </w:rPr>
      </w:pPr>
    </w:p>
    <w:p>
      <w:pPr>
        <w:ind w:left="1100" w:hanging="184"/>
        <w:spacing w:after="0"/>
        <w:tabs>
          <w:tab w:leader="none" w:pos="1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BCP Clients who are Yape users/ Total Yape users</w:t>
      </w:r>
    </w:p>
    <w:p>
      <w:pPr>
        <w:spacing w:after="0" w:line="4" w:lineRule="exact"/>
        <w:rPr>
          <w:rFonts w:ascii="Times New Roman" w:cs="Times New Roman" w:eastAsia="Times New Roman" w:hAnsi="Times New Roman"/>
          <w:sz w:val="9"/>
          <w:szCs w:val="9"/>
          <w:color w:val="auto"/>
        </w:rPr>
      </w:pPr>
    </w:p>
    <w:p>
      <w:pPr>
        <w:ind w:left="1100" w:hanging="184"/>
        <w:spacing w:after="0"/>
        <w:tabs>
          <w:tab w:leader="none" w:pos="1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Yapecard users/ Total Yape users</w:t>
      </w:r>
    </w:p>
    <w:p>
      <w:pPr>
        <w:spacing w:after="0" w:line="4" w:lineRule="exact"/>
        <w:rPr>
          <w:rFonts w:ascii="Times New Roman" w:cs="Times New Roman" w:eastAsia="Times New Roman" w:hAnsi="Times New Roman"/>
          <w:sz w:val="9"/>
          <w:szCs w:val="9"/>
          <w:color w:val="auto"/>
        </w:rPr>
      </w:pPr>
    </w:p>
    <w:p>
      <w:pPr>
        <w:ind w:left="1100" w:hanging="184"/>
        <w:spacing w:after="0"/>
        <w:tabs>
          <w:tab w:leader="none" w:pos="1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Yape users who at least have made a transaction in a month</w:t>
      </w:r>
    </w:p>
    <w:p>
      <w:pPr>
        <w:spacing w:after="0" w:line="4" w:lineRule="exact"/>
        <w:rPr>
          <w:rFonts w:ascii="Times New Roman" w:cs="Times New Roman" w:eastAsia="Times New Roman" w:hAnsi="Times New Roman"/>
          <w:sz w:val="9"/>
          <w:szCs w:val="9"/>
          <w:color w:val="auto"/>
        </w:rPr>
      </w:pPr>
    </w:p>
    <w:p>
      <w:pPr>
        <w:ind w:left="1100" w:hanging="184"/>
        <w:spacing w:after="0"/>
        <w:tabs>
          <w:tab w:leader="none" w:pos="1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Yape users who at least have made a transaction in a month/ Total Yape users</w:t>
      </w:r>
    </w:p>
    <w:p>
      <w:pPr>
        <w:spacing w:after="0" w:line="4" w:lineRule="exact"/>
        <w:rPr>
          <w:rFonts w:ascii="Times New Roman" w:cs="Times New Roman" w:eastAsia="Times New Roman" w:hAnsi="Times New Roman"/>
          <w:sz w:val="9"/>
          <w:szCs w:val="9"/>
          <w:color w:val="auto"/>
        </w:rPr>
      </w:pPr>
    </w:p>
    <w:p>
      <w:pPr>
        <w:ind w:left="1100" w:hanging="184"/>
        <w:spacing w:after="0"/>
        <w:tabs>
          <w:tab w:leader="none" w:pos="1100"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Number of Yape transactions in a month/ Active users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Ensuring the Best Talent Offering an Integral Value Proposition</w:t>
      </w:r>
    </w:p>
    <w:p>
      <w:pPr>
        <w:spacing w:after="0" w:line="209"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Credicorp seeks to secure the best talent and manage their potential, development and succession with a comprehensive value proposition that strikes a balance between human and business perspectives.</w:t>
      </w:r>
    </w:p>
    <w:p>
      <w:pPr>
        <w:spacing w:after="0" w:line="14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The Company’s talent strategy strives to accompany the Group’s transformation and growth in a highly competitive environment for technological and digital profiles. The new models for hybrid and remote work have generated new opportunities and hiring modalities by facilitating borderless hiring.</w:t>
      </w:r>
    </w:p>
    <w:p>
      <w:pPr>
        <w:spacing w:after="0" w:line="14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In this context, Credicorp seeks to offer current and potential employees a proposal that focuses on development, flexibility and wellbeing. The Talent strategy’s priority in 2022 focuses on to developing and attracting talent with technological and digital capacities; evolving the model for executive compensation; and accelerating initiatives for gender equality.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Integrating Sustainability, at the Core of How Credicorp Does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142240</wp:posOffset>
            </wp:positionV>
            <wp:extent cx="7159625" cy="3987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398780"/>
                    </a:xfrm>
                    <a:prstGeom prst="rect">
                      <a:avLst/>
                    </a:prstGeom>
                    <a:noFill/>
                  </pic:spPr>
                </pic:pic>
              </a:graphicData>
            </a:graphic>
          </wp:anchor>
        </w:drawing>
      </w:r>
    </w:p>
    <w:p>
      <w:pPr>
        <w:spacing w:after="0" w:line="239" w:lineRule="exact"/>
        <w:rPr>
          <w:sz w:val="20"/>
          <w:szCs w:val="20"/>
          <w:color w:val="auto"/>
        </w:rPr>
      </w:pPr>
    </w:p>
    <w:p>
      <w:pPr>
        <w:jc w:val="both"/>
        <w:ind w:left="200" w:right="200"/>
        <w:spacing w:after="0" w:line="242" w:lineRule="auto"/>
        <w:rPr>
          <w:sz w:val="20"/>
          <w:szCs w:val="20"/>
          <w:color w:val="auto"/>
        </w:rPr>
      </w:pPr>
      <w:r>
        <w:rPr>
          <w:rFonts w:ascii="Arial" w:cs="Arial" w:eastAsia="Arial" w:hAnsi="Arial"/>
          <w:sz w:val="16"/>
          <w:szCs w:val="16"/>
          <w:color w:val="auto"/>
        </w:rPr>
        <w:t>We are convinced that the only way that we can lead and stand the test of time is to be in harmony with our environment as we generate positive impacts through everything we do. As such, to strengthen its performance and long-term competitiveness, the Company has situated sustainability at the core of its businesses’ strategic management.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Sustainability Strategy is articulated through three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59625" cy="811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81153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Create a more sustainable and</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inclusive economy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Improve the financial health of</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citizens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Empower our people to</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4"/>
          <w:szCs w:val="14"/>
          <w:b w:val="1"/>
          <w:bCs w:val="1"/>
          <w:color w:val="auto"/>
        </w:rPr>
        <w:t>thrive</w:t>
      </w:r>
    </w:p>
    <w:p>
      <w:pPr>
        <w:spacing w:after="0" w:line="200" w:lineRule="exact"/>
        <w:rPr>
          <w:sz w:val="20"/>
          <w:szCs w:val="20"/>
          <w:color w:val="auto"/>
        </w:rPr>
      </w:pPr>
    </w:p>
    <w:p>
      <w:pPr>
        <w:sectPr>
          <w:pgSz w:w="11900" w:h="16838" w:orient="portrait"/>
          <w:cols w:equalWidth="0" w:num="3">
            <w:col w:w="3880" w:space="720"/>
            <w:col w:w="3180" w:space="720"/>
            <w:col w:w="2780"/>
          </w:cols>
          <w:pgMar w:left="300" w:top="287" w:right="31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For more information on our 2020-2025 Sustainability Program, please </w:t>
      </w:r>
      <w:r>
        <w:rPr>
          <w:rFonts w:ascii="Times New Roman" w:cs="Times New Roman" w:eastAsia="Times New Roman" w:hAnsi="Times New Roman"/>
          <w:sz w:val="14"/>
          <w:szCs w:val="14"/>
          <w:i w:val="1"/>
          <w:iCs w:val="1"/>
          <w:color w:val="auto"/>
        </w:rPr>
        <w:t>click here</w:t>
      </w:r>
      <w:r>
        <w:rPr>
          <w:rFonts w:ascii="Times New Roman" w:cs="Times New Roman" w:eastAsia="Times New Roman" w:hAnsi="Times New Roman"/>
          <w:sz w:val="14"/>
          <w:szCs w:val="14"/>
          <w:color w:val="auto"/>
        </w:rPr>
        <w:t xml:space="preserve"> to review the recently published 2020-25 Sustainability Strategy Update.</w:t>
      </w: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4" w:name="page15"/>
    <w:bookmarkEnd w:id="14"/>
    <w:p>
      <w:pPr>
        <w:ind w:left="2840"/>
        <w:spacing w:after="0"/>
        <w:rPr>
          <w:sz w:val="20"/>
          <w:szCs w:val="20"/>
          <w:color w:val="auto"/>
        </w:rPr>
      </w:pPr>
      <w:r>
        <w:rPr>
          <w:rFonts w:ascii="Arial" w:cs="Arial" w:eastAsia="Arial" w:hAnsi="Arial"/>
          <w:sz w:val="14"/>
          <w:szCs w:val="14"/>
          <w:b w:val="1"/>
          <w:bCs w:val="1"/>
          <w:color w:val="4D4D4D"/>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09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309245"/>
                    </a:xfrm>
                    <a:prstGeom prst="rect">
                      <a:avLst/>
                    </a:prstGeom>
                    <a:noFill/>
                  </pic:spPr>
                </pic:pic>
              </a:graphicData>
            </a:graphic>
          </wp:anchor>
        </w:drawing>
        <w:t>Earnings Release 1Q / 2022</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Advances in the Sustainability Program</w:t>
      </w:r>
    </w:p>
    <w:p>
      <w:pPr>
        <w:spacing w:after="0" w:line="19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This program’s efforts are being recognized by the market. In December 2021, MSCI elevated Credicorp’s ESG Rating to the Leader category and in February 2022, Sustainalytics reduced Credicorp’s Risk Score to “Medium”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most noteworthy milestones that the Company reached on its ESG journey in the first quarter of 2022, by front: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Front</w:t>
      </w:r>
    </w:p>
    <w:p>
      <w:pPr>
        <w:spacing w:after="0" w:line="209" w:lineRule="exact"/>
        <w:rPr>
          <w:sz w:val="20"/>
          <w:szCs w:val="20"/>
          <w:color w:val="auto"/>
        </w:rPr>
      </w:pPr>
    </w:p>
    <w:p>
      <w:pPr>
        <w:ind w:left="520" w:hanging="253"/>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Expanded the scope of BCP’s Eco-factoring product, which disbursed US$4 million during the quarter;</w:t>
      </w:r>
    </w:p>
    <w:p>
      <w:pPr>
        <w:spacing w:after="0" w:line="15" w:lineRule="exact"/>
        <w:rPr>
          <w:rFonts w:ascii="Arial" w:cs="Arial" w:eastAsia="Arial" w:hAnsi="Arial"/>
          <w:sz w:val="14"/>
          <w:szCs w:val="14"/>
          <w:color w:val="auto"/>
        </w:rPr>
      </w:pPr>
    </w:p>
    <w:p>
      <w:pPr>
        <w:ind w:left="520" w:hanging="253"/>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Launched green financial products at BCP Bolivia to finance the import and acquisition of electric cars; and</w:t>
      </w:r>
    </w:p>
    <w:p>
      <w:pPr>
        <w:spacing w:after="0" w:line="1" w:lineRule="exact"/>
        <w:rPr>
          <w:rFonts w:ascii="Arial" w:cs="Arial" w:eastAsia="Arial" w:hAnsi="Arial"/>
          <w:sz w:val="14"/>
          <w:szCs w:val="14"/>
          <w:color w:val="auto"/>
        </w:rPr>
      </w:pPr>
    </w:p>
    <w:p>
      <w:pPr>
        <w:ind w:left="520" w:hanging="253"/>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Developed the capacities of more than 100 executives at Credicorp Capital to execute sustainable issuances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Social Front</w:t>
      </w:r>
    </w:p>
    <w:p>
      <w:pPr>
        <w:spacing w:after="0" w:line="209" w:lineRule="exact"/>
        <w:rPr>
          <w:sz w:val="20"/>
          <w:szCs w:val="20"/>
          <w:color w:val="auto"/>
        </w:rPr>
      </w:pPr>
    </w:p>
    <w:p>
      <w:pPr>
        <w:ind w:left="520" w:hanging="253"/>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Financially included more than 347 thousand people through Yape, Soli and Mibanco;</w:t>
      </w:r>
    </w:p>
    <w:p>
      <w:pPr>
        <w:spacing w:after="0" w:line="15" w:lineRule="exact"/>
        <w:rPr>
          <w:rFonts w:ascii="Arial" w:cs="Arial" w:eastAsia="Arial" w:hAnsi="Arial"/>
          <w:sz w:val="14"/>
          <w:szCs w:val="14"/>
          <w:color w:val="auto"/>
        </w:rPr>
      </w:pPr>
    </w:p>
    <w:p>
      <w:pPr>
        <w:ind w:left="520" w:hanging="253"/>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Financial education to more than 136 thousand people through different initiatives from BCP, BCP Bolivia, Mibanco, Pacifico and Prima AFP;</w:t>
      </w:r>
    </w:p>
    <w:p>
      <w:pPr>
        <w:spacing w:after="0" w:line="1" w:lineRule="exact"/>
        <w:rPr>
          <w:rFonts w:ascii="Arial" w:cs="Arial" w:eastAsia="Arial" w:hAnsi="Arial"/>
          <w:sz w:val="14"/>
          <w:szCs w:val="14"/>
          <w:color w:val="auto"/>
        </w:rPr>
      </w:pPr>
    </w:p>
    <w:p>
      <w:pPr>
        <w:ind w:left="520" w:hanging="253"/>
        <w:spacing w:after="0" w:line="242"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Facilitated the economic independence of 6 thousand women entrepreneurs through Mibanco’s Credito Mujer product, which registered disbursements for almost US$3 million; and</w:t>
      </w:r>
    </w:p>
    <w:p>
      <w:pPr>
        <w:ind w:left="520" w:hanging="253"/>
        <w:spacing w:after="0" w:line="265" w:lineRule="auto"/>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Issued the first social gender bond ever executed by a microfinance company in Colombia for a total of US$28.5 million, these funds will promote the financial inclusion of microbusiness owners through the program “Mujeres Pa’lante”.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Front</w:t>
      </w:r>
    </w:p>
    <w:p>
      <w:pPr>
        <w:spacing w:after="0" w:line="209" w:lineRule="exact"/>
        <w:rPr>
          <w:sz w:val="20"/>
          <w:szCs w:val="20"/>
          <w:color w:val="auto"/>
        </w:rPr>
      </w:pPr>
    </w:p>
    <w:p>
      <w:pPr>
        <w:jc w:val="both"/>
        <w:ind w:left="520" w:hanging="253"/>
        <w:spacing w:after="0" w:line="264"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The </w:t>
      </w:r>
      <w:r>
        <w:rPr>
          <w:rFonts w:ascii="Arial" w:cs="Arial" w:eastAsia="Arial" w:hAnsi="Arial"/>
          <w:sz w:val="14"/>
          <w:szCs w:val="14"/>
          <w:i w:val="1"/>
          <w:iCs w:val="1"/>
          <w:color w:val="auto"/>
        </w:rPr>
        <w:t>Monitor Empresarial de Reputación Corporativa</w:t>
      </w:r>
      <w:r>
        <w:rPr>
          <w:rFonts w:ascii="Arial" w:cs="Arial" w:eastAsia="Arial" w:hAnsi="Arial"/>
          <w:sz w:val="14"/>
          <w:szCs w:val="14"/>
          <w:color w:val="auto"/>
        </w:rPr>
        <w:t xml:space="preserve"> (MERCO), a reference point for corporate monitoring in Ibero-America, included two of the Group’s subsidiaries in the top 20 companies for Corporate Reputation in Peru (BCP: #2, Pacifico Seguros: #16) in recognition of the diversity of its organizational structure, anti-corruption programs, corporate compliance and ethics.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42"/>
          <w:szCs w:val="42"/>
          <w:b w:val="1"/>
          <w:bCs w:val="1"/>
          <w:color w:val="E93CAC"/>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3162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316230"/>
                    </a:xfrm>
                    <a:prstGeom prst="rect">
                      <a:avLst/>
                    </a:prstGeom>
                    <a:noFill/>
                  </pic:spPr>
                </pic:pic>
              </a:graphicData>
            </a:graphic>
          </wp:anchor>
        </w:drawing>
        <w:t xml:space="preserve">01 </w:t>
      </w:r>
      <w:r>
        <w:rPr>
          <w:rFonts w:ascii="Times New Roman" w:cs="Times New Roman" w:eastAsia="Times New Roman" w:hAnsi="Times New Roman"/>
          <w:sz w:val="25"/>
          <w:szCs w:val="25"/>
          <w:b w:val="1"/>
          <w:bCs w:val="1"/>
          <w:color w:val="E93C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59625" cy="5981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598170"/>
                    </a:xfrm>
                    <a:prstGeom prst="rect">
                      <a:avLst/>
                    </a:prstGeom>
                    <a:noFill/>
                  </pic:spPr>
                </pic:pic>
              </a:graphicData>
            </a:graphic>
          </wp:anchor>
        </w:drawing>
      </w:r>
    </w:p>
    <w:p>
      <w:pPr>
        <w:spacing w:after="0" w:line="280" w:lineRule="exact"/>
        <w:rPr>
          <w:sz w:val="20"/>
          <w:szCs w:val="20"/>
          <w:color w:val="auto"/>
        </w:rPr>
      </w:pPr>
    </w:p>
    <w:p>
      <w:pPr>
        <w:ind w:left="120" w:right="120"/>
        <w:spacing w:after="0" w:line="286" w:lineRule="auto"/>
        <w:rPr>
          <w:sz w:val="20"/>
          <w:szCs w:val="20"/>
          <w:color w:val="auto"/>
        </w:rPr>
      </w:pPr>
      <w:r>
        <w:rPr>
          <w:rFonts w:ascii="Arial" w:cs="Arial" w:eastAsia="Arial" w:hAnsi="Arial"/>
          <w:sz w:val="14"/>
          <w:szCs w:val="14"/>
          <w:color w:val="FFFFFF"/>
        </w:rPr>
        <w:t>In the YoY analysis, which eliminates seasonal effects, Structural Loans rose 12.4% (+12.3% excluding the exchange rate effect); this increase was primarily attributable to BCP Stand-alone and Mibanco and driven by reactivation as well as a low base effect in 1Q21 in a context of short-term amortization in Wholesale Banking in particular.</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The NPL ratio improved 94bps YoY, which reflected an uptick in clients’ payment behavior and a decrease in risk levels, particularly in Mibanco and Retail Banking.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Loans</w:t>
      </w:r>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Structural Loans (in Average Daily Balances) </w:t>
            </w:r>
            <w:r>
              <w:rPr>
                <w:rFonts w:ascii="Times New Roman" w:cs="Times New Roman" w:eastAsia="Times New Roman" w:hAnsi="Times New Roman"/>
                <w:sz w:val="24"/>
                <w:szCs w:val="24"/>
                <w:b w:val="1"/>
                <w:bCs w:val="1"/>
                <w:color w:val="auto"/>
                <w:vertAlign w:val="superscript"/>
              </w:rPr>
              <w:t>(1)(3)</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4"/>
        </w:trPr>
        <w:tc>
          <w:tcPr>
            <w:tcW w:w="23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c>
          <w:tcPr>
            <w:tcW w:w="1800" w:type="dxa"/>
            <w:vAlign w:val="bottom"/>
            <w:tcBorders>
              <w:bottom w:val="single" w:sz="8" w:color="auto"/>
            </w:tcBorders>
            <w:gridSpan w:val="2"/>
          </w:tcPr>
          <w:p>
            <w:pPr>
              <w:spacing w:after="0"/>
              <w:rPr>
                <w:sz w:val="6"/>
                <w:szCs w:val="6"/>
                <w:color w:val="auto"/>
              </w:rPr>
            </w:pPr>
          </w:p>
        </w:tc>
        <w:tc>
          <w:tcPr>
            <w:tcW w:w="2640" w:type="dxa"/>
            <w:vAlign w:val="bottom"/>
            <w:tcBorders>
              <w:bottom w:val="single" w:sz="8" w:color="auto"/>
            </w:tcBorders>
            <w:gridSpan w:val="3"/>
          </w:tcPr>
          <w:p>
            <w:pPr>
              <w:spacing w:after="0"/>
              <w:rPr>
                <w:sz w:val="6"/>
                <w:szCs w:val="6"/>
                <w:color w:val="auto"/>
              </w:rPr>
            </w:pPr>
          </w:p>
        </w:tc>
      </w:tr>
      <w:tr>
        <w:trPr>
          <w:trHeight w:val="139"/>
        </w:trPr>
        <w:tc>
          <w:tcPr>
            <w:tcW w:w="2300" w:type="dxa"/>
            <w:vAlign w:val="bottom"/>
            <w:tcBorders>
              <w:left w:val="single" w:sz="8" w:color="auto"/>
              <w:right w:val="single" w:sz="8" w:color="auto"/>
            </w:tcBorders>
            <w:shd w:val="clear" w:color="auto" w:fill="2AD2C9"/>
          </w:tcPr>
          <w:p>
            <w:pPr>
              <w:ind w:left="20"/>
              <w:spacing w:after="0" w:line="138" w:lineRule="exact"/>
              <w:rPr>
                <w:sz w:val="20"/>
                <w:szCs w:val="20"/>
                <w:color w:val="auto"/>
              </w:rPr>
            </w:pPr>
            <w:r>
              <w:rPr>
                <w:rFonts w:ascii="Arial" w:cs="Arial" w:eastAsia="Arial" w:hAnsi="Arial"/>
                <w:sz w:val="10"/>
                <w:szCs w:val="10"/>
                <w:b w:val="1"/>
                <w:bCs w:val="1"/>
                <w:color w:val="FFFFFF"/>
              </w:rPr>
              <w:t xml:space="preserve">Structural Loans </w:t>
            </w:r>
            <w:r>
              <w:rPr>
                <w:rFonts w:ascii="Arial" w:cs="Arial" w:eastAsia="Arial" w:hAnsi="Arial"/>
                <w:sz w:val="16"/>
                <w:szCs w:val="16"/>
                <w:b w:val="1"/>
                <w:bCs w:val="1"/>
                <w:color w:val="FFFFFF"/>
                <w:vertAlign w:val="superscript"/>
              </w:rPr>
              <w:t>(2)</w:t>
            </w:r>
          </w:p>
        </w:tc>
        <w:tc>
          <w:tcPr>
            <w:tcW w:w="880" w:type="dxa"/>
            <w:vAlign w:val="bottom"/>
            <w:shd w:val="clear" w:color="auto" w:fill="2AD2C9"/>
          </w:tcPr>
          <w:p>
            <w:pPr>
              <w:spacing w:after="0"/>
              <w:rPr>
                <w:sz w:val="12"/>
                <w:szCs w:val="12"/>
                <w:color w:val="auto"/>
              </w:rPr>
            </w:pPr>
          </w:p>
        </w:tc>
        <w:tc>
          <w:tcPr>
            <w:tcW w:w="820" w:type="dxa"/>
            <w:vAlign w:val="bottom"/>
            <w:shd w:val="clear" w:color="auto" w:fill="2AD2C9"/>
          </w:tcPr>
          <w:p>
            <w:pPr>
              <w:jc w:val="center"/>
              <w:ind w:left="68"/>
              <w:spacing w:after="0" w:line="139" w:lineRule="exact"/>
              <w:rPr>
                <w:sz w:val="20"/>
                <w:szCs w:val="20"/>
                <w:color w:val="auto"/>
              </w:rPr>
            </w:pPr>
            <w:r>
              <w:rPr>
                <w:rFonts w:ascii="Arial" w:cs="Arial" w:eastAsia="Arial" w:hAnsi="Arial"/>
                <w:sz w:val="14"/>
                <w:szCs w:val="14"/>
                <w:b w:val="1"/>
                <w:bCs w:val="1"/>
                <w:color w:val="FFFFFF"/>
              </w:rPr>
              <w:t>As of</w:t>
            </w:r>
          </w:p>
        </w:tc>
        <w:tc>
          <w:tcPr>
            <w:tcW w:w="1060" w:type="dxa"/>
            <w:vAlign w:val="bottom"/>
            <w:tcBorders>
              <w:right w:val="single" w:sz="8" w:color="auto"/>
            </w:tcBorders>
            <w:shd w:val="clear" w:color="auto" w:fill="2AD2C9"/>
          </w:tcPr>
          <w:p>
            <w:pPr>
              <w:spacing w:after="0"/>
              <w:rPr>
                <w:sz w:val="12"/>
                <w:szCs w:val="12"/>
                <w:color w:val="auto"/>
              </w:rPr>
            </w:pPr>
          </w:p>
        </w:tc>
        <w:tc>
          <w:tcPr>
            <w:tcW w:w="1800" w:type="dxa"/>
            <w:vAlign w:val="bottom"/>
            <w:tcBorders>
              <w:right w:val="single" w:sz="8" w:color="auto"/>
            </w:tcBorders>
            <w:gridSpan w:val="2"/>
            <w:shd w:val="clear" w:color="auto" w:fill="2AD2C9"/>
          </w:tcPr>
          <w:p>
            <w:pPr>
              <w:ind w:left="360"/>
              <w:spacing w:after="0" w:line="139" w:lineRule="exact"/>
              <w:rPr>
                <w:sz w:val="20"/>
                <w:szCs w:val="20"/>
                <w:color w:val="auto"/>
              </w:rPr>
            </w:pPr>
            <w:r>
              <w:rPr>
                <w:rFonts w:ascii="Arial" w:cs="Arial" w:eastAsia="Arial" w:hAnsi="Arial"/>
                <w:sz w:val="14"/>
                <w:szCs w:val="14"/>
                <w:b w:val="1"/>
                <w:bCs w:val="1"/>
                <w:color w:val="FFFFFF"/>
              </w:rPr>
              <w:t>Volume change</w:t>
            </w:r>
          </w:p>
        </w:tc>
        <w:tc>
          <w:tcPr>
            <w:tcW w:w="1800" w:type="dxa"/>
            <w:vAlign w:val="bottom"/>
            <w:tcBorders>
              <w:right w:val="single" w:sz="8" w:color="auto"/>
            </w:tcBorders>
            <w:gridSpan w:val="2"/>
            <w:shd w:val="clear" w:color="auto" w:fill="2AD2C9"/>
          </w:tcPr>
          <w:p>
            <w:pPr>
              <w:ind w:left="560"/>
              <w:spacing w:after="0" w:line="139" w:lineRule="exact"/>
              <w:rPr>
                <w:sz w:val="20"/>
                <w:szCs w:val="20"/>
                <w:color w:val="auto"/>
              </w:rPr>
            </w:pPr>
            <w:r>
              <w:rPr>
                <w:rFonts w:ascii="Arial" w:cs="Arial" w:eastAsia="Arial" w:hAnsi="Arial"/>
                <w:sz w:val="14"/>
                <w:szCs w:val="14"/>
                <w:b w:val="1"/>
                <w:bCs w:val="1"/>
                <w:color w:val="FFFFFF"/>
              </w:rPr>
              <w:t>% change</w:t>
            </w:r>
          </w:p>
        </w:tc>
        <w:tc>
          <w:tcPr>
            <w:tcW w:w="2640" w:type="dxa"/>
            <w:vAlign w:val="bottom"/>
            <w:tcBorders>
              <w:right w:val="single" w:sz="8" w:color="auto"/>
            </w:tcBorders>
            <w:gridSpan w:val="3"/>
            <w:shd w:val="clear" w:color="auto" w:fill="2AD2C9"/>
          </w:tcPr>
          <w:p>
            <w:pPr>
              <w:ind w:left="240"/>
              <w:spacing w:after="0" w:line="139" w:lineRule="exact"/>
              <w:rPr>
                <w:sz w:val="20"/>
                <w:szCs w:val="20"/>
                <w:color w:val="auto"/>
              </w:rPr>
            </w:pPr>
            <w:r>
              <w:rPr>
                <w:rFonts w:ascii="Arial" w:cs="Arial" w:eastAsia="Arial" w:hAnsi="Arial"/>
                <w:sz w:val="14"/>
                <w:szCs w:val="14"/>
                <w:b w:val="1"/>
                <w:bCs w:val="1"/>
                <w:color w:val="FFFFFF"/>
              </w:rPr>
              <w:t>% Part. in total structural loans</w:t>
            </w:r>
          </w:p>
        </w:tc>
      </w:tr>
      <w:tr>
        <w:trPr>
          <w:trHeight w:val="177"/>
        </w:trPr>
        <w:tc>
          <w:tcPr>
            <w:tcW w:w="230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color w:val="FFFFFF"/>
              </w:rPr>
              <w:t>(S/ millions)</w:t>
            </w:r>
          </w:p>
        </w:tc>
        <w:tc>
          <w:tcPr>
            <w:tcW w:w="88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Mar 21</w:t>
            </w:r>
          </w:p>
        </w:tc>
        <w:tc>
          <w:tcPr>
            <w:tcW w:w="820" w:type="dxa"/>
            <w:vAlign w:val="bottom"/>
            <w:tcBorders>
              <w:bottom w:val="single" w:sz="8" w:color="auto"/>
            </w:tcBorders>
            <w:shd w:val="clear" w:color="auto" w:fill="2AD2C9"/>
          </w:tcPr>
          <w:p>
            <w:pPr>
              <w:jc w:val="center"/>
              <w:ind w:left="48"/>
              <w:spacing w:after="0"/>
              <w:rPr>
                <w:sz w:val="20"/>
                <w:szCs w:val="20"/>
                <w:color w:val="auto"/>
              </w:rPr>
            </w:pPr>
            <w:r>
              <w:rPr>
                <w:rFonts w:ascii="Arial" w:cs="Arial" w:eastAsia="Arial" w:hAnsi="Arial"/>
                <w:sz w:val="14"/>
                <w:szCs w:val="14"/>
                <w:b w:val="1"/>
                <w:bCs w:val="1"/>
                <w:color w:val="FFFFFF"/>
              </w:rPr>
              <w:t>Dec 21</w:t>
            </w:r>
          </w:p>
        </w:tc>
        <w:tc>
          <w:tcPr>
            <w:tcW w:w="106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Mar 22</w:t>
            </w:r>
          </w:p>
        </w:tc>
        <w:tc>
          <w:tcPr>
            <w:tcW w:w="8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YoY</w:t>
            </w:r>
          </w:p>
        </w:tc>
        <w:tc>
          <w:tcPr>
            <w:tcW w:w="86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QoQ</w:t>
            </w:r>
          </w:p>
        </w:tc>
        <w:tc>
          <w:tcPr>
            <w:tcW w:w="9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YoY</w:t>
            </w:r>
          </w:p>
        </w:tc>
        <w:tc>
          <w:tcPr>
            <w:tcW w:w="90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4"/>
                <w:szCs w:val="14"/>
                <w:b w:val="1"/>
                <w:bCs w:val="1"/>
                <w:color w:val="FFFFFF"/>
              </w:rPr>
              <w:t>Mar 21</w:t>
            </w:r>
          </w:p>
        </w:tc>
        <w:tc>
          <w:tcPr>
            <w:tcW w:w="88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4"/>
                <w:szCs w:val="14"/>
                <w:b w:val="1"/>
                <w:bCs w:val="1"/>
                <w:color w:val="FFFFFF"/>
              </w:rPr>
              <w:t>Dec 21</w:t>
            </w:r>
          </w:p>
        </w:tc>
        <w:tc>
          <w:tcPr>
            <w:tcW w:w="8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Mar 22</w:t>
            </w:r>
          </w:p>
        </w:tc>
      </w:tr>
      <w:tr>
        <w:trPr>
          <w:trHeight w:val="130"/>
        </w:trPr>
        <w:tc>
          <w:tcPr>
            <w:tcW w:w="230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b w:val="1"/>
                <w:bCs w:val="1"/>
                <w:color w:val="auto"/>
              </w:rPr>
              <w:t>BCP Stand-alone</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90,278</w:t>
            </w:r>
          </w:p>
        </w:tc>
        <w:tc>
          <w:tcPr>
            <w:tcW w:w="820" w:type="dxa"/>
            <w:vAlign w:val="bottom"/>
          </w:tcPr>
          <w:p>
            <w:pPr>
              <w:jc w:val="center"/>
              <w:ind w:left="28"/>
              <w:spacing w:after="0" w:line="130" w:lineRule="exact"/>
              <w:rPr>
                <w:sz w:val="20"/>
                <w:szCs w:val="20"/>
                <w:color w:val="auto"/>
              </w:rPr>
            </w:pPr>
            <w:r>
              <w:rPr>
                <w:rFonts w:ascii="Arial" w:cs="Arial" w:eastAsia="Arial" w:hAnsi="Arial"/>
                <w:sz w:val="14"/>
                <w:szCs w:val="14"/>
                <w:b w:val="1"/>
                <w:bCs w:val="1"/>
                <w:color w:val="auto"/>
              </w:rPr>
              <w:t>101,729</w:t>
            </w:r>
          </w:p>
        </w:tc>
        <w:tc>
          <w:tcPr>
            <w:tcW w:w="1060" w:type="dxa"/>
            <w:vAlign w:val="bottom"/>
            <w:tcBorders>
              <w:right w:val="single" w:sz="8" w:color="auto"/>
            </w:tcBorders>
          </w:tcPr>
          <w:p>
            <w:pPr>
              <w:jc w:val="center"/>
              <w:ind w:left="28"/>
              <w:spacing w:after="0" w:line="130" w:lineRule="exact"/>
              <w:rPr>
                <w:sz w:val="20"/>
                <w:szCs w:val="20"/>
                <w:color w:val="auto"/>
              </w:rPr>
            </w:pPr>
            <w:r>
              <w:rPr>
                <w:rFonts w:ascii="Arial" w:cs="Arial" w:eastAsia="Arial" w:hAnsi="Arial"/>
                <w:sz w:val="14"/>
                <w:szCs w:val="14"/>
                <w:b w:val="1"/>
                <w:bCs w:val="1"/>
                <w:color w:val="auto"/>
              </w:rPr>
              <w:t>102,936</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1,207</w:t>
            </w:r>
          </w:p>
        </w:tc>
        <w:tc>
          <w:tcPr>
            <w:tcW w:w="9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12,658</w:t>
            </w:r>
          </w:p>
        </w:tc>
        <w:tc>
          <w:tcPr>
            <w:tcW w:w="8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1.2%</w:t>
            </w:r>
          </w:p>
        </w:tc>
        <w:tc>
          <w:tcPr>
            <w:tcW w:w="9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14.0%</w:t>
            </w:r>
          </w:p>
        </w:tc>
        <w:tc>
          <w:tcPr>
            <w:tcW w:w="9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80.4%</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81.2%</w:t>
            </w:r>
          </w:p>
        </w:tc>
        <w:tc>
          <w:tcPr>
            <w:tcW w:w="8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81.6%</w:t>
            </w:r>
          </w:p>
        </w:tc>
      </w:tr>
      <w:tr>
        <w:trPr>
          <w:trHeight w:val="171"/>
        </w:trPr>
        <w:tc>
          <w:tcPr>
            <w:tcW w:w="2300" w:type="dxa"/>
            <w:vAlign w:val="bottom"/>
            <w:tcBorders>
              <w:left w:val="single" w:sz="8" w:color="auto"/>
              <w:right w:val="single" w:sz="8" w:color="auto"/>
            </w:tcBorders>
          </w:tcPr>
          <w:p>
            <w:pPr>
              <w:ind w:left="140"/>
              <w:spacing w:after="0" w:line="172" w:lineRule="exact"/>
              <w:rPr>
                <w:sz w:val="20"/>
                <w:szCs w:val="20"/>
                <w:color w:val="auto"/>
              </w:rPr>
            </w:pPr>
            <w:r>
              <w:rPr>
                <w:rFonts w:ascii="Arial" w:cs="Arial" w:eastAsia="Arial" w:hAnsi="Arial"/>
                <w:sz w:val="12"/>
                <w:szCs w:val="12"/>
                <w:b w:val="1"/>
                <w:bCs w:val="1"/>
                <w:color w:val="auto"/>
              </w:rPr>
              <w:t xml:space="preserve">Wholesale Banking </w:t>
            </w:r>
            <w:r>
              <w:rPr>
                <w:rFonts w:ascii="Arial" w:cs="Arial" w:eastAsia="Arial" w:hAnsi="Arial"/>
                <w:sz w:val="19"/>
                <w:szCs w:val="19"/>
                <w:b w:val="1"/>
                <w:bCs w:val="1"/>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43,477</w:t>
            </w:r>
          </w:p>
        </w:tc>
        <w:tc>
          <w:tcPr>
            <w:tcW w:w="820" w:type="dxa"/>
            <w:vAlign w:val="bottom"/>
          </w:tcPr>
          <w:p>
            <w:pPr>
              <w:jc w:val="center"/>
              <w:ind w:left="28"/>
              <w:spacing w:after="0"/>
              <w:rPr>
                <w:sz w:val="20"/>
                <w:szCs w:val="20"/>
                <w:color w:val="auto"/>
              </w:rPr>
            </w:pPr>
            <w:r>
              <w:rPr>
                <w:rFonts w:ascii="Arial" w:cs="Arial" w:eastAsia="Arial" w:hAnsi="Arial"/>
                <w:sz w:val="14"/>
                <w:szCs w:val="14"/>
                <w:b w:val="1"/>
                <w:bCs w:val="1"/>
                <w:color w:val="auto"/>
              </w:rPr>
              <w:t>52,289</w:t>
            </w:r>
          </w:p>
        </w:tc>
        <w:tc>
          <w:tcPr>
            <w:tcW w:w="10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52,039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-251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8,562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-0.5%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19.7%</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38.7%</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41.7%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41.3%</w:t>
            </w:r>
          </w:p>
        </w:tc>
      </w:tr>
      <w:tr>
        <w:trPr>
          <w:trHeight w:val="162"/>
        </w:trPr>
        <w:tc>
          <w:tcPr>
            <w:tcW w:w="23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Corporate</w:t>
            </w:r>
          </w:p>
        </w:tc>
        <w:tc>
          <w:tcPr>
            <w:tcW w:w="880" w:type="dxa"/>
            <w:vAlign w:val="bottom"/>
          </w:tcPr>
          <w:p>
            <w:pPr>
              <w:jc w:val="center"/>
              <w:spacing w:after="0"/>
              <w:rPr>
                <w:sz w:val="20"/>
                <w:szCs w:val="20"/>
                <w:color w:val="auto"/>
              </w:rPr>
            </w:pPr>
            <w:r>
              <w:rPr>
                <w:rFonts w:ascii="Arial" w:cs="Arial" w:eastAsia="Arial" w:hAnsi="Arial"/>
                <w:sz w:val="14"/>
                <w:szCs w:val="14"/>
                <w:color w:val="auto"/>
              </w:rPr>
              <w:t>26,579</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31,426</w:t>
            </w:r>
          </w:p>
        </w:tc>
        <w:tc>
          <w:tcPr>
            <w:tcW w:w="10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rPr>
              <w:t>31,234</w:t>
            </w:r>
          </w:p>
        </w:tc>
        <w:tc>
          <w:tcPr>
            <w:tcW w:w="880" w:type="dxa"/>
            <w:vAlign w:val="bottom"/>
          </w:tcPr>
          <w:p>
            <w:pPr>
              <w:jc w:val="center"/>
              <w:spacing w:after="0"/>
              <w:rPr>
                <w:sz w:val="20"/>
                <w:szCs w:val="20"/>
                <w:color w:val="auto"/>
              </w:rPr>
            </w:pPr>
            <w:r>
              <w:rPr>
                <w:rFonts w:ascii="Arial" w:cs="Arial" w:eastAsia="Arial" w:hAnsi="Arial"/>
                <w:sz w:val="14"/>
                <w:szCs w:val="14"/>
                <w:color w:val="auto"/>
              </w:rPr>
              <w:t>-191</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4,655</w:t>
            </w:r>
          </w:p>
        </w:tc>
        <w:tc>
          <w:tcPr>
            <w:tcW w:w="860" w:type="dxa"/>
            <w:vAlign w:val="bottom"/>
          </w:tcPr>
          <w:p>
            <w:pPr>
              <w:jc w:val="center"/>
              <w:spacing w:after="0"/>
              <w:rPr>
                <w:sz w:val="20"/>
                <w:szCs w:val="20"/>
                <w:color w:val="auto"/>
              </w:rPr>
            </w:pPr>
            <w:r>
              <w:rPr>
                <w:rFonts w:ascii="Arial" w:cs="Arial" w:eastAsia="Arial" w:hAnsi="Arial"/>
                <w:sz w:val="14"/>
                <w:szCs w:val="14"/>
                <w:color w:val="auto"/>
              </w:rPr>
              <w:t>-0.6%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17.5%</w:t>
            </w:r>
          </w:p>
        </w:tc>
        <w:tc>
          <w:tcPr>
            <w:tcW w:w="900" w:type="dxa"/>
            <w:vAlign w:val="bottom"/>
          </w:tcPr>
          <w:p>
            <w:pPr>
              <w:jc w:val="center"/>
              <w:spacing w:after="0"/>
              <w:rPr>
                <w:sz w:val="20"/>
                <w:szCs w:val="20"/>
                <w:color w:val="auto"/>
              </w:rPr>
            </w:pPr>
            <w:r>
              <w:rPr>
                <w:rFonts w:ascii="Arial" w:cs="Arial" w:eastAsia="Arial" w:hAnsi="Arial"/>
                <w:sz w:val="14"/>
                <w:szCs w:val="14"/>
                <w:color w:val="auto"/>
              </w:rPr>
              <w:t>23.7%</w:t>
            </w:r>
          </w:p>
        </w:tc>
        <w:tc>
          <w:tcPr>
            <w:tcW w:w="880" w:type="dxa"/>
            <w:vAlign w:val="bottom"/>
          </w:tcPr>
          <w:p>
            <w:pPr>
              <w:jc w:val="center"/>
              <w:spacing w:after="0"/>
              <w:rPr>
                <w:sz w:val="20"/>
                <w:szCs w:val="20"/>
                <w:color w:val="auto"/>
              </w:rPr>
            </w:pPr>
            <w:r>
              <w:rPr>
                <w:rFonts w:ascii="Arial" w:cs="Arial" w:eastAsia="Arial" w:hAnsi="Arial"/>
                <w:sz w:val="14"/>
                <w:szCs w:val="14"/>
                <w:color w:val="auto"/>
              </w:rPr>
              <w:t>25.1%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24.8%</w:t>
            </w:r>
          </w:p>
        </w:tc>
      </w:tr>
      <w:tr>
        <w:trPr>
          <w:trHeight w:val="157"/>
        </w:trPr>
        <w:tc>
          <w:tcPr>
            <w:tcW w:w="2300" w:type="dxa"/>
            <w:vAlign w:val="bottom"/>
            <w:tcBorders>
              <w:left w:val="single" w:sz="8" w:color="auto"/>
              <w:right w:val="single" w:sz="8" w:color="auto"/>
            </w:tcBorders>
          </w:tcPr>
          <w:p>
            <w:pPr>
              <w:ind w:left="280"/>
              <w:spacing w:after="0" w:line="154" w:lineRule="exact"/>
              <w:rPr>
                <w:sz w:val="20"/>
                <w:szCs w:val="20"/>
                <w:color w:val="auto"/>
              </w:rPr>
            </w:pPr>
            <w:r>
              <w:rPr>
                <w:rFonts w:ascii="Arial" w:cs="Arial" w:eastAsia="Arial" w:hAnsi="Arial"/>
                <w:sz w:val="14"/>
                <w:szCs w:val="14"/>
                <w:color w:val="auto"/>
              </w:rPr>
              <w:t>Middle - Market</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16,898</w:t>
            </w:r>
          </w:p>
        </w:tc>
        <w:tc>
          <w:tcPr>
            <w:tcW w:w="820" w:type="dxa"/>
            <w:vAlign w:val="bottom"/>
          </w:tcPr>
          <w:p>
            <w:pPr>
              <w:jc w:val="center"/>
              <w:ind w:left="28"/>
              <w:spacing w:after="0" w:line="154" w:lineRule="exact"/>
              <w:rPr>
                <w:sz w:val="20"/>
                <w:szCs w:val="20"/>
                <w:color w:val="auto"/>
              </w:rPr>
            </w:pPr>
            <w:r>
              <w:rPr>
                <w:rFonts w:ascii="Arial" w:cs="Arial" w:eastAsia="Arial" w:hAnsi="Arial"/>
                <w:sz w:val="14"/>
                <w:szCs w:val="14"/>
                <w:color w:val="auto"/>
              </w:rPr>
              <w:t>20,864</w:t>
            </w:r>
          </w:p>
        </w:tc>
        <w:tc>
          <w:tcPr>
            <w:tcW w:w="1060" w:type="dxa"/>
            <w:vAlign w:val="bottom"/>
            <w:tcBorders>
              <w:right w:val="single" w:sz="8" w:color="auto"/>
            </w:tcBorders>
          </w:tcPr>
          <w:p>
            <w:pPr>
              <w:jc w:val="center"/>
              <w:ind w:left="28"/>
              <w:spacing w:after="0" w:line="154" w:lineRule="exact"/>
              <w:rPr>
                <w:sz w:val="20"/>
                <w:szCs w:val="20"/>
                <w:color w:val="auto"/>
              </w:rPr>
            </w:pPr>
            <w:r>
              <w:rPr>
                <w:rFonts w:ascii="Arial" w:cs="Arial" w:eastAsia="Arial" w:hAnsi="Arial"/>
                <w:sz w:val="14"/>
                <w:szCs w:val="14"/>
                <w:color w:val="auto"/>
              </w:rPr>
              <w:t>20,805</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-59</w:t>
            </w:r>
          </w:p>
        </w:tc>
        <w:tc>
          <w:tcPr>
            <w:tcW w:w="920" w:type="dxa"/>
            <w:vAlign w:val="bottom"/>
            <w:tcBorders>
              <w:bottom w:val="single" w:sz="8" w:color="26D07C"/>
              <w:right w:val="single" w:sz="8" w:color="auto"/>
            </w:tcBorders>
            <w:shd w:val="clear" w:color="auto" w:fill="26D07C"/>
          </w:tcPr>
          <w:p>
            <w:pPr>
              <w:jc w:val="center"/>
              <w:spacing w:after="0" w:line="154" w:lineRule="exact"/>
              <w:rPr>
                <w:sz w:val="20"/>
                <w:szCs w:val="20"/>
                <w:color w:val="auto"/>
              </w:rPr>
            </w:pPr>
            <w:r>
              <w:rPr>
                <w:rFonts w:ascii="Arial" w:cs="Arial" w:eastAsia="Arial" w:hAnsi="Arial"/>
                <w:sz w:val="14"/>
                <w:szCs w:val="14"/>
                <w:color w:val="auto"/>
              </w:rPr>
              <w:t>3,907</w:t>
            </w: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rPr>
              <w:t>-0.3%</w:t>
            </w:r>
          </w:p>
        </w:tc>
        <w:tc>
          <w:tcPr>
            <w:tcW w:w="94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23.1%</w:t>
            </w:r>
          </w:p>
        </w:tc>
        <w:tc>
          <w:tcPr>
            <w:tcW w:w="900" w:type="dxa"/>
            <w:vAlign w:val="bottom"/>
          </w:tcPr>
          <w:p>
            <w:pPr>
              <w:jc w:val="center"/>
              <w:spacing w:after="0" w:line="154" w:lineRule="exact"/>
              <w:rPr>
                <w:sz w:val="20"/>
                <w:szCs w:val="20"/>
                <w:color w:val="auto"/>
              </w:rPr>
            </w:pPr>
            <w:r>
              <w:rPr>
                <w:rFonts w:ascii="Arial" w:cs="Arial" w:eastAsia="Arial" w:hAnsi="Arial"/>
                <w:sz w:val="14"/>
                <w:szCs w:val="14"/>
                <w:color w:val="auto"/>
              </w:rPr>
              <w:t>15.1%</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16.6%</w:t>
            </w:r>
          </w:p>
        </w:tc>
        <w:tc>
          <w:tcPr>
            <w:tcW w:w="8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16.5%</w:t>
            </w:r>
          </w:p>
        </w:tc>
      </w:tr>
      <w:tr>
        <w:trPr>
          <w:trHeight w:val="148"/>
        </w:trPr>
        <w:tc>
          <w:tcPr>
            <w:tcW w:w="2300" w:type="dxa"/>
            <w:vAlign w:val="bottom"/>
            <w:tcBorders>
              <w:left w:val="single" w:sz="8" w:color="auto"/>
              <w:right w:val="single" w:sz="8" w:color="auto"/>
            </w:tcBorders>
          </w:tcPr>
          <w:p>
            <w:pPr>
              <w:ind w:left="140"/>
              <w:spacing w:after="0" w:line="148" w:lineRule="exact"/>
              <w:rPr>
                <w:sz w:val="20"/>
                <w:szCs w:val="20"/>
                <w:color w:val="auto"/>
              </w:rPr>
            </w:pPr>
            <w:r>
              <w:rPr>
                <w:rFonts w:ascii="Arial" w:cs="Arial" w:eastAsia="Arial" w:hAnsi="Arial"/>
                <w:sz w:val="11"/>
                <w:szCs w:val="11"/>
                <w:b w:val="1"/>
                <w:bCs w:val="1"/>
                <w:color w:val="auto"/>
              </w:rPr>
              <w:t xml:space="preserve">Retail Banking </w:t>
            </w:r>
            <w:r>
              <w:rPr>
                <w:rFonts w:ascii="Arial" w:cs="Arial" w:eastAsia="Arial" w:hAnsi="Arial"/>
                <w:sz w:val="17"/>
                <w:szCs w:val="17"/>
                <w:b w:val="1"/>
                <w:bCs w:val="1"/>
                <w:color w:val="auto"/>
                <w:vertAlign w:val="superscript"/>
              </w:rPr>
              <w:t>(2)</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46,801</w:t>
            </w:r>
          </w:p>
        </w:tc>
        <w:tc>
          <w:tcPr>
            <w:tcW w:w="820" w:type="dxa"/>
            <w:vAlign w:val="bottom"/>
          </w:tcPr>
          <w:p>
            <w:pPr>
              <w:jc w:val="center"/>
              <w:ind w:left="28"/>
              <w:spacing w:after="0" w:line="148" w:lineRule="exact"/>
              <w:rPr>
                <w:sz w:val="20"/>
                <w:szCs w:val="20"/>
                <w:color w:val="auto"/>
              </w:rPr>
            </w:pPr>
            <w:r>
              <w:rPr>
                <w:rFonts w:ascii="Arial" w:cs="Arial" w:eastAsia="Arial" w:hAnsi="Arial"/>
                <w:sz w:val="14"/>
                <w:szCs w:val="14"/>
                <w:b w:val="1"/>
                <w:bCs w:val="1"/>
                <w:color w:val="auto"/>
              </w:rPr>
              <w:t>49,439</w:t>
            </w:r>
          </w:p>
        </w:tc>
        <w:tc>
          <w:tcPr>
            <w:tcW w:w="1060" w:type="dxa"/>
            <w:vAlign w:val="bottom"/>
            <w:tcBorders>
              <w:right w:val="single" w:sz="8" w:color="auto"/>
            </w:tcBorders>
          </w:tcPr>
          <w:p>
            <w:pPr>
              <w:jc w:val="center"/>
              <w:ind w:left="28"/>
              <w:spacing w:after="0" w:line="148" w:lineRule="exact"/>
              <w:rPr>
                <w:sz w:val="20"/>
                <w:szCs w:val="20"/>
                <w:color w:val="auto"/>
              </w:rPr>
            </w:pPr>
            <w:r>
              <w:rPr>
                <w:rFonts w:ascii="Arial" w:cs="Arial" w:eastAsia="Arial" w:hAnsi="Arial"/>
                <w:sz w:val="14"/>
                <w:szCs w:val="14"/>
                <w:b w:val="1"/>
                <w:bCs w:val="1"/>
                <w:color w:val="auto"/>
              </w:rPr>
              <w:t>50,897</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1,458</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4,096</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2.9%</w:t>
            </w:r>
          </w:p>
        </w:tc>
        <w:tc>
          <w:tcPr>
            <w:tcW w:w="9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8.8%</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41.7%</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39.4%</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40.4%</w:t>
            </w:r>
          </w:p>
        </w:tc>
      </w:tr>
      <w:tr>
        <w:trPr>
          <w:trHeight w:val="162"/>
        </w:trPr>
        <w:tc>
          <w:tcPr>
            <w:tcW w:w="23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SME - Business</w:t>
            </w:r>
          </w:p>
        </w:tc>
        <w:tc>
          <w:tcPr>
            <w:tcW w:w="880" w:type="dxa"/>
            <w:vAlign w:val="bottom"/>
          </w:tcPr>
          <w:p>
            <w:pPr>
              <w:jc w:val="center"/>
              <w:spacing w:after="0"/>
              <w:rPr>
                <w:sz w:val="20"/>
                <w:szCs w:val="20"/>
                <w:color w:val="auto"/>
              </w:rPr>
            </w:pPr>
            <w:r>
              <w:rPr>
                <w:rFonts w:ascii="Arial" w:cs="Arial" w:eastAsia="Arial" w:hAnsi="Arial"/>
                <w:sz w:val="14"/>
                <w:szCs w:val="14"/>
                <w:color w:val="auto"/>
              </w:rPr>
              <w:t>4,287</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5,302</w:t>
            </w:r>
          </w:p>
        </w:tc>
        <w:tc>
          <w:tcPr>
            <w:tcW w:w="10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rPr>
              <w:t>4,858</w:t>
            </w:r>
          </w:p>
        </w:tc>
        <w:tc>
          <w:tcPr>
            <w:tcW w:w="880" w:type="dxa"/>
            <w:vAlign w:val="bottom"/>
            <w:shd w:val="clear" w:color="auto" w:fill="E93CAC"/>
          </w:tcPr>
          <w:p>
            <w:pPr>
              <w:jc w:val="center"/>
              <w:spacing w:after="0"/>
              <w:rPr>
                <w:sz w:val="20"/>
                <w:szCs w:val="20"/>
                <w:color w:val="auto"/>
              </w:rPr>
            </w:pPr>
            <w:r>
              <w:rPr>
                <w:rFonts w:ascii="Arial" w:cs="Arial" w:eastAsia="Arial" w:hAnsi="Arial"/>
                <w:sz w:val="14"/>
                <w:szCs w:val="14"/>
                <w:color w:val="auto"/>
              </w:rPr>
              <w:t>-444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571</w:t>
            </w:r>
          </w:p>
        </w:tc>
        <w:tc>
          <w:tcPr>
            <w:tcW w:w="860" w:type="dxa"/>
            <w:vAlign w:val="bottom"/>
          </w:tcPr>
          <w:p>
            <w:pPr>
              <w:jc w:val="center"/>
              <w:spacing w:after="0"/>
              <w:rPr>
                <w:sz w:val="20"/>
                <w:szCs w:val="20"/>
                <w:color w:val="auto"/>
              </w:rPr>
            </w:pPr>
            <w:r>
              <w:rPr>
                <w:rFonts w:ascii="Arial" w:cs="Arial" w:eastAsia="Arial" w:hAnsi="Arial"/>
                <w:sz w:val="14"/>
                <w:szCs w:val="14"/>
                <w:color w:val="auto"/>
              </w:rPr>
              <w:t>-8.4%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13.3%</w:t>
            </w:r>
          </w:p>
        </w:tc>
        <w:tc>
          <w:tcPr>
            <w:tcW w:w="900" w:type="dxa"/>
            <w:vAlign w:val="bottom"/>
          </w:tcPr>
          <w:p>
            <w:pPr>
              <w:jc w:val="center"/>
              <w:spacing w:after="0"/>
              <w:rPr>
                <w:sz w:val="20"/>
                <w:szCs w:val="20"/>
                <w:color w:val="auto"/>
              </w:rPr>
            </w:pPr>
            <w:r>
              <w:rPr>
                <w:rFonts w:ascii="Arial" w:cs="Arial" w:eastAsia="Arial" w:hAnsi="Arial"/>
                <w:sz w:val="14"/>
                <w:szCs w:val="14"/>
                <w:color w:val="auto"/>
              </w:rPr>
              <w:t>3.8%</w:t>
            </w:r>
          </w:p>
        </w:tc>
        <w:tc>
          <w:tcPr>
            <w:tcW w:w="880" w:type="dxa"/>
            <w:vAlign w:val="bottom"/>
          </w:tcPr>
          <w:p>
            <w:pPr>
              <w:jc w:val="center"/>
              <w:spacing w:after="0"/>
              <w:rPr>
                <w:sz w:val="20"/>
                <w:szCs w:val="20"/>
                <w:color w:val="auto"/>
              </w:rPr>
            </w:pPr>
            <w:r>
              <w:rPr>
                <w:rFonts w:ascii="Arial" w:cs="Arial" w:eastAsia="Arial" w:hAnsi="Arial"/>
                <w:sz w:val="14"/>
                <w:szCs w:val="14"/>
                <w:color w:val="auto"/>
              </w:rPr>
              <w:t>4.2%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w:t>
            </w:r>
          </w:p>
        </w:tc>
      </w:tr>
      <w:tr>
        <w:trPr>
          <w:trHeight w:val="177"/>
        </w:trPr>
        <w:tc>
          <w:tcPr>
            <w:tcW w:w="23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SME - Pyme</w:t>
            </w:r>
          </w:p>
        </w:tc>
        <w:tc>
          <w:tcPr>
            <w:tcW w:w="880" w:type="dxa"/>
            <w:vAlign w:val="bottom"/>
          </w:tcPr>
          <w:p>
            <w:pPr>
              <w:jc w:val="center"/>
              <w:spacing w:after="0"/>
              <w:rPr>
                <w:sz w:val="20"/>
                <w:szCs w:val="20"/>
                <w:color w:val="auto"/>
              </w:rPr>
            </w:pPr>
            <w:r>
              <w:rPr>
                <w:rFonts w:ascii="Arial" w:cs="Arial" w:eastAsia="Arial" w:hAnsi="Arial"/>
                <w:sz w:val="14"/>
                <w:szCs w:val="14"/>
                <w:color w:val="auto"/>
              </w:rPr>
              <w:t>10,760</w:t>
            </w:r>
          </w:p>
        </w:tc>
        <w:tc>
          <w:tcPr>
            <w:tcW w:w="820" w:type="dxa"/>
            <w:vAlign w:val="bottom"/>
          </w:tcPr>
          <w:p>
            <w:pPr>
              <w:jc w:val="center"/>
              <w:ind w:left="48"/>
              <w:spacing w:after="0"/>
              <w:rPr>
                <w:sz w:val="20"/>
                <w:szCs w:val="20"/>
                <w:color w:val="auto"/>
              </w:rPr>
            </w:pPr>
            <w:r>
              <w:rPr>
                <w:rFonts w:ascii="Arial" w:cs="Arial" w:eastAsia="Arial" w:hAnsi="Arial"/>
                <w:sz w:val="14"/>
                <w:szCs w:val="14"/>
                <w:color w:val="auto"/>
                <w:w w:val="97"/>
              </w:rPr>
              <w:t>11,597</w:t>
            </w:r>
          </w:p>
        </w:tc>
        <w:tc>
          <w:tcPr>
            <w:tcW w:w="10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rPr>
              <w:t>12,210</w:t>
            </w:r>
          </w:p>
        </w:tc>
        <w:tc>
          <w:tcPr>
            <w:tcW w:w="88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613</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1,450</w:t>
            </w:r>
          </w:p>
        </w:tc>
        <w:tc>
          <w:tcPr>
            <w:tcW w:w="860" w:type="dxa"/>
            <w:vAlign w:val="bottom"/>
          </w:tcPr>
          <w:p>
            <w:pPr>
              <w:jc w:val="center"/>
              <w:spacing w:after="0"/>
              <w:rPr>
                <w:sz w:val="20"/>
                <w:szCs w:val="20"/>
                <w:color w:val="auto"/>
              </w:rPr>
            </w:pPr>
            <w:r>
              <w:rPr>
                <w:rFonts w:ascii="Arial" w:cs="Arial" w:eastAsia="Arial" w:hAnsi="Arial"/>
                <w:sz w:val="14"/>
                <w:szCs w:val="14"/>
                <w:color w:val="auto"/>
              </w:rPr>
              <w:t>5.3%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13.5%</w:t>
            </w:r>
          </w:p>
        </w:tc>
        <w:tc>
          <w:tcPr>
            <w:tcW w:w="900" w:type="dxa"/>
            <w:vAlign w:val="bottom"/>
          </w:tcPr>
          <w:p>
            <w:pPr>
              <w:jc w:val="center"/>
              <w:spacing w:after="0"/>
              <w:rPr>
                <w:sz w:val="20"/>
                <w:szCs w:val="20"/>
                <w:color w:val="auto"/>
              </w:rPr>
            </w:pPr>
            <w:r>
              <w:rPr>
                <w:rFonts w:ascii="Arial" w:cs="Arial" w:eastAsia="Arial" w:hAnsi="Arial"/>
                <w:sz w:val="14"/>
                <w:szCs w:val="14"/>
                <w:color w:val="auto"/>
              </w:rPr>
              <w:t>9.6%</w:t>
            </w:r>
          </w:p>
        </w:tc>
        <w:tc>
          <w:tcPr>
            <w:tcW w:w="880" w:type="dxa"/>
            <w:vAlign w:val="bottom"/>
          </w:tcPr>
          <w:p>
            <w:pPr>
              <w:jc w:val="center"/>
              <w:spacing w:after="0"/>
              <w:rPr>
                <w:sz w:val="20"/>
                <w:szCs w:val="20"/>
                <w:color w:val="auto"/>
              </w:rPr>
            </w:pPr>
            <w:r>
              <w:rPr>
                <w:rFonts w:ascii="Arial" w:cs="Arial" w:eastAsia="Arial" w:hAnsi="Arial"/>
                <w:sz w:val="14"/>
                <w:szCs w:val="14"/>
                <w:color w:val="auto"/>
              </w:rPr>
              <w:t>9.3%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9.7%</w:t>
            </w:r>
          </w:p>
        </w:tc>
      </w:tr>
      <w:tr>
        <w:trPr>
          <w:trHeight w:val="148"/>
        </w:trPr>
        <w:tc>
          <w:tcPr>
            <w:tcW w:w="2300" w:type="dxa"/>
            <w:vAlign w:val="bottom"/>
            <w:tcBorders>
              <w:left w:val="single" w:sz="8" w:color="auto"/>
              <w:right w:val="single" w:sz="8" w:color="auto"/>
            </w:tcBorders>
          </w:tcPr>
          <w:p>
            <w:pPr>
              <w:ind w:left="280"/>
              <w:spacing w:after="0" w:line="148" w:lineRule="exact"/>
              <w:rPr>
                <w:sz w:val="20"/>
                <w:szCs w:val="20"/>
                <w:color w:val="auto"/>
              </w:rPr>
            </w:pPr>
            <w:r>
              <w:rPr>
                <w:rFonts w:ascii="Arial" w:cs="Arial" w:eastAsia="Arial" w:hAnsi="Arial"/>
                <w:sz w:val="14"/>
                <w:szCs w:val="14"/>
                <w:color w:val="auto"/>
              </w:rPr>
              <w:t>Mortgage</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17,720</w:t>
            </w:r>
          </w:p>
        </w:tc>
        <w:tc>
          <w:tcPr>
            <w:tcW w:w="820" w:type="dxa"/>
            <w:vAlign w:val="bottom"/>
          </w:tcPr>
          <w:p>
            <w:pPr>
              <w:jc w:val="center"/>
              <w:ind w:left="28"/>
              <w:spacing w:after="0" w:line="148" w:lineRule="exact"/>
              <w:rPr>
                <w:sz w:val="20"/>
                <w:szCs w:val="20"/>
                <w:color w:val="auto"/>
              </w:rPr>
            </w:pPr>
            <w:r>
              <w:rPr>
                <w:rFonts w:ascii="Arial" w:cs="Arial" w:eastAsia="Arial" w:hAnsi="Arial"/>
                <w:sz w:val="14"/>
                <w:szCs w:val="14"/>
                <w:color w:val="auto"/>
              </w:rPr>
              <w:t>18,432</w:t>
            </w:r>
          </w:p>
        </w:tc>
        <w:tc>
          <w:tcPr>
            <w:tcW w:w="1060" w:type="dxa"/>
            <w:vAlign w:val="bottom"/>
            <w:tcBorders>
              <w:right w:val="single" w:sz="8" w:color="auto"/>
            </w:tcBorders>
          </w:tcPr>
          <w:p>
            <w:pPr>
              <w:jc w:val="center"/>
              <w:ind w:left="28"/>
              <w:spacing w:after="0" w:line="148" w:lineRule="exact"/>
              <w:rPr>
                <w:sz w:val="20"/>
                <w:szCs w:val="20"/>
                <w:color w:val="auto"/>
              </w:rPr>
            </w:pPr>
            <w:r>
              <w:rPr>
                <w:rFonts w:ascii="Arial" w:cs="Arial" w:eastAsia="Arial" w:hAnsi="Arial"/>
                <w:sz w:val="14"/>
                <w:szCs w:val="14"/>
                <w:color w:val="auto"/>
              </w:rPr>
              <w:t>18,833</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401</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w w:val="96"/>
              </w:rPr>
              <w:t>1,112</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rPr>
              <w:t>2.2%</w:t>
            </w:r>
          </w:p>
        </w:tc>
        <w:tc>
          <w:tcPr>
            <w:tcW w:w="9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6.3%</w:t>
            </w:r>
          </w:p>
        </w:tc>
        <w:tc>
          <w:tcPr>
            <w:tcW w:w="900" w:type="dxa"/>
            <w:vAlign w:val="bottom"/>
          </w:tcPr>
          <w:p>
            <w:pPr>
              <w:jc w:val="center"/>
              <w:spacing w:after="0" w:line="148" w:lineRule="exact"/>
              <w:rPr>
                <w:sz w:val="20"/>
                <w:szCs w:val="20"/>
                <w:color w:val="auto"/>
              </w:rPr>
            </w:pPr>
            <w:r>
              <w:rPr>
                <w:rFonts w:ascii="Arial" w:cs="Arial" w:eastAsia="Arial" w:hAnsi="Arial"/>
                <w:sz w:val="14"/>
                <w:szCs w:val="14"/>
                <w:color w:val="auto"/>
              </w:rPr>
              <w:t>15.8%</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14.7%</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14.9%</w:t>
            </w:r>
          </w:p>
        </w:tc>
      </w:tr>
      <w:tr>
        <w:trPr>
          <w:trHeight w:val="177"/>
        </w:trPr>
        <w:tc>
          <w:tcPr>
            <w:tcW w:w="23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880" w:type="dxa"/>
            <w:vAlign w:val="bottom"/>
          </w:tcPr>
          <w:p>
            <w:pPr>
              <w:jc w:val="center"/>
              <w:spacing w:after="0"/>
              <w:rPr>
                <w:sz w:val="20"/>
                <w:szCs w:val="20"/>
                <w:color w:val="auto"/>
              </w:rPr>
            </w:pPr>
            <w:r>
              <w:rPr>
                <w:rFonts w:ascii="Arial" w:cs="Arial" w:eastAsia="Arial" w:hAnsi="Arial"/>
                <w:sz w:val="14"/>
                <w:szCs w:val="14"/>
                <w:color w:val="auto"/>
              </w:rPr>
              <w:t>9,958</w:t>
            </w:r>
          </w:p>
        </w:tc>
        <w:tc>
          <w:tcPr>
            <w:tcW w:w="820" w:type="dxa"/>
            <w:vAlign w:val="bottom"/>
          </w:tcPr>
          <w:p>
            <w:pPr>
              <w:jc w:val="center"/>
              <w:ind w:left="28"/>
              <w:spacing w:after="0"/>
              <w:rPr>
                <w:sz w:val="20"/>
                <w:szCs w:val="20"/>
                <w:color w:val="auto"/>
              </w:rPr>
            </w:pPr>
            <w:r>
              <w:rPr>
                <w:rFonts w:ascii="Arial" w:cs="Arial" w:eastAsia="Arial" w:hAnsi="Arial"/>
                <w:sz w:val="14"/>
                <w:szCs w:val="14"/>
                <w:color w:val="auto"/>
              </w:rPr>
              <w:t>10,296</w:t>
            </w:r>
          </w:p>
        </w:tc>
        <w:tc>
          <w:tcPr>
            <w:tcW w:w="10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color w:val="auto"/>
              </w:rPr>
              <w:t>10,974</w:t>
            </w:r>
          </w:p>
        </w:tc>
        <w:tc>
          <w:tcPr>
            <w:tcW w:w="88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678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1,015</w:t>
            </w:r>
          </w:p>
        </w:tc>
        <w:tc>
          <w:tcPr>
            <w:tcW w:w="860" w:type="dxa"/>
            <w:vAlign w:val="bottom"/>
          </w:tcPr>
          <w:p>
            <w:pPr>
              <w:jc w:val="center"/>
              <w:spacing w:after="0"/>
              <w:rPr>
                <w:sz w:val="20"/>
                <w:szCs w:val="20"/>
                <w:color w:val="auto"/>
              </w:rPr>
            </w:pPr>
            <w:r>
              <w:rPr>
                <w:rFonts w:ascii="Arial" w:cs="Arial" w:eastAsia="Arial" w:hAnsi="Arial"/>
                <w:sz w:val="14"/>
                <w:szCs w:val="14"/>
                <w:color w:val="auto"/>
              </w:rPr>
              <w:t>6.6%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spacing w:after="0"/>
              <w:rPr>
                <w:sz w:val="20"/>
                <w:szCs w:val="20"/>
                <w:color w:val="auto"/>
              </w:rPr>
            </w:pPr>
            <w:r>
              <w:rPr>
                <w:rFonts w:ascii="Arial" w:cs="Arial" w:eastAsia="Arial" w:hAnsi="Arial"/>
                <w:sz w:val="14"/>
                <w:szCs w:val="14"/>
                <w:color w:val="auto"/>
              </w:rPr>
              <w:t>8.9%</w:t>
            </w:r>
          </w:p>
        </w:tc>
        <w:tc>
          <w:tcPr>
            <w:tcW w:w="880" w:type="dxa"/>
            <w:vAlign w:val="bottom"/>
          </w:tcPr>
          <w:p>
            <w:pPr>
              <w:jc w:val="center"/>
              <w:spacing w:after="0"/>
              <w:rPr>
                <w:sz w:val="20"/>
                <w:szCs w:val="20"/>
                <w:color w:val="auto"/>
              </w:rPr>
            </w:pPr>
            <w:r>
              <w:rPr>
                <w:rFonts w:ascii="Arial" w:cs="Arial" w:eastAsia="Arial" w:hAnsi="Arial"/>
                <w:sz w:val="14"/>
                <w:szCs w:val="14"/>
                <w:color w:val="auto"/>
              </w:rPr>
              <w:t>8.2%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8.7%</w:t>
            </w:r>
          </w:p>
        </w:tc>
      </w:tr>
      <w:tr>
        <w:trPr>
          <w:trHeight w:val="148"/>
        </w:trPr>
        <w:tc>
          <w:tcPr>
            <w:tcW w:w="2300" w:type="dxa"/>
            <w:vAlign w:val="bottom"/>
            <w:tcBorders>
              <w:left w:val="single" w:sz="8" w:color="auto"/>
              <w:right w:val="single" w:sz="8" w:color="auto"/>
            </w:tcBorders>
          </w:tcPr>
          <w:p>
            <w:pPr>
              <w:ind w:left="280"/>
              <w:spacing w:after="0" w:line="148" w:lineRule="exact"/>
              <w:rPr>
                <w:sz w:val="20"/>
                <w:szCs w:val="20"/>
                <w:color w:val="auto"/>
              </w:rPr>
            </w:pPr>
            <w:r>
              <w:rPr>
                <w:rFonts w:ascii="Arial" w:cs="Arial" w:eastAsia="Arial" w:hAnsi="Arial"/>
                <w:sz w:val="14"/>
                <w:szCs w:val="14"/>
                <w:color w:val="auto"/>
              </w:rPr>
              <w:t>Credit Card</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4,075</w:t>
            </w:r>
          </w:p>
        </w:tc>
        <w:tc>
          <w:tcPr>
            <w:tcW w:w="820" w:type="dxa"/>
            <w:vAlign w:val="bottom"/>
          </w:tcPr>
          <w:p>
            <w:pPr>
              <w:jc w:val="center"/>
              <w:ind w:left="28"/>
              <w:spacing w:after="0" w:line="148" w:lineRule="exact"/>
              <w:rPr>
                <w:sz w:val="20"/>
                <w:szCs w:val="20"/>
                <w:color w:val="auto"/>
              </w:rPr>
            </w:pPr>
            <w:r>
              <w:rPr>
                <w:rFonts w:ascii="Arial" w:cs="Arial" w:eastAsia="Arial" w:hAnsi="Arial"/>
                <w:sz w:val="14"/>
                <w:szCs w:val="14"/>
                <w:color w:val="auto"/>
              </w:rPr>
              <w:t>3,813</w:t>
            </w:r>
          </w:p>
        </w:tc>
        <w:tc>
          <w:tcPr>
            <w:tcW w:w="1060" w:type="dxa"/>
            <w:vAlign w:val="bottom"/>
            <w:tcBorders>
              <w:right w:val="single" w:sz="8" w:color="auto"/>
            </w:tcBorders>
          </w:tcPr>
          <w:p>
            <w:pPr>
              <w:jc w:val="center"/>
              <w:ind w:left="28"/>
              <w:spacing w:after="0" w:line="148" w:lineRule="exact"/>
              <w:rPr>
                <w:sz w:val="20"/>
                <w:szCs w:val="20"/>
                <w:color w:val="auto"/>
              </w:rPr>
            </w:pPr>
            <w:r>
              <w:rPr>
                <w:rFonts w:ascii="Arial" w:cs="Arial" w:eastAsia="Arial" w:hAnsi="Arial"/>
                <w:sz w:val="14"/>
                <w:szCs w:val="14"/>
                <w:color w:val="auto"/>
              </w:rPr>
              <w:t>4,022</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209</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-53</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rPr>
              <w:t>5.5%</w:t>
            </w:r>
          </w:p>
        </w:tc>
        <w:tc>
          <w:tcPr>
            <w:tcW w:w="9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-1.3%</w:t>
            </w:r>
          </w:p>
        </w:tc>
        <w:tc>
          <w:tcPr>
            <w:tcW w:w="900" w:type="dxa"/>
            <w:vAlign w:val="bottom"/>
          </w:tcPr>
          <w:p>
            <w:pPr>
              <w:jc w:val="center"/>
              <w:spacing w:after="0" w:line="148" w:lineRule="exact"/>
              <w:rPr>
                <w:sz w:val="20"/>
                <w:szCs w:val="20"/>
                <w:color w:val="auto"/>
              </w:rPr>
            </w:pPr>
            <w:r>
              <w:rPr>
                <w:rFonts w:ascii="Arial" w:cs="Arial" w:eastAsia="Arial" w:hAnsi="Arial"/>
                <w:sz w:val="14"/>
                <w:szCs w:val="14"/>
                <w:color w:val="auto"/>
              </w:rPr>
              <w:t>3.6%</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3.0%</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3.2%</w:t>
            </w:r>
          </w:p>
        </w:tc>
      </w:tr>
      <w:tr>
        <w:trPr>
          <w:trHeight w:val="17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Mibanco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10,102</w:t>
            </w:r>
          </w:p>
        </w:tc>
        <w:tc>
          <w:tcPr>
            <w:tcW w:w="820" w:type="dxa"/>
            <w:vAlign w:val="bottom"/>
          </w:tcPr>
          <w:p>
            <w:pPr>
              <w:jc w:val="center"/>
              <w:ind w:left="28"/>
              <w:spacing w:after="0"/>
              <w:rPr>
                <w:sz w:val="20"/>
                <w:szCs w:val="20"/>
                <w:color w:val="auto"/>
              </w:rPr>
            </w:pPr>
            <w:r>
              <w:rPr>
                <w:rFonts w:ascii="Arial" w:cs="Arial" w:eastAsia="Arial" w:hAnsi="Arial"/>
                <w:sz w:val="14"/>
                <w:szCs w:val="14"/>
                <w:b w:val="1"/>
                <w:bCs w:val="1"/>
                <w:color w:val="auto"/>
              </w:rPr>
              <w:t>10,990</w:t>
            </w:r>
          </w:p>
        </w:tc>
        <w:tc>
          <w:tcPr>
            <w:tcW w:w="106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7"/>
              </w:rPr>
              <w:t>11,375</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386</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b w:val="1"/>
                <w:bCs w:val="1"/>
                <w:color w:val="auto"/>
              </w:rPr>
              <w:t>1,274</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3.5%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12.6%</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9.0%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8.8%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9.0%</w:t>
            </w:r>
          </w:p>
        </w:tc>
      </w:tr>
      <w:tr>
        <w:trPr>
          <w:trHeight w:val="148"/>
        </w:trPr>
        <w:tc>
          <w:tcPr>
            <w:tcW w:w="230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rPr>
              <w:t>Mibanco Colombia</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909</w:t>
            </w:r>
          </w:p>
        </w:tc>
        <w:tc>
          <w:tcPr>
            <w:tcW w:w="820" w:type="dxa"/>
            <w:vAlign w:val="bottom"/>
          </w:tcPr>
          <w:p>
            <w:pPr>
              <w:jc w:val="center"/>
              <w:ind w:left="28"/>
              <w:spacing w:after="0" w:line="148" w:lineRule="exact"/>
              <w:rPr>
                <w:sz w:val="20"/>
                <w:szCs w:val="20"/>
                <w:color w:val="auto"/>
              </w:rPr>
            </w:pPr>
            <w:r>
              <w:rPr>
                <w:rFonts w:ascii="Arial" w:cs="Arial" w:eastAsia="Arial" w:hAnsi="Arial"/>
                <w:sz w:val="14"/>
                <w:szCs w:val="14"/>
                <w:b w:val="1"/>
                <w:bCs w:val="1"/>
                <w:color w:val="auto"/>
              </w:rPr>
              <w:t>1,064</w:t>
            </w:r>
          </w:p>
        </w:tc>
        <w:tc>
          <w:tcPr>
            <w:tcW w:w="1060" w:type="dxa"/>
            <w:vAlign w:val="bottom"/>
            <w:tcBorders>
              <w:right w:val="single" w:sz="8" w:color="auto"/>
            </w:tcBorders>
          </w:tcPr>
          <w:p>
            <w:pPr>
              <w:jc w:val="center"/>
              <w:ind w:left="28"/>
              <w:spacing w:after="0" w:line="148" w:lineRule="exact"/>
              <w:rPr>
                <w:sz w:val="20"/>
                <w:szCs w:val="20"/>
                <w:color w:val="auto"/>
              </w:rPr>
            </w:pPr>
            <w:r>
              <w:rPr>
                <w:rFonts w:ascii="Arial" w:cs="Arial" w:eastAsia="Arial" w:hAnsi="Arial"/>
                <w:sz w:val="14"/>
                <w:szCs w:val="14"/>
                <w:b w:val="1"/>
                <w:bCs w:val="1"/>
                <w:color w:val="auto"/>
              </w:rPr>
              <w:t>1,077</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14</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169</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1.3%</w:t>
            </w:r>
          </w:p>
        </w:tc>
        <w:tc>
          <w:tcPr>
            <w:tcW w:w="9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18.6%</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0.8%</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0.8%</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0.9%</w:t>
            </w:r>
          </w:p>
        </w:tc>
      </w:tr>
      <w:tr>
        <w:trPr>
          <w:trHeight w:val="17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Bolivia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8,420</w:t>
            </w:r>
          </w:p>
        </w:tc>
        <w:tc>
          <w:tcPr>
            <w:tcW w:w="820" w:type="dxa"/>
            <w:vAlign w:val="bottom"/>
          </w:tcPr>
          <w:p>
            <w:pPr>
              <w:jc w:val="center"/>
              <w:ind w:left="28"/>
              <w:spacing w:after="0"/>
              <w:rPr>
                <w:sz w:val="20"/>
                <w:szCs w:val="20"/>
                <w:color w:val="auto"/>
              </w:rPr>
            </w:pPr>
            <w:r>
              <w:rPr>
                <w:rFonts w:ascii="Arial" w:cs="Arial" w:eastAsia="Arial" w:hAnsi="Arial"/>
                <w:sz w:val="14"/>
                <w:szCs w:val="14"/>
                <w:b w:val="1"/>
                <w:bCs w:val="1"/>
                <w:color w:val="auto"/>
              </w:rPr>
              <w:t>9,230</w:t>
            </w:r>
          </w:p>
        </w:tc>
        <w:tc>
          <w:tcPr>
            <w:tcW w:w="1060" w:type="dxa"/>
            <w:vAlign w:val="bottom"/>
            <w:tcBorders>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8,602</w:t>
            </w:r>
          </w:p>
        </w:tc>
        <w:tc>
          <w:tcPr>
            <w:tcW w:w="880" w:type="dxa"/>
            <w:vAlign w:val="bottom"/>
            <w:shd w:val="clear" w:color="auto" w:fill="E93CAC"/>
          </w:tcPr>
          <w:p>
            <w:pPr>
              <w:jc w:val="center"/>
              <w:spacing w:after="0"/>
              <w:rPr>
                <w:sz w:val="20"/>
                <w:szCs w:val="20"/>
                <w:color w:val="auto"/>
              </w:rPr>
            </w:pPr>
            <w:r>
              <w:rPr>
                <w:rFonts w:ascii="Arial" w:cs="Arial" w:eastAsia="Arial" w:hAnsi="Arial"/>
                <w:sz w:val="14"/>
                <w:szCs w:val="14"/>
                <w:b w:val="1"/>
                <w:bCs w:val="1"/>
                <w:color w:val="auto"/>
              </w:rPr>
              <w:t>-628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183</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-6.8%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2.2%</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7.5%</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7.4%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6.8%</w:t>
            </w:r>
          </w:p>
        </w:tc>
      </w:tr>
      <w:tr>
        <w:trPr>
          <w:trHeight w:val="162"/>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2,520</w:t>
            </w:r>
          </w:p>
        </w:tc>
        <w:tc>
          <w:tcPr>
            <w:tcW w:w="8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2,311</w:t>
            </w:r>
          </w:p>
        </w:tc>
        <w:tc>
          <w:tcPr>
            <w:tcW w:w="1060" w:type="dxa"/>
            <w:vAlign w:val="bottom"/>
            <w:tcBorders>
              <w:bottom w:val="single" w:sz="8" w:color="auto"/>
              <w:right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2,103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-208</w:t>
            </w:r>
          </w:p>
        </w:tc>
        <w:tc>
          <w:tcPr>
            <w:tcW w:w="920" w:type="dxa"/>
            <w:vAlign w:val="bottom"/>
            <w:tcBorders>
              <w:bottom w:val="single" w:sz="8" w:color="auto"/>
              <w:right w:val="single" w:sz="8" w:color="auto"/>
            </w:tcBorders>
            <w:shd w:val="clear" w:color="auto" w:fill="E93CAC"/>
          </w:tcPr>
          <w:p>
            <w:pPr>
              <w:jc w:val="center"/>
              <w:spacing w:after="0"/>
              <w:rPr>
                <w:sz w:val="20"/>
                <w:szCs w:val="20"/>
                <w:color w:val="auto"/>
              </w:rPr>
            </w:pPr>
            <w:r>
              <w:rPr>
                <w:rFonts w:ascii="Arial" w:cs="Arial" w:eastAsia="Arial" w:hAnsi="Arial"/>
                <w:sz w:val="14"/>
                <w:szCs w:val="14"/>
                <w:b w:val="1"/>
                <w:bCs w:val="1"/>
                <w:color w:val="auto"/>
              </w:rPr>
              <w:t>-417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1.7%</w:t>
            </w:r>
          </w:p>
        </w:tc>
      </w:tr>
      <w:tr>
        <w:trPr>
          <w:trHeight w:val="153"/>
        </w:trPr>
        <w:tc>
          <w:tcPr>
            <w:tcW w:w="230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BAP's total loans</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8"/>
              </w:rPr>
              <w:t>112,227</w:t>
            </w:r>
          </w:p>
        </w:tc>
        <w:tc>
          <w:tcPr>
            <w:tcW w:w="820" w:type="dxa"/>
            <w:vAlign w:val="bottom"/>
            <w:tcBorders>
              <w:bottom w:val="single" w:sz="8" w:color="auto"/>
            </w:tcBorders>
          </w:tcPr>
          <w:p>
            <w:pPr>
              <w:jc w:val="center"/>
              <w:ind w:left="28"/>
              <w:spacing w:after="0" w:line="153" w:lineRule="exact"/>
              <w:rPr>
                <w:sz w:val="20"/>
                <w:szCs w:val="20"/>
                <w:color w:val="auto"/>
              </w:rPr>
            </w:pPr>
            <w:r>
              <w:rPr>
                <w:rFonts w:ascii="Arial" w:cs="Arial" w:eastAsia="Arial" w:hAnsi="Arial"/>
                <w:sz w:val="14"/>
                <w:szCs w:val="14"/>
                <w:b w:val="1"/>
                <w:bCs w:val="1"/>
                <w:color w:val="auto"/>
              </w:rPr>
              <w:t>125,323</w:t>
            </w:r>
          </w:p>
        </w:tc>
        <w:tc>
          <w:tcPr>
            <w:tcW w:w="1060" w:type="dxa"/>
            <w:vAlign w:val="bottom"/>
            <w:tcBorders>
              <w:bottom w:val="single" w:sz="8" w:color="auto"/>
              <w:right w:val="single" w:sz="8" w:color="auto"/>
            </w:tcBorders>
          </w:tcPr>
          <w:p>
            <w:pPr>
              <w:jc w:val="center"/>
              <w:ind w:left="28"/>
              <w:spacing w:after="0" w:line="153" w:lineRule="exact"/>
              <w:rPr>
                <w:sz w:val="20"/>
                <w:szCs w:val="20"/>
                <w:color w:val="auto"/>
              </w:rPr>
            </w:pPr>
            <w:r>
              <w:rPr>
                <w:rFonts w:ascii="Arial" w:cs="Arial" w:eastAsia="Arial" w:hAnsi="Arial"/>
                <w:sz w:val="14"/>
                <w:szCs w:val="14"/>
                <w:b w:val="1"/>
                <w:bCs w:val="1"/>
                <w:color w:val="auto"/>
              </w:rPr>
              <w:t>126,094</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770</w:t>
            </w:r>
          </w:p>
        </w:tc>
        <w:tc>
          <w:tcPr>
            <w:tcW w:w="9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13,867</w:t>
            </w:r>
          </w:p>
        </w:tc>
        <w:tc>
          <w:tcPr>
            <w:tcW w:w="8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0.6%</w:t>
            </w:r>
          </w:p>
        </w:tc>
        <w:tc>
          <w:tcPr>
            <w:tcW w:w="9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12.4%</w:t>
            </w:r>
          </w:p>
        </w:tc>
        <w:tc>
          <w:tcPr>
            <w:tcW w:w="9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100.0%</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100.0%</w:t>
            </w:r>
          </w:p>
        </w:tc>
        <w:tc>
          <w:tcPr>
            <w:tcW w:w="8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100.0%</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9"/>
          <w:szCs w:val="9"/>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20955</wp:posOffset>
            </wp:positionV>
            <wp:extent cx="1010920" cy="2063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10920" cy="206375"/>
                    </a:xfrm>
                    <a:prstGeom prst="rect">
                      <a:avLst/>
                    </a:prstGeom>
                    <a:noFill/>
                  </pic:spPr>
                </pic:pic>
              </a:graphicData>
            </a:graphic>
          </wp:anchor>
        </w:drawing>
      </w:r>
    </w:p>
    <w:p>
      <w:pPr>
        <w:spacing w:after="0" w:line="61" w:lineRule="exact"/>
        <w:rPr>
          <w:sz w:val="20"/>
          <w:szCs w:val="20"/>
          <w:color w:val="auto"/>
        </w:rPr>
      </w:pPr>
    </w:p>
    <w:p>
      <w:pPr>
        <w:ind w:left="140" w:hanging="133"/>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9"/>
          <w:szCs w:val="9"/>
          <w:color w:val="auto"/>
        </w:rPr>
        <w:t>Includes Work out unit, and other banking. For Quarter-end Balances figures, please refer to “12. Annexes – 12.11 Loan Portfolio Quality”.</w:t>
      </w:r>
    </w:p>
    <w:p>
      <w:pPr>
        <w:spacing w:after="0" w:line="12" w:lineRule="exact"/>
        <w:rPr>
          <w:rFonts w:ascii="Arial" w:cs="Arial" w:eastAsia="Arial" w:hAnsi="Arial"/>
          <w:sz w:val="9"/>
          <w:szCs w:val="9"/>
          <w:color w:val="auto"/>
        </w:rPr>
      </w:pPr>
    </w:p>
    <w:p>
      <w:pPr>
        <w:ind w:left="140" w:hanging="133"/>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9"/>
          <w:szCs w:val="9"/>
          <w:color w:val="auto"/>
        </w:rPr>
        <w:t>Structural Portfolio excludes the Loans offered through Reactiva Peru and FAE-Mype Government Programs (GP).</w:t>
      </w:r>
    </w:p>
    <w:p>
      <w:pPr>
        <w:spacing w:after="0" w:line="72" w:lineRule="exact"/>
        <w:rPr>
          <w:rFonts w:ascii="Arial" w:cs="Arial" w:eastAsia="Arial" w:hAnsi="Arial"/>
          <w:sz w:val="9"/>
          <w:szCs w:val="9"/>
          <w:color w:val="auto"/>
        </w:rPr>
      </w:pPr>
    </w:p>
    <w:p>
      <w:pPr>
        <w:ind w:left="140" w:hanging="133"/>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9"/>
          <w:szCs w:val="9"/>
          <w:color w:val="auto"/>
        </w:rPr>
        <w:t>Portfolio Management Figures. Non-audited figures.</w:t>
      </w:r>
    </w:p>
    <w:p>
      <w:pPr>
        <w:sectPr>
          <w:pgSz w:w="11900" w:h="16838" w:orient="portrait"/>
          <w:cols w:equalWidth="0" w:num="1">
            <w:col w:w="11280"/>
          </w:cols>
          <w:pgMar w:left="300" w:top="718" w:right="319" w:bottom="1440" w:gutter="0" w:footer="0" w:header="0"/>
        </w:sectPr>
      </w:pPr>
    </w:p>
    <w:p>
      <w:pPr>
        <w:spacing w:after="0" w:line="12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QoQ, </w:t>
      </w:r>
      <w:r>
        <w:rPr>
          <w:rFonts w:ascii="Times New Roman" w:cs="Times New Roman" w:eastAsia="Times New Roman" w:hAnsi="Times New Roman"/>
          <w:sz w:val="14"/>
          <w:szCs w:val="14"/>
          <w:color w:val="auto"/>
        </w:rPr>
        <w:t>excluding the drop in the exchange rate (PENUSD: -6.2%), structural loans increased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2.7% QoQ due to:</w:t>
      </w:r>
    </w:p>
    <w:p>
      <w:pPr>
        <w:spacing w:after="0" w:line="117" w:lineRule="exact"/>
        <w:rPr>
          <w:sz w:val="20"/>
          <w:szCs w:val="20"/>
          <w:color w:val="auto"/>
        </w:rPr>
      </w:pPr>
    </w:p>
    <w:p>
      <w:pPr>
        <w:jc w:val="both"/>
        <w:ind w:left="520" w:right="20" w:hanging="253"/>
        <w:spacing w:after="0" w:line="246"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evolution at BCP Stand-alone’s Wholesale Banking, Consumer and SME-Pyme segments in particular. In Wholesale Banking, growth was driven by expansion in corporate Loans in Local Currency (LC). In Consumer and SME-Pyme, Cash Loans (CEF) and Business Loans (CEN) registered growth through leads on Affluent (disbursements above S/5K) and from the Micro and Small Clients (disbursements up to S/250K) respectively; and</w:t>
      </w:r>
    </w:p>
    <w:p>
      <w:pPr>
        <w:spacing w:after="0" w:line="161" w:lineRule="exact"/>
        <w:rPr>
          <w:rFonts w:ascii="Arial" w:cs="Arial" w:eastAsia="Arial" w:hAnsi="Arial"/>
          <w:sz w:val="14"/>
          <w:szCs w:val="14"/>
          <w:color w:val="auto"/>
        </w:rPr>
      </w:pPr>
    </w:p>
    <w:p>
      <w:pPr>
        <w:jc w:val="both"/>
        <w:ind w:left="520" w:right="20" w:hanging="253"/>
        <w:spacing w:after="0" w:line="24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fruits of Mibanco’s hybrid model as reflected in improvements in the productivity of relationship managers (RM), which led to a 17% increase in disbursements from RMs, and a 4pp increase in the participation of leads in total disbursements.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YoY, excluding the exchange rate effect, structural loans grew 12.3%, driven by:</w:t>
      </w:r>
    </w:p>
    <w:p>
      <w:pPr>
        <w:spacing w:after="0" w:line="186" w:lineRule="exact"/>
        <w:rPr>
          <w:sz w:val="20"/>
          <w:szCs w:val="20"/>
          <w:color w:val="auto"/>
        </w:rPr>
      </w:pPr>
    </w:p>
    <w:p>
      <w:pPr>
        <w:jc w:val="both"/>
        <w:ind w:left="520" w:hanging="250"/>
        <w:spacing w:after="0" w:line="246"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Wholesale Banking at BCP Stand-alone in a context of economic reactivation; an uptick in sales levels; and the fact that the comparative base was lower in 1Q21, which was attributable to advance short-term amortizations by corporate clients due to a downswing in the need for financing. SME-Pyme and Individuals also registered growth, in line with the events mentioned in the QoQ analysis and the fact that a quarantine was in effect in 1Q21; and</w:t>
      </w:r>
    </w:p>
    <w:p>
      <w:pPr>
        <w:spacing w:after="0" w:line="161" w:lineRule="exact"/>
        <w:rPr>
          <w:rFonts w:ascii="Arial" w:cs="Arial" w:eastAsia="Arial" w:hAnsi="Arial"/>
          <w:sz w:val="14"/>
          <w:szCs w:val="14"/>
          <w:color w:val="auto"/>
        </w:rPr>
      </w:pPr>
    </w:p>
    <w:p>
      <w:pPr>
        <w:jc w:val="both"/>
        <w:ind w:left="520" w:hanging="250"/>
        <w:spacing w:after="0" w:line="248" w:lineRule="auto"/>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Mibanco, in line with the factors mentioned in the QoQ analysis and due to an uptick in transactional activity in 1Q22 after low levels were registered in 1Q21 due to the quarantine. It is important to note that loans have be trending upward since the second half of 2020, accompanied by on-going growth in the average disbursement ticket.</w:t>
      </w:r>
    </w:p>
    <w:p>
      <w:pPr>
        <w:spacing w:after="0" w:line="209" w:lineRule="exact"/>
        <w:rPr>
          <w:sz w:val="20"/>
          <w:szCs w:val="20"/>
          <w:color w:val="auto"/>
        </w:rPr>
      </w:pPr>
    </w:p>
    <w:p>
      <w:pPr>
        <w:sectPr>
          <w:pgSz w:w="11900" w:h="16838" w:orient="portrait"/>
          <w:cols w:equalWidth="0" w:num="2">
            <w:col w:w="5420" w:space="440"/>
            <w:col w:w="5420"/>
          </w:cols>
          <w:pgMar w:left="300" w:top="718" w:right="319" w:bottom="1440" w:gutter="0" w:footer="0" w:header="0"/>
          <w:type w:val="continuous"/>
        </w:sectPr>
      </w:pPr>
    </w:p>
    <w:p>
      <w:pPr>
        <w:spacing w:after="0" w:line="4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678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167830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Program Loans (in Average Daily Balances – S/ millions)</w:t>
      </w:r>
    </w:p>
    <w:p>
      <w:pPr>
        <w:spacing w:after="0" w:line="191" w:lineRule="exact"/>
        <w:rPr>
          <w:sz w:val="20"/>
          <w:szCs w:val="20"/>
          <w:color w:val="auto"/>
        </w:rPr>
      </w:pPr>
    </w:p>
    <w:p>
      <w:pPr>
        <w:ind w:right="5880"/>
        <w:spacing w:after="0" w:line="299" w:lineRule="auto"/>
        <w:rPr>
          <w:sz w:val="20"/>
          <w:szCs w:val="20"/>
          <w:color w:val="auto"/>
        </w:rPr>
      </w:pPr>
      <w:r>
        <w:rPr>
          <w:rFonts w:ascii="Times New Roman" w:cs="Times New Roman" w:eastAsia="Times New Roman" w:hAnsi="Times New Roman"/>
          <w:sz w:val="14"/>
          <w:szCs w:val="14"/>
          <w:color w:val="auto"/>
        </w:rPr>
        <w:t>Government Program loans (GP) decreased 11.2% QoQ and 28.4% YoY, which was primarily driven by amortizations by Small and Medium Companies at BCP Stand-alone.</w:t>
      </w:r>
    </w:p>
    <w:p>
      <w:pPr>
        <w:spacing w:after="0" w:line="140" w:lineRule="exact"/>
        <w:rPr>
          <w:sz w:val="20"/>
          <w:szCs w:val="20"/>
          <w:color w:val="auto"/>
        </w:rPr>
      </w:pPr>
    </w:p>
    <w:p>
      <w:pPr>
        <w:ind w:right="5860"/>
        <w:spacing w:after="0" w:line="299" w:lineRule="auto"/>
        <w:rPr>
          <w:sz w:val="20"/>
          <w:szCs w:val="20"/>
          <w:color w:val="auto"/>
        </w:rPr>
      </w:pPr>
      <w:r>
        <w:rPr>
          <w:rFonts w:ascii="Times New Roman" w:cs="Times New Roman" w:eastAsia="Times New Roman" w:hAnsi="Times New Roman"/>
          <w:sz w:val="14"/>
          <w:szCs w:val="14"/>
          <w:color w:val="auto"/>
        </w:rPr>
        <w:t>The amortization period for Wholesale Banking, Retail Banking and Mibanco loans expires in 1.7, 2.1 and 2.9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Total Loans (in Average Daily Balances)</w:t>
      </w:r>
      <w:r>
        <w:rPr>
          <w:rFonts w:ascii="Times New Roman" w:cs="Times New Roman" w:eastAsia="Times New Roman" w:hAnsi="Times New Roman"/>
          <w:sz w:val="24"/>
          <w:szCs w:val="24"/>
          <w:b w:val="1"/>
          <w:bCs w:val="1"/>
          <w:color w:val="auto"/>
          <w:vertAlign w:val="superscript"/>
        </w:rPr>
        <w:t>(1)</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30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Total Loans</w:t>
            </w:r>
          </w:p>
        </w:tc>
        <w:tc>
          <w:tcPr>
            <w:tcW w:w="880" w:type="dxa"/>
            <w:vAlign w:val="bottom"/>
            <w:tcBorders>
              <w:top w:val="single" w:sz="8" w:color="auto"/>
            </w:tcBorders>
            <w:shd w:val="clear" w:color="auto" w:fill="2AD2C9"/>
          </w:tcPr>
          <w:p>
            <w:pPr>
              <w:spacing w:after="0"/>
              <w:rPr>
                <w:sz w:val="13"/>
                <w:szCs w:val="13"/>
                <w:color w:val="auto"/>
              </w:rPr>
            </w:pPr>
          </w:p>
        </w:tc>
        <w:tc>
          <w:tcPr>
            <w:tcW w:w="920" w:type="dxa"/>
            <w:vAlign w:val="bottom"/>
            <w:tcBorders>
              <w:top w:val="single" w:sz="8" w:color="auto"/>
            </w:tcBorders>
            <w:shd w:val="clear" w:color="auto" w:fill="2AD2C9"/>
          </w:tcPr>
          <w:p>
            <w:pPr>
              <w:jc w:val="center"/>
              <w:spacing w:after="0" w:line="159" w:lineRule="exact"/>
              <w:rPr>
                <w:sz w:val="20"/>
                <w:szCs w:val="20"/>
                <w:color w:val="auto"/>
              </w:rPr>
            </w:pPr>
            <w:r>
              <w:rPr>
                <w:rFonts w:ascii="Arial" w:cs="Arial" w:eastAsia="Arial" w:hAnsi="Arial"/>
                <w:sz w:val="14"/>
                <w:szCs w:val="14"/>
                <w:b w:val="1"/>
                <w:bCs w:val="1"/>
                <w:color w:val="FFFFFF"/>
              </w:rPr>
              <w:t>As of</w:t>
            </w:r>
          </w:p>
        </w:tc>
        <w:tc>
          <w:tcPr>
            <w:tcW w:w="960" w:type="dxa"/>
            <w:vAlign w:val="bottom"/>
            <w:tcBorders>
              <w:top w:val="single" w:sz="8" w:color="auto"/>
              <w:right w:val="single" w:sz="8" w:color="auto"/>
            </w:tcBorders>
            <w:shd w:val="clear" w:color="auto" w:fill="2AD2C9"/>
          </w:tcPr>
          <w:p>
            <w:pPr>
              <w:spacing w:after="0"/>
              <w:rPr>
                <w:sz w:val="13"/>
                <w:szCs w:val="13"/>
                <w:color w:val="auto"/>
              </w:rPr>
            </w:pPr>
          </w:p>
        </w:tc>
        <w:tc>
          <w:tcPr>
            <w:tcW w:w="1800" w:type="dxa"/>
            <w:vAlign w:val="bottom"/>
            <w:tcBorders>
              <w:top w:val="single" w:sz="8" w:color="auto"/>
              <w:right w:val="single" w:sz="8" w:color="auto"/>
            </w:tcBorders>
            <w:gridSpan w:val="2"/>
            <w:shd w:val="clear" w:color="auto" w:fill="2AD2C9"/>
          </w:tcPr>
          <w:p>
            <w:pPr>
              <w:ind w:left="360"/>
              <w:spacing w:after="0" w:line="159" w:lineRule="exact"/>
              <w:rPr>
                <w:sz w:val="20"/>
                <w:szCs w:val="20"/>
                <w:color w:val="auto"/>
              </w:rPr>
            </w:pPr>
            <w:r>
              <w:rPr>
                <w:rFonts w:ascii="Arial" w:cs="Arial" w:eastAsia="Arial" w:hAnsi="Arial"/>
                <w:sz w:val="14"/>
                <w:szCs w:val="14"/>
                <w:b w:val="1"/>
                <w:bCs w:val="1"/>
                <w:color w:val="FFFFFF"/>
              </w:rPr>
              <w:t>Volume change</w:t>
            </w:r>
          </w:p>
        </w:tc>
        <w:tc>
          <w:tcPr>
            <w:tcW w:w="1800" w:type="dxa"/>
            <w:vAlign w:val="bottom"/>
            <w:tcBorders>
              <w:top w:val="single" w:sz="8" w:color="auto"/>
              <w:right w:val="single" w:sz="8" w:color="auto"/>
            </w:tcBorders>
            <w:gridSpan w:val="2"/>
            <w:shd w:val="clear" w:color="auto" w:fill="2AD2C9"/>
          </w:tcPr>
          <w:p>
            <w:pPr>
              <w:ind w:left="560"/>
              <w:spacing w:after="0" w:line="159" w:lineRule="exact"/>
              <w:rPr>
                <w:sz w:val="20"/>
                <w:szCs w:val="20"/>
                <w:color w:val="auto"/>
              </w:rPr>
            </w:pPr>
            <w:r>
              <w:rPr>
                <w:rFonts w:ascii="Arial" w:cs="Arial" w:eastAsia="Arial" w:hAnsi="Arial"/>
                <w:sz w:val="14"/>
                <w:szCs w:val="14"/>
                <w:b w:val="1"/>
                <w:bCs w:val="1"/>
                <w:color w:val="FFFFFF"/>
              </w:rPr>
              <w:t>% change</w:t>
            </w:r>
          </w:p>
        </w:tc>
        <w:tc>
          <w:tcPr>
            <w:tcW w:w="2640" w:type="dxa"/>
            <w:vAlign w:val="bottom"/>
            <w:tcBorders>
              <w:top w:val="single" w:sz="8" w:color="auto"/>
              <w:right w:val="single" w:sz="8" w:color="auto"/>
            </w:tcBorders>
            <w:gridSpan w:val="3"/>
            <w:shd w:val="clear" w:color="auto" w:fill="2AD2C9"/>
          </w:tcPr>
          <w:p>
            <w:pPr>
              <w:ind w:left="580"/>
              <w:spacing w:after="0" w:line="159" w:lineRule="exact"/>
              <w:rPr>
                <w:sz w:val="20"/>
                <w:szCs w:val="20"/>
                <w:color w:val="auto"/>
              </w:rPr>
            </w:pPr>
            <w:r>
              <w:rPr>
                <w:rFonts w:ascii="Arial" w:cs="Arial" w:eastAsia="Arial" w:hAnsi="Arial"/>
                <w:sz w:val="14"/>
                <w:szCs w:val="14"/>
                <w:b w:val="1"/>
                <w:bCs w:val="1"/>
                <w:color w:val="FFFFFF"/>
              </w:rPr>
              <w:t>% Part. in total  loans</w:t>
            </w:r>
          </w:p>
        </w:tc>
      </w:tr>
      <w:tr>
        <w:trPr>
          <w:trHeight w:val="177"/>
        </w:trPr>
        <w:tc>
          <w:tcPr>
            <w:tcW w:w="230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color w:val="FFFFFF"/>
              </w:rPr>
              <w:t>(S/ millions)</w:t>
            </w:r>
          </w:p>
        </w:tc>
        <w:tc>
          <w:tcPr>
            <w:tcW w:w="88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Mar 21</w:t>
            </w: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Dec 21</w:t>
            </w:r>
          </w:p>
        </w:tc>
        <w:tc>
          <w:tcPr>
            <w:tcW w:w="96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Mar 22</w:t>
            </w:r>
          </w:p>
        </w:tc>
        <w:tc>
          <w:tcPr>
            <w:tcW w:w="8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YoY</w:t>
            </w:r>
          </w:p>
        </w:tc>
        <w:tc>
          <w:tcPr>
            <w:tcW w:w="8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QoQ</w:t>
            </w:r>
          </w:p>
        </w:tc>
        <w:tc>
          <w:tcPr>
            <w:tcW w:w="92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YoY</w:t>
            </w:r>
          </w:p>
        </w:tc>
        <w:tc>
          <w:tcPr>
            <w:tcW w:w="90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4"/>
                <w:szCs w:val="14"/>
                <w:b w:val="1"/>
                <w:bCs w:val="1"/>
                <w:color w:val="FFFFFF"/>
              </w:rPr>
              <w:t>Mar 21</w:t>
            </w:r>
          </w:p>
        </w:tc>
        <w:tc>
          <w:tcPr>
            <w:tcW w:w="88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4"/>
                <w:szCs w:val="14"/>
                <w:b w:val="1"/>
                <w:bCs w:val="1"/>
                <w:color w:val="FFFFFF"/>
              </w:rPr>
              <w:t>Dec 21</w:t>
            </w:r>
          </w:p>
        </w:tc>
        <w:tc>
          <w:tcPr>
            <w:tcW w:w="8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Mar 22</w:t>
            </w:r>
          </w:p>
        </w:tc>
      </w:tr>
      <w:tr>
        <w:trPr>
          <w:trHeight w:val="130"/>
        </w:trPr>
        <w:tc>
          <w:tcPr>
            <w:tcW w:w="230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b w:val="1"/>
                <w:bCs w:val="1"/>
                <w:color w:val="auto"/>
              </w:rPr>
              <w:t>BCP Stand-alone</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8"/>
              </w:rPr>
              <w:t>111,928</w:t>
            </w:r>
          </w:p>
        </w:tc>
        <w:tc>
          <w:tcPr>
            <w:tcW w:w="9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119,100</w:t>
            </w:r>
          </w:p>
        </w:tc>
        <w:tc>
          <w:tcPr>
            <w:tcW w:w="9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98"/>
              </w:rPr>
              <w:t>118,248</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-852</w:t>
            </w:r>
          </w:p>
        </w:tc>
        <w:tc>
          <w:tcPr>
            <w:tcW w:w="9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6,320</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-0.7%</w:t>
            </w:r>
          </w:p>
        </w:tc>
        <w:tc>
          <w:tcPr>
            <w:tcW w:w="9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5.6%</w:t>
            </w:r>
          </w:p>
        </w:tc>
        <w:tc>
          <w:tcPr>
            <w:tcW w:w="9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81.9%</w:t>
            </w:r>
          </w:p>
        </w:tc>
        <w:tc>
          <w:tcPr>
            <w:tcW w:w="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rPr>
              <w:t>82.1%</w:t>
            </w:r>
          </w:p>
        </w:tc>
        <w:tc>
          <w:tcPr>
            <w:tcW w:w="8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rPr>
              <w:t>82.3%</w:t>
            </w:r>
          </w:p>
        </w:tc>
      </w:tr>
      <w:tr>
        <w:trPr>
          <w:trHeight w:val="171"/>
        </w:trPr>
        <w:tc>
          <w:tcPr>
            <w:tcW w:w="2300" w:type="dxa"/>
            <w:vAlign w:val="bottom"/>
            <w:tcBorders>
              <w:left w:val="single" w:sz="8" w:color="auto"/>
              <w:right w:val="single" w:sz="8" w:color="auto"/>
            </w:tcBorders>
          </w:tcPr>
          <w:p>
            <w:pPr>
              <w:ind w:left="140"/>
              <w:spacing w:after="0" w:line="172" w:lineRule="exact"/>
              <w:rPr>
                <w:sz w:val="20"/>
                <w:szCs w:val="20"/>
                <w:color w:val="auto"/>
              </w:rPr>
            </w:pPr>
            <w:r>
              <w:rPr>
                <w:rFonts w:ascii="Arial" w:cs="Arial" w:eastAsia="Arial" w:hAnsi="Arial"/>
                <w:sz w:val="12"/>
                <w:szCs w:val="12"/>
                <w:b w:val="1"/>
                <w:bCs w:val="1"/>
                <w:color w:val="auto"/>
              </w:rPr>
              <w:t xml:space="preserve">Wholesale Banking </w:t>
            </w:r>
            <w:r>
              <w:rPr>
                <w:rFonts w:ascii="Arial" w:cs="Arial" w:eastAsia="Arial" w:hAnsi="Arial"/>
                <w:sz w:val="19"/>
                <w:szCs w:val="19"/>
                <w:b w:val="1"/>
                <w:bCs w:val="1"/>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49,819</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56,359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55,580</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-779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5,762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11.6%</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36.4%</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38.9%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38.7%</w:t>
            </w:r>
          </w:p>
        </w:tc>
      </w:tr>
      <w:tr>
        <w:trPr>
          <w:trHeight w:val="162"/>
        </w:trPr>
        <w:tc>
          <w:tcPr>
            <w:tcW w:w="230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4"/>
                <w:szCs w:val="14"/>
                <w:color w:val="auto"/>
              </w:rPr>
              <w:t>Corporate</w:t>
            </w:r>
          </w:p>
        </w:tc>
        <w:tc>
          <w:tcPr>
            <w:tcW w:w="880" w:type="dxa"/>
            <w:vAlign w:val="bottom"/>
          </w:tcPr>
          <w:p>
            <w:pPr>
              <w:jc w:val="center"/>
              <w:spacing w:after="0"/>
              <w:rPr>
                <w:sz w:val="20"/>
                <w:szCs w:val="20"/>
                <w:color w:val="auto"/>
              </w:rPr>
            </w:pPr>
            <w:r>
              <w:rPr>
                <w:rFonts w:ascii="Arial" w:cs="Arial" w:eastAsia="Arial" w:hAnsi="Arial"/>
                <w:sz w:val="14"/>
                <w:szCs w:val="14"/>
                <w:color w:val="auto"/>
              </w:rPr>
              <w:t>27,229</w:t>
            </w:r>
          </w:p>
        </w:tc>
        <w:tc>
          <w:tcPr>
            <w:tcW w:w="920" w:type="dxa"/>
            <w:vAlign w:val="bottom"/>
          </w:tcPr>
          <w:p>
            <w:pPr>
              <w:jc w:val="center"/>
              <w:spacing w:after="0"/>
              <w:rPr>
                <w:sz w:val="20"/>
                <w:szCs w:val="20"/>
                <w:color w:val="auto"/>
              </w:rPr>
            </w:pPr>
            <w:r>
              <w:rPr>
                <w:rFonts w:ascii="Arial" w:cs="Arial" w:eastAsia="Arial" w:hAnsi="Arial"/>
                <w:sz w:val="14"/>
                <w:szCs w:val="14"/>
                <w:color w:val="auto"/>
              </w:rPr>
              <w:t>31,851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31,625</w:t>
            </w:r>
          </w:p>
        </w:tc>
        <w:tc>
          <w:tcPr>
            <w:tcW w:w="880" w:type="dxa"/>
            <w:vAlign w:val="bottom"/>
          </w:tcPr>
          <w:p>
            <w:pPr>
              <w:jc w:val="center"/>
              <w:spacing w:after="0"/>
              <w:rPr>
                <w:sz w:val="20"/>
                <w:szCs w:val="20"/>
                <w:color w:val="auto"/>
              </w:rPr>
            </w:pPr>
            <w:r>
              <w:rPr>
                <w:rFonts w:ascii="Arial" w:cs="Arial" w:eastAsia="Arial" w:hAnsi="Arial"/>
                <w:sz w:val="14"/>
                <w:szCs w:val="14"/>
                <w:color w:val="auto"/>
              </w:rPr>
              <w:t>-226</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4,396</w:t>
            </w:r>
          </w:p>
        </w:tc>
        <w:tc>
          <w:tcPr>
            <w:tcW w:w="880" w:type="dxa"/>
            <w:vAlign w:val="bottom"/>
          </w:tcPr>
          <w:p>
            <w:pPr>
              <w:jc w:val="center"/>
              <w:spacing w:after="0"/>
              <w:rPr>
                <w:sz w:val="20"/>
                <w:szCs w:val="20"/>
                <w:color w:val="auto"/>
              </w:rPr>
            </w:pPr>
            <w:r>
              <w:rPr>
                <w:rFonts w:ascii="Arial" w:cs="Arial" w:eastAsia="Arial" w:hAnsi="Arial"/>
                <w:sz w:val="14"/>
                <w:szCs w:val="14"/>
                <w:color w:val="auto"/>
              </w:rPr>
              <w:t>-0.7%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16.1%</w:t>
            </w:r>
          </w:p>
        </w:tc>
        <w:tc>
          <w:tcPr>
            <w:tcW w:w="900" w:type="dxa"/>
            <w:vAlign w:val="bottom"/>
          </w:tcPr>
          <w:p>
            <w:pPr>
              <w:jc w:val="center"/>
              <w:spacing w:after="0"/>
              <w:rPr>
                <w:sz w:val="20"/>
                <w:szCs w:val="20"/>
                <w:color w:val="auto"/>
              </w:rPr>
            </w:pPr>
            <w:r>
              <w:rPr>
                <w:rFonts w:ascii="Arial" w:cs="Arial" w:eastAsia="Arial" w:hAnsi="Arial"/>
                <w:sz w:val="14"/>
                <w:szCs w:val="14"/>
                <w:color w:val="auto"/>
              </w:rPr>
              <w:t>19.9%</w:t>
            </w:r>
          </w:p>
        </w:tc>
        <w:tc>
          <w:tcPr>
            <w:tcW w:w="880" w:type="dxa"/>
            <w:vAlign w:val="bottom"/>
          </w:tcPr>
          <w:p>
            <w:pPr>
              <w:jc w:val="center"/>
              <w:spacing w:after="0"/>
              <w:rPr>
                <w:sz w:val="20"/>
                <w:szCs w:val="20"/>
                <w:color w:val="auto"/>
              </w:rPr>
            </w:pPr>
            <w:r>
              <w:rPr>
                <w:rFonts w:ascii="Arial" w:cs="Arial" w:eastAsia="Arial" w:hAnsi="Arial"/>
                <w:sz w:val="14"/>
                <w:szCs w:val="14"/>
                <w:color w:val="auto"/>
              </w:rPr>
              <w:t>22.0%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22.0%</w:t>
            </w:r>
          </w:p>
        </w:tc>
      </w:tr>
      <w:tr>
        <w:trPr>
          <w:trHeight w:val="157"/>
        </w:trPr>
        <w:tc>
          <w:tcPr>
            <w:tcW w:w="2300" w:type="dxa"/>
            <w:vAlign w:val="bottom"/>
            <w:tcBorders>
              <w:left w:val="single" w:sz="8" w:color="auto"/>
              <w:right w:val="single" w:sz="8" w:color="auto"/>
            </w:tcBorders>
          </w:tcPr>
          <w:p>
            <w:pPr>
              <w:ind w:left="280"/>
              <w:spacing w:after="0" w:line="154" w:lineRule="exact"/>
              <w:rPr>
                <w:sz w:val="20"/>
                <w:szCs w:val="20"/>
                <w:color w:val="auto"/>
              </w:rPr>
            </w:pPr>
            <w:r>
              <w:rPr>
                <w:rFonts w:ascii="Arial" w:cs="Arial" w:eastAsia="Arial" w:hAnsi="Arial"/>
                <w:sz w:val="14"/>
                <w:szCs w:val="14"/>
                <w:color w:val="auto"/>
              </w:rPr>
              <w:t>Middle - Market</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22,590</w:t>
            </w:r>
          </w:p>
        </w:tc>
        <w:tc>
          <w:tcPr>
            <w:tcW w:w="920" w:type="dxa"/>
            <w:vAlign w:val="bottom"/>
          </w:tcPr>
          <w:p>
            <w:pPr>
              <w:jc w:val="center"/>
              <w:spacing w:after="0" w:line="154" w:lineRule="exact"/>
              <w:rPr>
                <w:sz w:val="20"/>
                <w:szCs w:val="20"/>
                <w:color w:val="auto"/>
              </w:rPr>
            </w:pPr>
            <w:r>
              <w:rPr>
                <w:rFonts w:ascii="Arial" w:cs="Arial" w:eastAsia="Arial" w:hAnsi="Arial"/>
                <w:sz w:val="14"/>
                <w:szCs w:val="14"/>
                <w:color w:val="auto"/>
              </w:rPr>
              <w:t>24,508</w:t>
            </w:r>
          </w:p>
        </w:tc>
        <w:tc>
          <w:tcPr>
            <w:tcW w:w="9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23,955</w:t>
            </w:r>
          </w:p>
        </w:tc>
        <w:tc>
          <w:tcPr>
            <w:tcW w:w="880" w:type="dxa"/>
            <w:vAlign w:val="bottom"/>
            <w:tcBorders>
              <w:bottom w:val="single" w:sz="8" w:color="E93CAC"/>
            </w:tcBorders>
            <w:shd w:val="clear" w:color="auto" w:fill="E93CAC"/>
          </w:tcPr>
          <w:p>
            <w:pPr>
              <w:jc w:val="center"/>
              <w:spacing w:after="0" w:line="154" w:lineRule="exact"/>
              <w:rPr>
                <w:sz w:val="20"/>
                <w:szCs w:val="20"/>
                <w:color w:val="auto"/>
              </w:rPr>
            </w:pPr>
            <w:r>
              <w:rPr>
                <w:rFonts w:ascii="Arial" w:cs="Arial" w:eastAsia="Arial" w:hAnsi="Arial"/>
                <w:sz w:val="14"/>
                <w:szCs w:val="14"/>
                <w:color w:val="auto"/>
              </w:rPr>
              <w:t>-553</w:t>
            </w:r>
          </w:p>
        </w:tc>
        <w:tc>
          <w:tcPr>
            <w:tcW w:w="920" w:type="dxa"/>
            <w:vAlign w:val="bottom"/>
            <w:tcBorders>
              <w:bottom w:val="single" w:sz="8" w:color="26D07C"/>
              <w:right w:val="single" w:sz="8" w:color="auto"/>
            </w:tcBorders>
            <w:shd w:val="clear" w:color="auto" w:fill="26D07C"/>
          </w:tcPr>
          <w:p>
            <w:pPr>
              <w:jc w:val="center"/>
              <w:spacing w:after="0" w:line="154" w:lineRule="exact"/>
              <w:rPr>
                <w:sz w:val="20"/>
                <w:szCs w:val="20"/>
                <w:color w:val="auto"/>
              </w:rPr>
            </w:pPr>
            <w:r>
              <w:rPr>
                <w:rFonts w:ascii="Arial" w:cs="Arial" w:eastAsia="Arial" w:hAnsi="Arial"/>
                <w:sz w:val="14"/>
                <w:szCs w:val="14"/>
                <w:color w:val="auto"/>
              </w:rPr>
              <w:t>1,366</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-2.3%</w:t>
            </w:r>
          </w:p>
        </w:tc>
        <w:tc>
          <w:tcPr>
            <w:tcW w:w="9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6.0%</w:t>
            </w:r>
          </w:p>
        </w:tc>
        <w:tc>
          <w:tcPr>
            <w:tcW w:w="900" w:type="dxa"/>
            <w:vAlign w:val="bottom"/>
          </w:tcPr>
          <w:p>
            <w:pPr>
              <w:jc w:val="center"/>
              <w:spacing w:after="0" w:line="154" w:lineRule="exact"/>
              <w:rPr>
                <w:sz w:val="20"/>
                <w:szCs w:val="20"/>
                <w:color w:val="auto"/>
              </w:rPr>
            </w:pPr>
            <w:r>
              <w:rPr>
                <w:rFonts w:ascii="Arial" w:cs="Arial" w:eastAsia="Arial" w:hAnsi="Arial"/>
                <w:sz w:val="14"/>
                <w:szCs w:val="14"/>
                <w:color w:val="auto"/>
              </w:rPr>
              <w:t>16.5%</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rPr>
              <w:t>16.9%</w:t>
            </w:r>
          </w:p>
        </w:tc>
        <w:tc>
          <w:tcPr>
            <w:tcW w:w="86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16.7%</w:t>
            </w:r>
          </w:p>
        </w:tc>
      </w:tr>
      <w:tr>
        <w:trPr>
          <w:trHeight w:val="148"/>
        </w:trPr>
        <w:tc>
          <w:tcPr>
            <w:tcW w:w="2300" w:type="dxa"/>
            <w:vAlign w:val="bottom"/>
            <w:tcBorders>
              <w:left w:val="single" w:sz="8" w:color="auto"/>
              <w:right w:val="single" w:sz="8" w:color="auto"/>
            </w:tcBorders>
          </w:tcPr>
          <w:p>
            <w:pPr>
              <w:ind w:left="140"/>
              <w:spacing w:after="0" w:line="148" w:lineRule="exact"/>
              <w:rPr>
                <w:sz w:val="20"/>
                <w:szCs w:val="20"/>
                <w:color w:val="auto"/>
              </w:rPr>
            </w:pPr>
            <w:r>
              <w:rPr>
                <w:rFonts w:ascii="Arial" w:cs="Arial" w:eastAsia="Arial" w:hAnsi="Arial"/>
                <w:sz w:val="11"/>
                <w:szCs w:val="11"/>
                <w:b w:val="1"/>
                <w:bCs w:val="1"/>
                <w:color w:val="auto"/>
              </w:rPr>
              <w:t xml:space="preserve">Retail Banking </w:t>
            </w:r>
            <w:r>
              <w:rPr>
                <w:rFonts w:ascii="Arial" w:cs="Arial" w:eastAsia="Arial" w:hAnsi="Arial"/>
                <w:sz w:val="17"/>
                <w:szCs w:val="17"/>
                <w:b w:val="1"/>
                <w:bCs w:val="1"/>
                <w:color w:val="auto"/>
                <w:vertAlign w:val="superscript"/>
              </w:rPr>
              <w:t>(2)</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62,109</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62,741</w:t>
            </w:r>
          </w:p>
        </w:tc>
        <w:tc>
          <w:tcPr>
            <w:tcW w:w="9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62,668</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-74</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559</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-0.1%</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0.9%</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45.4%</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43.3%</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43.6%</w:t>
            </w:r>
          </w:p>
        </w:tc>
      </w:tr>
      <w:tr>
        <w:trPr>
          <w:trHeight w:val="177"/>
        </w:trPr>
        <w:tc>
          <w:tcPr>
            <w:tcW w:w="2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SME - Business</w:t>
            </w:r>
          </w:p>
        </w:tc>
        <w:tc>
          <w:tcPr>
            <w:tcW w:w="880" w:type="dxa"/>
            <w:vAlign w:val="bottom"/>
          </w:tcPr>
          <w:p>
            <w:pPr>
              <w:jc w:val="center"/>
              <w:spacing w:after="0"/>
              <w:rPr>
                <w:sz w:val="20"/>
                <w:szCs w:val="20"/>
                <w:color w:val="auto"/>
              </w:rPr>
            </w:pPr>
            <w:r>
              <w:rPr>
                <w:rFonts w:ascii="Arial" w:cs="Arial" w:eastAsia="Arial" w:hAnsi="Arial"/>
                <w:sz w:val="14"/>
                <w:szCs w:val="14"/>
                <w:color w:val="auto"/>
              </w:rPr>
              <w:t>10,793</w:t>
            </w:r>
          </w:p>
        </w:tc>
        <w:tc>
          <w:tcPr>
            <w:tcW w:w="920" w:type="dxa"/>
            <w:vAlign w:val="bottom"/>
          </w:tcPr>
          <w:p>
            <w:pPr>
              <w:jc w:val="center"/>
              <w:spacing w:after="0"/>
              <w:rPr>
                <w:sz w:val="20"/>
                <w:szCs w:val="20"/>
                <w:color w:val="auto"/>
              </w:rPr>
            </w:pPr>
            <w:r>
              <w:rPr>
                <w:rFonts w:ascii="Arial" w:cs="Arial" w:eastAsia="Arial" w:hAnsi="Arial"/>
                <w:sz w:val="14"/>
                <w:szCs w:val="14"/>
                <w:color w:val="auto"/>
              </w:rPr>
              <w:t>10,484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9,435</w:t>
            </w:r>
          </w:p>
        </w:tc>
        <w:tc>
          <w:tcPr>
            <w:tcW w:w="880" w:type="dxa"/>
            <w:vAlign w:val="bottom"/>
            <w:shd w:val="clear" w:color="auto" w:fill="E93CAC"/>
          </w:tcPr>
          <w:p>
            <w:pPr>
              <w:jc w:val="center"/>
              <w:spacing w:after="0"/>
              <w:rPr>
                <w:sz w:val="20"/>
                <w:szCs w:val="20"/>
                <w:color w:val="auto"/>
              </w:rPr>
            </w:pPr>
            <w:r>
              <w:rPr>
                <w:rFonts w:ascii="Arial" w:cs="Arial" w:eastAsia="Arial" w:hAnsi="Arial"/>
                <w:sz w:val="14"/>
                <w:szCs w:val="14"/>
                <w:color w:val="auto"/>
              </w:rPr>
              <w:t>-1,049</w:t>
            </w:r>
          </w:p>
        </w:tc>
        <w:tc>
          <w:tcPr>
            <w:tcW w:w="92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4"/>
                <w:szCs w:val="14"/>
                <w:color w:val="auto"/>
              </w:rPr>
              <w:t>-1,358</w:t>
            </w:r>
          </w:p>
        </w:tc>
        <w:tc>
          <w:tcPr>
            <w:tcW w:w="880" w:type="dxa"/>
            <w:vAlign w:val="bottom"/>
          </w:tcPr>
          <w:p>
            <w:pPr>
              <w:jc w:val="center"/>
              <w:spacing w:after="0"/>
              <w:rPr>
                <w:sz w:val="20"/>
                <w:szCs w:val="20"/>
                <w:color w:val="auto"/>
              </w:rPr>
            </w:pPr>
            <w:r>
              <w:rPr>
                <w:rFonts w:ascii="Arial" w:cs="Arial" w:eastAsia="Arial" w:hAnsi="Arial"/>
                <w:sz w:val="14"/>
                <w:szCs w:val="14"/>
                <w:color w:val="auto"/>
              </w:rPr>
              <w:t>-10.0%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-12.6%</w:t>
            </w:r>
          </w:p>
        </w:tc>
        <w:tc>
          <w:tcPr>
            <w:tcW w:w="900" w:type="dxa"/>
            <w:vAlign w:val="bottom"/>
          </w:tcPr>
          <w:p>
            <w:pPr>
              <w:jc w:val="center"/>
              <w:spacing w:after="0"/>
              <w:rPr>
                <w:sz w:val="20"/>
                <w:szCs w:val="20"/>
                <w:color w:val="auto"/>
              </w:rPr>
            </w:pPr>
            <w:r>
              <w:rPr>
                <w:rFonts w:ascii="Arial" w:cs="Arial" w:eastAsia="Arial" w:hAnsi="Arial"/>
                <w:sz w:val="14"/>
                <w:szCs w:val="14"/>
                <w:color w:val="auto"/>
              </w:rPr>
              <w:t>7.9%</w:t>
            </w:r>
          </w:p>
        </w:tc>
        <w:tc>
          <w:tcPr>
            <w:tcW w:w="880" w:type="dxa"/>
            <w:vAlign w:val="bottom"/>
          </w:tcPr>
          <w:p>
            <w:pPr>
              <w:jc w:val="center"/>
              <w:spacing w:after="0"/>
              <w:rPr>
                <w:sz w:val="20"/>
                <w:szCs w:val="20"/>
                <w:color w:val="auto"/>
              </w:rPr>
            </w:pPr>
            <w:r>
              <w:rPr>
                <w:rFonts w:ascii="Arial" w:cs="Arial" w:eastAsia="Arial" w:hAnsi="Arial"/>
                <w:sz w:val="14"/>
                <w:szCs w:val="14"/>
                <w:color w:val="auto"/>
              </w:rPr>
              <w:t>7.2%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6.6%</w:t>
            </w:r>
          </w:p>
        </w:tc>
      </w:tr>
      <w:tr>
        <w:trPr>
          <w:trHeight w:val="148"/>
        </w:trPr>
        <w:tc>
          <w:tcPr>
            <w:tcW w:w="2300" w:type="dxa"/>
            <w:vAlign w:val="bottom"/>
            <w:tcBorders>
              <w:left w:val="single" w:sz="8" w:color="auto"/>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SME - Pyme</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19,562</w:t>
            </w:r>
          </w:p>
        </w:tc>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rPr>
              <w:t>19,717</w:t>
            </w:r>
          </w:p>
        </w:tc>
        <w:tc>
          <w:tcPr>
            <w:tcW w:w="9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19,404</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-312</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-158</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-1.6%</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-0.8%</w:t>
            </w:r>
          </w:p>
        </w:tc>
        <w:tc>
          <w:tcPr>
            <w:tcW w:w="900" w:type="dxa"/>
            <w:vAlign w:val="bottom"/>
          </w:tcPr>
          <w:p>
            <w:pPr>
              <w:jc w:val="center"/>
              <w:spacing w:after="0" w:line="148" w:lineRule="exact"/>
              <w:rPr>
                <w:sz w:val="20"/>
                <w:szCs w:val="20"/>
                <w:color w:val="auto"/>
              </w:rPr>
            </w:pPr>
            <w:r>
              <w:rPr>
                <w:rFonts w:ascii="Arial" w:cs="Arial" w:eastAsia="Arial" w:hAnsi="Arial"/>
                <w:sz w:val="14"/>
                <w:szCs w:val="14"/>
                <w:color w:val="auto"/>
              </w:rPr>
              <w:t>14.3%</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13.6%</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13.5%</w:t>
            </w:r>
          </w:p>
        </w:tc>
      </w:tr>
      <w:tr>
        <w:trPr>
          <w:trHeight w:val="162"/>
        </w:trPr>
        <w:tc>
          <w:tcPr>
            <w:tcW w:w="2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Mortgage</w:t>
            </w:r>
          </w:p>
        </w:tc>
        <w:tc>
          <w:tcPr>
            <w:tcW w:w="880" w:type="dxa"/>
            <w:vAlign w:val="bottom"/>
          </w:tcPr>
          <w:p>
            <w:pPr>
              <w:jc w:val="center"/>
              <w:spacing w:after="0"/>
              <w:rPr>
                <w:sz w:val="20"/>
                <w:szCs w:val="20"/>
                <w:color w:val="auto"/>
              </w:rPr>
            </w:pPr>
            <w:r>
              <w:rPr>
                <w:rFonts w:ascii="Arial" w:cs="Arial" w:eastAsia="Arial" w:hAnsi="Arial"/>
                <w:sz w:val="14"/>
                <w:szCs w:val="14"/>
                <w:color w:val="auto"/>
              </w:rPr>
              <w:t>17,720</w:t>
            </w:r>
          </w:p>
        </w:tc>
        <w:tc>
          <w:tcPr>
            <w:tcW w:w="920" w:type="dxa"/>
            <w:vAlign w:val="bottom"/>
          </w:tcPr>
          <w:p>
            <w:pPr>
              <w:jc w:val="center"/>
              <w:spacing w:after="0"/>
              <w:rPr>
                <w:sz w:val="20"/>
                <w:szCs w:val="20"/>
                <w:color w:val="auto"/>
              </w:rPr>
            </w:pPr>
            <w:r>
              <w:rPr>
                <w:rFonts w:ascii="Arial" w:cs="Arial" w:eastAsia="Arial" w:hAnsi="Arial"/>
                <w:sz w:val="14"/>
                <w:szCs w:val="14"/>
                <w:color w:val="auto"/>
              </w:rPr>
              <w:t>18,432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18,833</w:t>
            </w:r>
          </w:p>
        </w:tc>
        <w:tc>
          <w:tcPr>
            <w:tcW w:w="88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401</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w w:val="96"/>
              </w:rPr>
              <w:t>1,112</w:t>
            </w:r>
          </w:p>
        </w:tc>
        <w:tc>
          <w:tcPr>
            <w:tcW w:w="880" w:type="dxa"/>
            <w:vAlign w:val="bottom"/>
          </w:tcPr>
          <w:p>
            <w:pPr>
              <w:jc w:val="center"/>
              <w:spacing w:after="0"/>
              <w:rPr>
                <w:sz w:val="20"/>
                <w:szCs w:val="20"/>
                <w:color w:val="auto"/>
              </w:rPr>
            </w:pPr>
            <w:r>
              <w:rPr>
                <w:rFonts w:ascii="Arial" w:cs="Arial" w:eastAsia="Arial" w:hAnsi="Arial"/>
                <w:sz w:val="14"/>
                <w:szCs w:val="14"/>
                <w:color w:val="auto"/>
              </w:rPr>
              <w:t>2.2%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6.3%</w:t>
            </w:r>
          </w:p>
        </w:tc>
        <w:tc>
          <w:tcPr>
            <w:tcW w:w="900" w:type="dxa"/>
            <w:vAlign w:val="bottom"/>
          </w:tcPr>
          <w:p>
            <w:pPr>
              <w:jc w:val="center"/>
              <w:spacing w:after="0"/>
              <w:rPr>
                <w:sz w:val="20"/>
                <w:szCs w:val="20"/>
                <w:color w:val="auto"/>
              </w:rPr>
            </w:pPr>
            <w:r>
              <w:rPr>
                <w:rFonts w:ascii="Arial" w:cs="Arial" w:eastAsia="Arial" w:hAnsi="Arial"/>
                <w:sz w:val="14"/>
                <w:szCs w:val="14"/>
                <w:color w:val="auto"/>
              </w:rPr>
              <w:t>13.0%</w:t>
            </w:r>
          </w:p>
        </w:tc>
        <w:tc>
          <w:tcPr>
            <w:tcW w:w="880" w:type="dxa"/>
            <w:vAlign w:val="bottom"/>
          </w:tcPr>
          <w:p>
            <w:pPr>
              <w:jc w:val="center"/>
              <w:spacing w:after="0"/>
              <w:rPr>
                <w:sz w:val="20"/>
                <w:szCs w:val="20"/>
                <w:color w:val="auto"/>
              </w:rPr>
            </w:pPr>
            <w:r>
              <w:rPr>
                <w:rFonts w:ascii="Arial" w:cs="Arial" w:eastAsia="Arial" w:hAnsi="Arial"/>
                <w:sz w:val="14"/>
                <w:szCs w:val="14"/>
                <w:color w:val="auto"/>
              </w:rPr>
              <w:t>12.7%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13.1%</w:t>
            </w:r>
          </w:p>
        </w:tc>
      </w:tr>
      <w:tr>
        <w:trPr>
          <w:trHeight w:val="177"/>
        </w:trPr>
        <w:tc>
          <w:tcPr>
            <w:tcW w:w="23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Consumer</w:t>
            </w:r>
          </w:p>
        </w:tc>
        <w:tc>
          <w:tcPr>
            <w:tcW w:w="880" w:type="dxa"/>
            <w:vAlign w:val="bottom"/>
          </w:tcPr>
          <w:p>
            <w:pPr>
              <w:jc w:val="center"/>
              <w:spacing w:after="0"/>
              <w:rPr>
                <w:sz w:val="20"/>
                <w:szCs w:val="20"/>
                <w:color w:val="auto"/>
              </w:rPr>
            </w:pPr>
            <w:r>
              <w:rPr>
                <w:rFonts w:ascii="Arial" w:cs="Arial" w:eastAsia="Arial" w:hAnsi="Arial"/>
                <w:sz w:val="14"/>
                <w:szCs w:val="14"/>
                <w:color w:val="auto"/>
              </w:rPr>
              <w:t>9,958</w:t>
            </w:r>
          </w:p>
        </w:tc>
        <w:tc>
          <w:tcPr>
            <w:tcW w:w="920" w:type="dxa"/>
            <w:vAlign w:val="bottom"/>
          </w:tcPr>
          <w:p>
            <w:pPr>
              <w:jc w:val="center"/>
              <w:spacing w:after="0"/>
              <w:rPr>
                <w:sz w:val="20"/>
                <w:szCs w:val="20"/>
                <w:color w:val="auto"/>
              </w:rPr>
            </w:pPr>
            <w:r>
              <w:rPr>
                <w:rFonts w:ascii="Arial" w:cs="Arial" w:eastAsia="Arial" w:hAnsi="Arial"/>
                <w:sz w:val="14"/>
                <w:szCs w:val="14"/>
                <w:color w:val="auto"/>
              </w:rPr>
              <w:t>10,296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10,974</w:t>
            </w:r>
          </w:p>
        </w:tc>
        <w:tc>
          <w:tcPr>
            <w:tcW w:w="88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678</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1,015</w:t>
            </w:r>
          </w:p>
        </w:tc>
        <w:tc>
          <w:tcPr>
            <w:tcW w:w="880" w:type="dxa"/>
            <w:vAlign w:val="bottom"/>
          </w:tcPr>
          <w:p>
            <w:pPr>
              <w:jc w:val="center"/>
              <w:spacing w:after="0"/>
              <w:rPr>
                <w:sz w:val="20"/>
                <w:szCs w:val="20"/>
                <w:color w:val="auto"/>
              </w:rPr>
            </w:pPr>
            <w:r>
              <w:rPr>
                <w:rFonts w:ascii="Arial" w:cs="Arial" w:eastAsia="Arial" w:hAnsi="Arial"/>
                <w:sz w:val="14"/>
                <w:szCs w:val="14"/>
                <w:color w:val="auto"/>
              </w:rPr>
              <w:t>6.6%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10.2%</w:t>
            </w:r>
          </w:p>
        </w:tc>
        <w:tc>
          <w:tcPr>
            <w:tcW w:w="900" w:type="dxa"/>
            <w:vAlign w:val="bottom"/>
          </w:tcPr>
          <w:p>
            <w:pPr>
              <w:jc w:val="center"/>
              <w:spacing w:after="0"/>
              <w:rPr>
                <w:sz w:val="20"/>
                <w:szCs w:val="20"/>
                <w:color w:val="auto"/>
              </w:rPr>
            </w:pPr>
            <w:r>
              <w:rPr>
                <w:rFonts w:ascii="Arial" w:cs="Arial" w:eastAsia="Arial" w:hAnsi="Arial"/>
                <w:sz w:val="14"/>
                <w:szCs w:val="14"/>
                <w:color w:val="auto"/>
              </w:rPr>
              <w:t>7.3%</w:t>
            </w:r>
          </w:p>
        </w:tc>
        <w:tc>
          <w:tcPr>
            <w:tcW w:w="880" w:type="dxa"/>
            <w:vAlign w:val="bottom"/>
          </w:tcPr>
          <w:p>
            <w:pPr>
              <w:jc w:val="center"/>
              <w:spacing w:after="0"/>
              <w:rPr>
                <w:sz w:val="20"/>
                <w:szCs w:val="20"/>
                <w:color w:val="auto"/>
              </w:rPr>
            </w:pPr>
            <w:r>
              <w:rPr>
                <w:rFonts w:ascii="Arial" w:cs="Arial" w:eastAsia="Arial" w:hAnsi="Arial"/>
                <w:sz w:val="14"/>
                <w:szCs w:val="14"/>
                <w:color w:val="auto"/>
              </w:rPr>
              <w:t>7.1%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w:t>
            </w:r>
          </w:p>
        </w:tc>
      </w:tr>
      <w:tr>
        <w:trPr>
          <w:trHeight w:val="148"/>
        </w:trPr>
        <w:tc>
          <w:tcPr>
            <w:tcW w:w="2300" w:type="dxa"/>
            <w:vAlign w:val="bottom"/>
            <w:tcBorders>
              <w:left w:val="single" w:sz="8" w:color="auto"/>
              <w:right w:val="single" w:sz="8" w:color="auto"/>
            </w:tcBorders>
          </w:tcPr>
          <w:p>
            <w:pPr>
              <w:ind w:left="140"/>
              <w:spacing w:after="0" w:line="148" w:lineRule="exact"/>
              <w:rPr>
                <w:sz w:val="20"/>
                <w:szCs w:val="20"/>
                <w:color w:val="auto"/>
              </w:rPr>
            </w:pPr>
            <w:r>
              <w:rPr>
                <w:rFonts w:ascii="Arial" w:cs="Arial" w:eastAsia="Arial" w:hAnsi="Arial"/>
                <w:sz w:val="14"/>
                <w:szCs w:val="14"/>
                <w:color w:val="auto"/>
              </w:rPr>
              <w:t>Credit Card</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4,075</w:t>
            </w:r>
          </w:p>
        </w:tc>
        <w:tc>
          <w:tcPr>
            <w:tcW w:w="920" w:type="dxa"/>
            <w:vAlign w:val="bottom"/>
          </w:tcPr>
          <w:p>
            <w:pPr>
              <w:jc w:val="center"/>
              <w:spacing w:after="0" w:line="148" w:lineRule="exact"/>
              <w:rPr>
                <w:sz w:val="20"/>
                <w:szCs w:val="20"/>
                <w:color w:val="auto"/>
              </w:rPr>
            </w:pPr>
            <w:r>
              <w:rPr>
                <w:rFonts w:ascii="Arial" w:cs="Arial" w:eastAsia="Arial" w:hAnsi="Arial"/>
                <w:sz w:val="14"/>
                <w:szCs w:val="14"/>
                <w:color w:val="auto"/>
              </w:rPr>
              <w:t>3,813</w:t>
            </w:r>
          </w:p>
        </w:tc>
        <w:tc>
          <w:tcPr>
            <w:tcW w:w="9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4,022</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209</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-53</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5.5%</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-1.3%</w:t>
            </w:r>
          </w:p>
        </w:tc>
        <w:tc>
          <w:tcPr>
            <w:tcW w:w="900" w:type="dxa"/>
            <w:vAlign w:val="bottom"/>
          </w:tcPr>
          <w:p>
            <w:pPr>
              <w:jc w:val="center"/>
              <w:spacing w:after="0" w:line="148" w:lineRule="exact"/>
              <w:rPr>
                <w:sz w:val="20"/>
                <w:szCs w:val="20"/>
                <w:color w:val="auto"/>
              </w:rPr>
            </w:pPr>
            <w:r>
              <w:rPr>
                <w:rFonts w:ascii="Arial" w:cs="Arial" w:eastAsia="Arial" w:hAnsi="Arial"/>
                <w:sz w:val="14"/>
                <w:szCs w:val="14"/>
                <w:color w:val="auto"/>
              </w:rPr>
              <w:t>3.0%</w:t>
            </w:r>
          </w:p>
        </w:tc>
        <w:tc>
          <w:tcPr>
            <w:tcW w:w="880" w:type="dxa"/>
            <w:vAlign w:val="bottom"/>
          </w:tcPr>
          <w:p>
            <w:pPr>
              <w:jc w:val="center"/>
              <w:spacing w:after="0" w:line="148" w:lineRule="exact"/>
              <w:rPr>
                <w:sz w:val="20"/>
                <w:szCs w:val="20"/>
                <w:color w:val="auto"/>
              </w:rPr>
            </w:pPr>
            <w:r>
              <w:rPr>
                <w:rFonts w:ascii="Arial" w:cs="Arial" w:eastAsia="Arial" w:hAnsi="Arial"/>
                <w:sz w:val="14"/>
                <w:szCs w:val="14"/>
                <w:color w:val="auto"/>
              </w:rPr>
              <w:t>2.6%</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2.8%</w:t>
            </w:r>
          </w:p>
        </w:tc>
      </w:tr>
      <w:tr>
        <w:trPr>
          <w:trHeight w:val="17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Mibanco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12,923</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13,352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13,582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230</w:t>
            </w:r>
          </w:p>
        </w:tc>
        <w:tc>
          <w:tcPr>
            <w:tcW w:w="9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b w:val="1"/>
                <w:bCs w:val="1"/>
                <w:color w:val="auto"/>
              </w:rPr>
              <w:t>659</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9.5%</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9.2%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9.5%</w:t>
            </w:r>
          </w:p>
        </w:tc>
      </w:tr>
      <w:tr>
        <w:trPr>
          <w:trHeight w:val="148"/>
        </w:trPr>
        <w:tc>
          <w:tcPr>
            <w:tcW w:w="230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rPr>
              <w:t>Mibanco Colombia</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909</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1,064</w:t>
            </w:r>
          </w:p>
        </w:tc>
        <w:tc>
          <w:tcPr>
            <w:tcW w:w="9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1,077</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14</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169</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1.3%</w:t>
            </w:r>
          </w:p>
        </w:tc>
        <w:tc>
          <w:tcPr>
            <w:tcW w:w="9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18.6%</w:t>
            </w: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0.7%</w:t>
            </w: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0.7%</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0.8%</w:t>
            </w:r>
          </w:p>
        </w:tc>
      </w:tr>
      <w:tr>
        <w:trPr>
          <w:trHeight w:val="17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Bolivia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8,420</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9,230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8,602</w:t>
            </w:r>
          </w:p>
        </w:tc>
        <w:tc>
          <w:tcPr>
            <w:tcW w:w="880" w:type="dxa"/>
            <w:vAlign w:val="bottom"/>
            <w:shd w:val="clear" w:color="auto" w:fill="E93CAC"/>
          </w:tcPr>
          <w:p>
            <w:pPr>
              <w:jc w:val="center"/>
              <w:spacing w:after="0"/>
              <w:rPr>
                <w:sz w:val="20"/>
                <w:szCs w:val="20"/>
                <w:color w:val="auto"/>
              </w:rPr>
            </w:pPr>
            <w:r>
              <w:rPr>
                <w:rFonts w:ascii="Arial" w:cs="Arial" w:eastAsia="Arial" w:hAnsi="Arial"/>
                <w:sz w:val="14"/>
                <w:szCs w:val="14"/>
                <w:b w:val="1"/>
                <w:bCs w:val="1"/>
                <w:color w:val="auto"/>
              </w:rPr>
              <w:t>-628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183</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2.2%</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6.2%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6.4%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6.0%</w:t>
            </w:r>
          </w:p>
        </w:tc>
      </w:tr>
      <w:tr>
        <w:trPr>
          <w:trHeight w:val="162"/>
        </w:trPr>
        <w:tc>
          <w:tcPr>
            <w:tcW w:w="23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2,520</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2,311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2,103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-208</w:t>
            </w:r>
          </w:p>
        </w:tc>
        <w:tc>
          <w:tcPr>
            <w:tcW w:w="920" w:type="dxa"/>
            <w:vAlign w:val="bottom"/>
            <w:tcBorders>
              <w:bottom w:val="single" w:sz="8" w:color="auto"/>
              <w:right w:val="single" w:sz="8" w:color="auto"/>
            </w:tcBorders>
            <w:shd w:val="clear" w:color="auto" w:fill="E93CAC"/>
          </w:tcPr>
          <w:p>
            <w:pPr>
              <w:jc w:val="center"/>
              <w:spacing w:after="0"/>
              <w:rPr>
                <w:sz w:val="20"/>
                <w:szCs w:val="20"/>
                <w:color w:val="auto"/>
              </w:rPr>
            </w:pPr>
            <w:r>
              <w:rPr>
                <w:rFonts w:ascii="Arial" w:cs="Arial" w:eastAsia="Arial" w:hAnsi="Arial"/>
                <w:sz w:val="14"/>
                <w:szCs w:val="14"/>
                <w:b w:val="1"/>
                <w:bCs w:val="1"/>
                <w:color w:val="auto"/>
              </w:rPr>
              <w:t>-417</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-16.5%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1.5%</w:t>
            </w:r>
          </w:p>
        </w:tc>
      </w:tr>
      <w:tr>
        <w:trPr>
          <w:trHeight w:val="153"/>
        </w:trPr>
        <w:tc>
          <w:tcPr>
            <w:tcW w:w="230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BAP's total loans</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136,699</w:t>
            </w:r>
          </w:p>
        </w:tc>
        <w:tc>
          <w:tcPr>
            <w:tcW w:w="92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145,057</w:t>
            </w:r>
          </w:p>
        </w:tc>
        <w:tc>
          <w:tcPr>
            <w:tcW w:w="9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143,613</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-1,445</w:t>
            </w:r>
          </w:p>
        </w:tc>
        <w:tc>
          <w:tcPr>
            <w:tcW w:w="9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6,914</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w:t>
            </w:r>
          </w:p>
        </w:tc>
        <w:tc>
          <w:tcPr>
            <w:tcW w:w="92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5.1%</w:t>
            </w:r>
          </w:p>
        </w:tc>
        <w:tc>
          <w:tcPr>
            <w:tcW w:w="9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100.0%</w:t>
            </w: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100.0%</w:t>
            </w:r>
          </w:p>
        </w:tc>
        <w:tc>
          <w:tcPr>
            <w:tcW w:w="8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100.0%</w:t>
            </w:r>
          </w:p>
        </w:tc>
      </w:tr>
    </w:tbl>
    <w:p>
      <w:pPr>
        <w:spacing w:after="0" w:line="15" w:lineRule="exact"/>
        <w:rPr>
          <w:sz w:val="20"/>
          <w:szCs w:val="20"/>
          <w:color w:val="auto"/>
        </w:rPr>
      </w:pPr>
    </w:p>
    <w:p>
      <w:pPr>
        <w:spacing w:after="0"/>
        <w:rPr>
          <w:sz w:val="20"/>
          <w:szCs w:val="20"/>
          <w:color w:val="auto"/>
        </w:rPr>
      </w:pPr>
      <w:r>
        <w:rPr>
          <w:rFonts w:ascii="Arial" w:cs="Arial" w:eastAsia="Arial" w:hAnsi="Arial"/>
          <w:sz w:val="9"/>
          <w:szCs w:val="9"/>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20955</wp:posOffset>
            </wp:positionV>
            <wp:extent cx="1010920" cy="206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10920" cy="206375"/>
                    </a:xfrm>
                    <a:prstGeom prst="rect">
                      <a:avLst/>
                    </a:prstGeom>
                    <a:noFill/>
                  </pic:spPr>
                </pic:pic>
              </a:graphicData>
            </a:graphic>
          </wp:anchor>
        </w:drawing>
      </w:r>
    </w:p>
    <w:p>
      <w:pPr>
        <w:spacing w:after="0" w:line="61" w:lineRule="exact"/>
        <w:rPr>
          <w:sz w:val="20"/>
          <w:szCs w:val="20"/>
          <w:color w:val="auto"/>
        </w:rPr>
      </w:pPr>
    </w:p>
    <w:p>
      <w:pPr>
        <w:ind w:left="140" w:hanging="133"/>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9"/>
          <w:szCs w:val="9"/>
          <w:color w:val="auto"/>
        </w:rPr>
        <w:t>Includes Work out unit, and other banking. For Quarter-end Balances figures, please refer to “12. Annexes – 12.11 Loan Portfolio Quality”.</w:t>
      </w:r>
    </w:p>
    <w:p>
      <w:pPr>
        <w:spacing w:after="0" w:line="12" w:lineRule="exact"/>
        <w:rPr>
          <w:rFonts w:ascii="Arial" w:cs="Arial" w:eastAsia="Arial" w:hAnsi="Arial"/>
          <w:sz w:val="9"/>
          <w:szCs w:val="9"/>
          <w:color w:val="auto"/>
        </w:rPr>
      </w:pPr>
    </w:p>
    <w:p>
      <w:pPr>
        <w:ind w:left="140" w:hanging="133"/>
        <w:spacing w:after="0"/>
        <w:tabs>
          <w:tab w:leader="none" w:pos="140" w:val="left"/>
        </w:tabs>
        <w:numPr>
          <w:ilvl w:val="0"/>
          <w:numId w:val="18"/>
        </w:numPr>
        <w:rPr>
          <w:rFonts w:ascii="Arial" w:cs="Arial" w:eastAsia="Arial" w:hAnsi="Arial"/>
          <w:sz w:val="9"/>
          <w:szCs w:val="9"/>
          <w:color w:val="auto"/>
        </w:rPr>
      </w:pPr>
      <w:r>
        <w:rPr>
          <w:rFonts w:ascii="Arial" w:cs="Arial" w:eastAsia="Arial" w:hAnsi="Arial"/>
          <w:sz w:val="9"/>
          <w:szCs w:val="9"/>
          <w:color w:val="auto"/>
        </w:rPr>
        <w:t>Portfolio Management Figures. Non-audited figures.</w:t>
      </w:r>
    </w:p>
    <w:p>
      <w:pPr>
        <w:spacing w:after="0" w:line="23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The drop in total loans QoQ was attributable to amortizations of GP Loans and to the exchange rate effect. YoY, the positive results of the Structural portfolio at BCP Stand-alone and Mibanco offset completely the contraction registered in GP loans.</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Evolution of the Dollarization Level of Credicorp Loans by Segment (in Average Daily Balances)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680" w:type="dxa"/>
            <w:vAlign w:val="bottom"/>
            <w:tcBorders>
              <w:top w:val="single" w:sz="8" w:color="auto"/>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16"/>
                <w:szCs w:val="16"/>
                <w:b w:val="1"/>
                <w:bCs w:val="1"/>
                <w:color w:val="FFFFFF"/>
              </w:rPr>
              <w:t>Total Loans</w:t>
            </w:r>
          </w:p>
        </w:tc>
        <w:tc>
          <w:tcPr>
            <w:tcW w:w="540" w:type="dxa"/>
            <w:vAlign w:val="bottom"/>
            <w:tcBorders>
              <w:top w:val="single" w:sz="8" w:color="auto"/>
            </w:tcBorders>
            <w:shd w:val="clear" w:color="auto" w:fill="2AD2C9"/>
          </w:tcPr>
          <w:p>
            <w:pPr>
              <w:spacing w:after="0"/>
              <w:rPr>
                <w:sz w:val="18"/>
                <w:szCs w:val="18"/>
                <w:color w:val="auto"/>
              </w:rPr>
            </w:pPr>
          </w:p>
        </w:tc>
        <w:tc>
          <w:tcPr>
            <w:tcW w:w="2220" w:type="dxa"/>
            <w:vAlign w:val="bottom"/>
            <w:tcBorders>
              <w:top w:val="single" w:sz="8" w:color="auto"/>
            </w:tcBorders>
            <w:gridSpan w:val="4"/>
            <w:shd w:val="clear" w:color="auto" w:fill="2AD2C9"/>
          </w:tcPr>
          <w:p>
            <w:pPr>
              <w:jc w:val="center"/>
              <w:spacing w:after="0"/>
              <w:rPr>
                <w:sz w:val="20"/>
                <w:szCs w:val="20"/>
                <w:color w:val="auto"/>
              </w:rPr>
            </w:pPr>
            <w:r>
              <w:rPr>
                <w:rFonts w:ascii="Arial" w:cs="Arial" w:eastAsia="Arial" w:hAnsi="Arial"/>
                <w:sz w:val="16"/>
                <w:szCs w:val="16"/>
                <w:b w:val="1"/>
                <w:bCs w:val="1"/>
                <w:color w:val="FFFFFF"/>
                <w:w w:val="99"/>
              </w:rPr>
              <w:t>Local Currency (LC)</w:t>
            </w:r>
          </w:p>
        </w:tc>
        <w:tc>
          <w:tcPr>
            <w:tcW w:w="580" w:type="dxa"/>
            <w:vAlign w:val="bottom"/>
            <w:tcBorders>
              <w:top w:val="single" w:sz="8" w:color="auto"/>
              <w:right w:val="single" w:sz="8" w:color="auto"/>
            </w:tcBorders>
            <w:shd w:val="clear" w:color="auto" w:fill="2AD2C9"/>
          </w:tcPr>
          <w:p>
            <w:pPr>
              <w:spacing w:after="0"/>
              <w:rPr>
                <w:sz w:val="18"/>
                <w:szCs w:val="18"/>
                <w:color w:val="auto"/>
              </w:rPr>
            </w:pPr>
          </w:p>
        </w:tc>
        <w:tc>
          <w:tcPr>
            <w:tcW w:w="1020" w:type="dxa"/>
            <w:vAlign w:val="bottom"/>
            <w:tcBorders>
              <w:top w:val="single" w:sz="8" w:color="auto"/>
              <w:right w:val="single" w:sz="8" w:color="auto"/>
            </w:tcBorders>
            <w:gridSpan w:val="2"/>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 change</w:t>
            </w:r>
          </w:p>
        </w:tc>
        <w:tc>
          <w:tcPr>
            <w:tcW w:w="980" w:type="dxa"/>
            <w:vAlign w:val="bottom"/>
            <w:tcBorders>
              <w:top w:val="single" w:sz="8" w:color="auto"/>
              <w:right w:val="single" w:sz="8" w:color="auto"/>
            </w:tcBorders>
            <w:gridSpan w:val="2"/>
            <w:shd w:val="clear" w:color="auto" w:fill="2AD2C9"/>
          </w:tcPr>
          <w:p>
            <w:pPr>
              <w:jc w:val="right"/>
              <w:ind w:right="41"/>
              <w:spacing w:after="0"/>
              <w:rPr>
                <w:sz w:val="20"/>
                <w:szCs w:val="20"/>
                <w:color w:val="auto"/>
              </w:rPr>
            </w:pPr>
            <w:r>
              <w:rPr>
                <w:rFonts w:ascii="Arial" w:cs="Arial" w:eastAsia="Arial" w:hAnsi="Arial"/>
                <w:sz w:val="16"/>
                <w:szCs w:val="16"/>
                <w:b w:val="1"/>
                <w:bCs w:val="1"/>
                <w:color w:val="FFFFFF"/>
              </w:rPr>
              <w:t>% change</w:t>
            </w:r>
          </w:p>
        </w:tc>
        <w:tc>
          <w:tcPr>
            <w:tcW w:w="1720" w:type="dxa"/>
            <w:vAlign w:val="bottom"/>
            <w:tcBorders>
              <w:top w:val="single" w:sz="8" w:color="auto"/>
              <w:right w:val="single" w:sz="8" w:color="auto"/>
            </w:tcBorders>
            <w:gridSpan w:val="3"/>
            <w:shd w:val="clear" w:color="auto" w:fill="2AD2C9"/>
          </w:tcPr>
          <w:p>
            <w:pPr>
              <w:ind w:left="20"/>
              <w:spacing w:after="0"/>
              <w:rPr>
                <w:sz w:val="20"/>
                <w:szCs w:val="20"/>
                <w:color w:val="auto"/>
              </w:rPr>
            </w:pPr>
            <w:r>
              <w:rPr>
                <w:rFonts w:ascii="Arial" w:cs="Arial" w:eastAsia="Arial" w:hAnsi="Arial"/>
                <w:sz w:val="16"/>
                <w:szCs w:val="16"/>
                <w:b w:val="1"/>
                <w:bCs w:val="1"/>
                <w:color w:val="FFFFFF"/>
                <w:w w:val="97"/>
              </w:rPr>
              <w:t>Foreign Currency (FC)</w:t>
            </w:r>
          </w:p>
        </w:tc>
        <w:tc>
          <w:tcPr>
            <w:tcW w:w="1120" w:type="dxa"/>
            <w:vAlign w:val="bottom"/>
            <w:tcBorders>
              <w:top w:val="single" w:sz="8" w:color="auto"/>
              <w:right w:val="single" w:sz="8" w:color="auto"/>
            </w:tcBorders>
            <w:gridSpan w:val="2"/>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w w:val="99"/>
              </w:rPr>
              <w:t>% change</w:t>
            </w:r>
          </w:p>
        </w:tc>
        <w:tc>
          <w:tcPr>
            <w:tcW w:w="1520" w:type="dxa"/>
            <w:vAlign w:val="bottom"/>
            <w:tcBorders>
              <w:top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16"/>
                <w:szCs w:val="16"/>
                <w:b w:val="1"/>
                <w:bCs w:val="1"/>
                <w:color w:val="FFFFFF"/>
                <w:w w:val="99"/>
              </w:rPr>
              <w:t>% part. by currency</w:t>
            </w:r>
          </w:p>
        </w:tc>
        <w:tc>
          <w:tcPr>
            <w:tcW w:w="0" w:type="dxa"/>
            <w:vAlign w:val="bottom"/>
          </w:tcPr>
          <w:p>
            <w:pPr>
              <w:spacing w:after="0"/>
              <w:rPr>
                <w:sz w:val="1"/>
                <w:szCs w:val="1"/>
                <w:color w:val="auto"/>
              </w:rPr>
            </w:pPr>
          </w:p>
        </w:tc>
      </w:tr>
      <w:tr>
        <w:trPr>
          <w:trHeight w:val="108"/>
        </w:trPr>
        <w:tc>
          <w:tcPr>
            <w:tcW w:w="1680" w:type="dxa"/>
            <w:vAlign w:val="bottom"/>
            <w:tcBorders>
              <w:left w:val="single" w:sz="8" w:color="auto"/>
              <w:right w:val="single" w:sz="8" w:color="auto"/>
            </w:tcBorders>
            <w:vMerge w:val="continue"/>
            <w:shd w:val="clear" w:color="auto" w:fill="2AD2C9"/>
          </w:tcPr>
          <w:p>
            <w:pPr>
              <w:spacing w:after="0"/>
              <w:rPr>
                <w:sz w:val="9"/>
                <w:szCs w:val="9"/>
                <w:color w:val="auto"/>
              </w:rPr>
            </w:pPr>
          </w:p>
        </w:tc>
        <w:tc>
          <w:tcPr>
            <w:tcW w:w="540" w:type="dxa"/>
            <w:vAlign w:val="bottom"/>
            <w:shd w:val="clear" w:color="auto" w:fill="2AD2C9"/>
          </w:tcPr>
          <w:p>
            <w:pPr>
              <w:spacing w:after="0"/>
              <w:rPr>
                <w:sz w:val="9"/>
                <w:szCs w:val="9"/>
                <w:color w:val="auto"/>
              </w:rPr>
            </w:pPr>
          </w:p>
        </w:tc>
        <w:tc>
          <w:tcPr>
            <w:tcW w:w="560" w:type="dxa"/>
            <w:vAlign w:val="bottom"/>
            <w:vMerge w:val="restart"/>
            <w:shd w:val="clear" w:color="auto" w:fill="2AD2C9"/>
          </w:tcPr>
          <w:p>
            <w:pPr>
              <w:ind w:left="100"/>
              <w:spacing w:after="0"/>
              <w:rPr>
                <w:sz w:val="20"/>
                <w:szCs w:val="20"/>
                <w:color w:val="auto"/>
              </w:rPr>
            </w:pPr>
            <w:r>
              <w:rPr>
                <w:rFonts w:ascii="Arial" w:cs="Arial" w:eastAsia="Arial" w:hAnsi="Arial"/>
                <w:sz w:val="16"/>
                <w:szCs w:val="16"/>
                <w:b w:val="1"/>
                <w:bCs w:val="1"/>
                <w:color w:val="FFFFFF"/>
              </w:rPr>
              <w:t>Total</w:t>
            </w:r>
          </w:p>
        </w:tc>
        <w:tc>
          <w:tcPr>
            <w:tcW w:w="560" w:type="dxa"/>
            <w:vAlign w:val="bottom"/>
            <w:shd w:val="clear" w:color="auto" w:fill="2AD2C9"/>
          </w:tcPr>
          <w:p>
            <w:pPr>
              <w:spacing w:after="0"/>
              <w:rPr>
                <w:sz w:val="9"/>
                <w:szCs w:val="9"/>
                <w:color w:val="auto"/>
              </w:rPr>
            </w:pPr>
          </w:p>
        </w:tc>
        <w:tc>
          <w:tcPr>
            <w:tcW w:w="1680" w:type="dxa"/>
            <w:vAlign w:val="bottom"/>
            <w:tcBorders>
              <w:right w:val="single" w:sz="8" w:color="auto"/>
            </w:tcBorders>
            <w:gridSpan w:val="3"/>
            <w:vMerge w:val="restart"/>
            <w:shd w:val="clear" w:color="auto" w:fill="2AD2C9"/>
          </w:tcPr>
          <w:p>
            <w:pPr>
              <w:ind w:left="460"/>
              <w:spacing w:after="0"/>
              <w:rPr>
                <w:sz w:val="20"/>
                <w:szCs w:val="20"/>
                <w:color w:val="auto"/>
              </w:rPr>
            </w:pPr>
            <w:r>
              <w:rPr>
                <w:rFonts w:ascii="Arial" w:cs="Arial" w:eastAsia="Arial" w:hAnsi="Arial"/>
                <w:sz w:val="16"/>
                <w:szCs w:val="16"/>
                <w:b w:val="1"/>
                <w:bCs w:val="1"/>
                <w:color w:val="FFFFFF"/>
              </w:rPr>
              <w:t>Structural</w:t>
            </w:r>
          </w:p>
        </w:tc>
        <w:tc>
          <w:tcPr>
            <w:tcW w:w="1020" w:type="dxa"/>
            <w:vAlign w:val="bottom"/>
            <w:tcBorders>
              <w:right w:val="single" w:sz="8" w:color="auto"/>
            </w:tcBorders>
            <w:gridSpan w:val="2"/>
            <w:vMerge w:val="continue"/>
            <w:shd w:val="clear" w:color="auto" w:fill="2AD2C9"/>
          </w:tcPr>
          <w:p>
            <w:pPr>
              <w:spacing w:after="0"/>
              <w:rPr>
                <w:sz w:val="9"/>
                <w:szCs w:val="9"/>
                <w:color w:val="auto"/>
              </w:rPr>
            </w:pPr>
          </w:p>
        </w:tc>
        <w:tc>
          <w:tcPr>
            <w:tcW w:w="980" w:type="dxa"/>
            <w:vAlign w:val="bottom"/>
            <w:tcBorders>
              <w:right w:val="single" w:sz="8" w:color="auto"/>
            </w:tcBorders>
            <w:gridSpan w:val="2"/>
            <w:vMerge w:val="restart"/>
            <w:shd w:val="clear" w:color="auto" w:fill="2AD2C9"/>
          </w:tcPr>
          <w:p>
            <w:pPr>
              <w:jc w:val="right"/>
              <w:ind w:right="41"/>
              <w:spacing w:after="0"/>
              <w:rPr>
                <w:sz w:val="20"/>
                <w:szCs w:val="20"/>
                <w:color w:val="auto"/>
              </w:rPr>
            </w:pPr>
            <w:r>
              <w:rPr>
                <w:rFonts w:ascii="Arial" w:cs="Arial" w:eastAsia="Arial" w:hAnsi="Arial"/>
                <w:sz w:val="16"/>
                <w:szCs w:val="16"/>
                <w:b w:val="1"/>
                <w:bCs w:val="1"/>
                <w:color w:val="FFFFFF"/>
              </w:rPr>
              <w:t>Structural</w:t>
            </w:r>
          </w:p>
        </w:tc>
        <w:tc>
          <w:tcPr>
            <w:tcW w:w="560" w:type="dxa"/>
            <w:vAlign w:val="bottom"/>
            <w:shd w:val="clear" w:color="auto" w:fill="2AD2C9"/>
          </w:tcPr>
          <w:p>
            <w:pPr>
              <w:spacing w:after="0"/>
              <w:rPr>
                <w:sz w:val="9"/>
                <w:szCs w:val="9"/>
                <w:color w:val="auto"/>
              </w:rPr>
            </w:pPr>
          </w:p>
        </w:tc>
        <w:tc>
          <w:tcPr>
            <w:tcW w:w="560" w:type="dxa"/>
            <w:vAlign w:val="bottom"/>
            <w:vMerge w:val="restart"/>
            <w:shd w:val="clear" w:color="auto" w:fill="2AD2C9"/>
          </w:tcPr>
          <w:p>
            <w:pPr>
              <w:ind w:left="100"/>
              <w:spacing w:after="0"/>
              <w:rPr>
                <w:sz w:val="20"/>
                <w:szCs w:val="20"/>
                <w:color w:val="auto"/>
              </w:rPr>
            </w:pPr>
            <w:r>
              <w:rPr>
                <w:rFonts w:ascii="Arial" w:cs="Arial" w:eastAsia="Arial" w:hAnsi="Arial"/>
                <w:sz w:val="16"/>
                <w:szCs w:val="16"/>
                <w:b w:val="1"/>
                <w:bCs w:val="1"/>
                <w:color w:val="FFFFFF"/>
              </w:rPr>
              <w:t>Total</w:t>
            </w:r>
          </w:p>
        </w:tc>
        <w:tc>
          <w:tcPr>
            <w:tcW w:w="600" w:type="dxa"/>
            <w:vAlign w:val="bottom"/>
            <w:tcBorders>
              <w:right w:val="single" w:sz="8" w:color="auto"/>
            </w:tcBorders>
            <w:shd w:val="clear" w:color="auto" w:fill="2AD2C9"/>
          </w:tcPr>
          <w:p>
            <w:pPr>
              <w:spacing w:after="0"/>
              <w:rPr>
                <w:sz w:val="9"/>
                <w:szCs w:val="9"/>
                <w:color w:val="auto"/>
              </w:rPr>
            </w:pPr>
          </w:p>
        </w:tc>
        <w:tc>
          <w:tcPr>
            <w:tcW w:w="1120" w:type="dxa"/>
            <w:vAlign w:val="bottom"/>
            <w:tcBorders>
              <w:right w:val="single" w:sz="8" w:color="auto"/>
            </w:tcBorders>
            <w:gridSpan w:val="2"/>
            <w:vMerge w:val="continue"/>
            <w:shd w:val="clear" w:color="auto" w:fill="2AD2C9"/>
          </w:tcPr>
          <w:p>
            <w:pPr>
              <w:spacing w:after="0"/>
              <w:rPr>
                <w:sz w:val="9"/>
                <w:szCs w:val="9"/>
                <w:color w:val="auto"/>
              </w:rPr>
            </w:pPr>
          </w:p>
        </w:tc>
        <w:tc>
          <w:tcPr>
            <w:tcW w:w="1520" w:type="dxa"/>
            <w:vAlign w:val="bottom"/>
            <w:tcBorders>
              <w:right w:val="single" w:sz="8" w:color="auto"/>
            </w:tcBorders>
            <w:gridSpan w:val="2"/>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Mar 22</w:t>
            </w:r>
          </w:p>
        </w:tc>
        <w:tc>
          <w:tcPr>
            <w:tcW w:w="0" w:type="dxa"/>
            <w:vAlign w:val="bottom"/>
          </w:tcPr>
          <w:p>
            <w:pPr>
              <w:spacing w:after="0"/>
              <w:rPr>
                <w:sz w:val="1"/>
                <w:szCs w:val="1"/>
                <w:color w:val="auto"/>
              </w:rPr>
            </w:pPr>
          </w:p>
        </w:tc>
      </w:tr>
      <w:tr>
        <w:trPr>
          <w:trHeight w:val="127"/>
        </w:trPr>
        <w:tc>
          <w:tcPr>
            <w:tcW w:w="168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16"/>
                <w:szCs w:val="16"/>
                <w:color w:val="FFFFFF"/>
              </w:rPr>
              <w:t>(S/ millions)</w:t>
            </w:r>
          </w:p>
        </w:tc>
        <w:tc>
          <w:tcPr>
            <w:tcW w:w="540" w:type="dxa"/>
            <w:vAlign w:val="bottom"/>
            <w:shd w:val="clear" w:color="auto" w:fill="2AD2C9"/>
          </w:tcPr>
          <w:p>
            <w:pPr>
              <w:spacing w:after="0"/>
              <w:rPr>
                <w:sz w:val="11"/>
                <w:szCs w:val="11"/>
                <w:color w:val="auto"/>
              </w:rPr>
            </w:pPr>
          </w:p>
        </w:tc>
        <w:tc>
          <w:tcPr>
            <w:tcW w:w="560" w:type="dxa"/>
            <w:vAlign w:val="bottom"/>
            <w:vMerge w:val="continue"/>
            <w:shd w:val="clear" w:color="auto" w:fill="2AD2C9"/>
          </w:tcPr>
          <w:p>
            <w:pPr>
              <w:spacing w:after="0"/>
              <w:rPr>
                <w:sz w:val="11"/>
                <w:szCs w:val="11"/>
                <w:color w:val="auto"/>
              </w:rPr>
            </w:pPr>
          </w:p>
        </w:tc>
        <w:tc>
          <w:tcPr>
            <w:tcW w:w="560" w:type="dxa"/>
            <w:vAlign w:val="bottom"/>
            <w:shd w:val="clear" w:color="auto" w:fill="2AD2C9"/>
          </w:tcPr>
          <w:p>
            <w:pPr>
              <w:spacing w:after="0"/>
              <w:rPr>
                <w:sz w:val="11"/>
                <w:szCs w:val="11"/>
                <w:color w:val="auto"/>
              </w:rPr>
            </w:pPr>
          </w:p>
        </w:tc>
        <w:tc>
          <w:tcPr>
            <w:tcW w:w="1680" w:type="dxa"/>
            <w:vAlign w:val="bottom"/>
            <w:tcBorders>
              <w:right w:val="single" w:sz="8" w:color="auto"/>
            </w:tcBorders>
            <w:gridSpan w:val="3"/>
            <w:vMerge w:val="continue"/>
            <w:shd w:val="clear" w:color="auto" w:fill="2AD2C9"/>
          </w:tcPr>
          <w:p>
            <w:pPr>
              <w:spacing w:after="0"/>
              <w:rPr>
                <w:sz w:val="11"/>
                <w:szCs w:val="11"/>
                <w:color w:val="auto"/>
              </w:rPr>
            </w:pPr>
          </w:p>
        </w:tc>
        <w:tc>
          <w:tcPr>
            <w:tcW w:w="460" w:type="dxa"/>
            <w:vAlign w:val="bottom"/>
            <w:shd w:val="clear" w:color="auto" w:fill="2AD2C9"/>
          </w:tcPr>
          <w:p>
            <w:pPr>
              <w:spacing w:after="0"/>
              <w:rPr>
                <w:sz w:val="11"/>
                <w:szCs w:val="11"/>
                <w:color w:val="auto"/>
              </w:rPr>
            </w:pPr>
          </w:p>
        </w:tc>
        <w:tc>
          <w:tcPr>
            <w:tcW w:w="560" w:type="dxa"/>
            <w:vAlign w:val="bottom"/>
            <w:tcBorders>
              <w:right w:val="single" w:sz="8" w:color="auto"/>
            </w:tcBorders>
            <w:shd w:val="clear" w:color="auto" w:fill="2AD2C9"/>
          </w:tcPr>
          <w:p>
            <w:pPr>
              <w:spacing w:after="0"/>
              <w:rPr>
                <w:sz w:val="11"/>
                <w:szCs w:val="11"/>
                <w:color w:val="auto"/>
              </w:rPr>
            </w:pPr>
          </w:p>
        </w:tc>
        <w:tc>
          <w:tcPr>
            <w:tcW w:w="980" w:type="dxa"/>
            <w:vAlign w:val="bottom"/>
            <w:tcBorders>
              <w:right w:val="single" w:sz="8" w:color="auto"/>
            </w:tcBorders>
            <w:gridSpan w:val="2"/>
            <w:vMerge w:val="continue"/>
            <w:shd w:val="clear" w:color="auto" w:fill="2AD2C9"/>
          </w:tcPr>
          <w:p>
            <w:pPr>
              <w:spacing w:after="0"/>
              <w:rPr>
                <w:sz w:val="11"/>
                <w:szCs w:val="11"/>
                <w:color w:val="auto"/>
              </w:rPr>
            </w:pPr>
          </w:p>
        </w:tc>
        <w:tc>
          <w:tcPr>
            <w:tcW w:w="560" w:type="dxa"/>
            <w:vAlign w:val="bottom"/>
            <w:shd w:val="clear" w:color="auto" w:fill="2AD2C9"/>
          </w:tcPr>
          <w:p>
            <w:pPr>
              <w:spacing w:after="0"/>
              <w:rPr>
                <w:sz w:val="11"/>
                <w:szCs w:val="11"/>
                <w:color w:val="auto"/>
              </w:rPr>
            </w:pPr>
          </w:p>
        </w:tc>
        <w:tc>
          <w:tcPr>
            <w:tcW w:w="560" w:type="dxa"/>
            <w:vAlign w:val="bottom"/>
            <w:vMerge w:val="continue"/>
            <w:shd w:val="clear" w:color="auto" w:fill="2AD2C9"/>
          </w:tcPr>
          <w:p>
            <w:pPr>
              <w:spacing w:after="0"/>
              <w:rPr>
                <w:sz w:val="11"/>
                <w:szCs w:val="11"/>
                <w:color w:val="auto"/>
              </w:rPr>
            </w:pPr>
          </w:p>
        </w:tc>
        <w:tc>
          <w:tcPr>
            <w:tcW w:w="600" w:type="dxa"/>
            <w:vAlign w:val="bottom"/>
            <w:tcBorders>
              <w:right w:val="single" w:sz="8" w:color="auto"/>
            </w:tcBorders>
            <w:shd w:val="clear" w:color="auto" w:fill="2AD2C9"/>
          </w:tcPr>
          <w:p>
            <w:pPr>
              <w:spacing w:after="0"/>
              <w:rPr>
                <w:sz w:val="11"/>
                <w:szCs w:val="11"/>
                <w:color w:val="auto"/>
              </w:rPr>
            </w:pPr>
          </w:p>
        </w:tc>
        <w:tc>
          <w:tcPr>
            <w:tcW w:w="540" w:type="dxa"/>
            <w:vAlign w:val="bottom"/>
            <w:shd w:val="clear" w:color="auto" w:fill="2AD2C9"/>
          </w:tcPr>
          <w:p>
            <w:pPr>
              <w:spacing w:after="0"/>
              <w:rPr>
                <w:sz w:val="11"/>
                <w:szCs w:val="11"/>
                <w:color w:val="auto"/>
              </w:rPr>
            </w:pPr>
          </w:p>
        </w:tc>
        <w:tc>
          <w:tcPr>
            <w:tcW w:w="580" w:type="dxa"/>
            <w:vAlign w:val="bottom"/>
            <w:tcBorders>
              <w:right w:val="single" w:sz="8" w:color="auto"/>
            </w:tcBorders>
            <w:shd w:val="clear" w:color="auto" w:fill="2AD2C9"/>
          </w:tcPr>
          <w:p>
            <w:pPr>
              <w:spacing w:after="0"/>
              <w:rPr>
                <w:sz w:val="11"/>
                <w:szCs w:val="11"/>
                <w:color w:val="auto"/>
              </w:rPr>
            </w:pPr>
          </w:p>
        </w:tc>
        <w:tc>
          <w:tcPr>
            <w:tcW w:w="1520" w:type="dxa"/>
            <w:vAlign w:val="bottom"/>
            <w:tcBorders>
              <w:right w:val="single" w:sz="8" w:color="auto"/>
            </w:tcBorders>
            <w:gridSpan w:val="2"/>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68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3340" w:type="dxa"/>
            <w:vAlign w:val="bottom"/>
            <w:tcBorders>
              <w:right w:val="single" w:sz="8" w:color="auto"/>
            </w:tcBorders>
            <w:gridSpan w:val="6"/>
            <w:vMerge w:val="restart"/>
            <w:shd w:val="clear" w:color="auto" w:fill="2AD2C9"/>
          </w:tcPr>
          <w:p>
            <w:pPr>
              <w:spacing w:after="0"/>
              <w:rPr>
                <w:sz w:val="20"/>
                <w:szCs w:val="20"/>
                <w:color w:val="auto"/>
              </w:rPr>
            </w:pPr>
            <w:r>
              <w:rPr>
                <w:rFonts w:ascii="Arial" w:cs="Arial" w:eastAsia="Arial" w:hAnsi="Arial"/>
                <w:sz w:val="16"/>
                <w:szCs w:val="16"/>
                <w:b w:val="1"/>
                <w:bCs w:val="1"/>
                <w:color w:val="FFFFFF"/>
              </w:rPr>
              <w:t>Mar 21 Dec 21 Mar 22 Mar 21 Dec 21 Mar 22</w:t>
            </w:r>
          </w:p>
        </w:tc>
        <w:tc>
          <w:tcPr>
            <w:tcW w:w="460" w:type="dxa"/>
            <w:vAlign w:val="bottom"/>
            <w:vMerge w:val="restart"/>
            <w:shd w:val="clear" w:color="auto" w:fill="2AD2C9"/>
          </w:tcPr>
          <w:p>
            <w:pPr>
              <w:ind w:left="60"/>
              <w:spacing w:after="0"/>
              <w:rPr>
                <w:sz w:val="20"/>
                <w:szCs w:val="20"/>
                <w:color w:val="auto"/>
              </w:rPr>
            </w:pPr>
            <w:r>
              <w:rPr>
                <w:rFonts w:ascii="Arial" w:cs="Arial" w:eastAsia="Arial" w:hAnsi="Arial"/>
                <w:sz w:val="16"/>
                <w:szCs w:val="16"/>
                <w:b w:val="1"/>
                <w:bCs w:val="1"/>
                <w:color w:val="FFFFFF"/>
              </w:rPr>
              <w:t>QoQ</w:t>
            </w:r>
          </w:p>
        </w:tc>
        <w:tc>
          <w:tcPr>
            <w:tcW w:w="560" w:type="dxa"/>
            <w:vAlign w:val="bottom"/>
            <w:tcBorders>
              <w:right w:val="single" w:sz="8" w:color="auto"/>
            </w:tcBorders>
            <w:vMerge w:val="restart"/>
            <w:shd w:val="clear" w:color="auto" w:fill="2AD2C9"/>
          </w:tcPr>
          <w:p>
            <w:pPr>
              <w:ind w:left="120"/>
              <w:spacing w:after="0"/>
              <w:rPr>
                <w:sz w:val="20"/>
                <w:szCs w:val="20"/>
                <w:color w:val="auto"/>
              </w:rPr>
            </w:pPr>
            <w:r>
              <w:rPr>
                <w:rFonts w:ascii="Arial" w:cs="Arial" w:eastAsia="Arial" w:hAnsi="Arial"/>
                <w:sz w:val="16"/>
                <w:szCs w:val="16"/>
                <w:b w:val="1"/>
                <w:bCs w:val="1"/>
                <w:color w:val="FFFFFF"/>
              </w:rPr>
              <w:t>YoY</w:t>
            </w:r>
          </w:p>
        </w:tc>
        <w:tc>
          <w:tcPr>
            <w:tcW w:w="460" w:type="dxa"/>
            <w:vAlign w:val="bottom"/>
            <w:vMerge w:val="restart"/>
            <w:shd w:val="clear" w:color="auto" w:fill="2AD2C9"/>
          </w:tcPr>
          <w:p>
            <w:pPr>
              <w:ind w:left="60"/>
              <w:spacing w:after="0"/>
              <w:rPr>
                <w:sz w:val="20"/>
                <w:szCs w:val="20"/>
                <w:color w:val="auto"/>
              </w:rPr>
            </w:pPr>
            <w:r>
              <w:rPr>
                <w:rFonts w:ascii="Arial" w:cs="Arial" w:eastAsia="Arial" w:hAnsi="Arial"/>
                <w:sz w:val="16"/>
                <w:szCs w:val="16"/>
                <w:b w:val="1"/>
                <w:bCs w:val="1"/>
                <w:color w:val="FFFFFF"/>
              </w:rPr>
              <w:t>QoQ</w:t>
            </w:r>
          </w:p>
        </w:tc>
        <w:tc>
          <w:tcPr>
            <w:tcW w:w="520" w:type="dxa"/>
            <w:vAlign w:val="bottom"/>
            <w:tcBorders>
              <w:right w:val="single" w:sz="8" w:color="auto"/>
            </w:tcBorders>
            <w:vMerge w:val="restart"/>
            <w:shd w:val="clear" w:color="auto" w:fill="2AD2C9"/>
          </w:tcPr>
          <w:p>
            <w:pPr>
              <w:jc w:val="right"/>
              <w:ind w:right="41"/>
              <w:spacing w:after="0"/>
              <w:rPr>
                <w:sz w:val="20"/>
                <w:szCs w:val="20"/>
                <w:color w:val="auto"/>
              </w:rPr>
            </w:pPr>
            <w:r>
              <w:rPr>
                <w:rFonts w:ascii="Arial" w:cs="Arial" w:eastAsia="Arial" w:hAnsi="Arial"/>
                <w:sz w:val="16"/>
                <w:szCs w:val="16"/>
                <w:b w:val="1"/>
                <w:bCs w:val="1"/>
                <w:color w:val="FFFFFF"/>
              </w:rPr>
              <w:t>YoY</w:t>
            </w:r>
          </w:p>
        </w:tc>
        <w:tc>
          <w:tcPr>
            <w:tcW w:w="1720" w:type="dxa"/>
            <w:vAlign w:val="bottom"/>
            <w:tcBorders>
              <w:right w:val="single" w:sz="8" w:color="auto"/>
            </w:tcBorders>
            <w:gridSpan w:val="3"/>
            <w:vMerge w:val="restart"/>
            <w:shd w:val="clear" w:color="auto" w:fill="2AD2C9"/>
          </w:tcPr>
          <w:p>
            <w:pPr>
              <w:ind w:left="20"/>
              <w:spacing w:after="0"/>
              <w:rPr>
                <w:sz w:val="20"/>
                <w:szCs w:val="20"/>
                <w:color w:val="auto"/>
              </w:rPr>
            </w:pPr>
            <w:r>
              <w:rPr>
                <w:rFonts w:ascii="Arial" w:cs="Arial" w:eastAsia="Arial" w:hAnsi="Arial"/>
                <w:sz w:val="16"/>
                <w:szCs w:val="16"/>
                <w:b w:val="1"/>
                <w:bCs w:val="1"/>
                <w:color w:val="FFFFFF"/>
              </w:rPr>
              <w:t>Mar 21 Dec 21 Mar 22</w:t>
            </w:r>
          </w:p>
        </w:tc>
        <w:tc>
          <w:tcPr>
            <w:tcW w:w="540" w:type="dxa"/>
            <w:vAlign w:val="bottom"/>
            <w:vMerge w:val="restart"/>
            <w:shd w:val="clear" w:color="auto" w:fill="2AD2C9"/>
          </w:tcPr>
          <w:p>
            <w:pPr>
              <w:ind w:left="100"/>
              <w:spacing w:after="0"/>
              <w:rPr>
                <w:sz w:val="20"/>
                <w:szCs w:val="20"/>
                <w:color w:val="auto"/>
              </w:rPr>
            </w:pPr>
            <w:r>
              <w:rPr>
                <w:rFonts w:ascii="Arial" w:cs="Arial" w:eastAsia="Arial" w:hAnsi="Arial"/>
                <w:sz w:val="16"/>
                <w:szCs w:val="16"/>
                <w:b w:val="1"/>
                <w:bCs w:val="1"/>
                <w:color w:val="FFFFFF"/>
              </w:rPr>
              <w:t>QoQ</w:t>
            </w:r>
          </w:p>
        </w:tc>
        <w:tc>
          <w:tcPr>
            <w:tcW w:w="580" w:type="dxa"/>
            <w:vAlign w:val="bottom"/>
            <w:tcBorders>
              <w:right w:val="single" w:sz="8" w:color="auto"/>
            </w:tcBorders>
            <w:vMerge w:val="restart"/>
            <w:shd w:val="clear" w:color="auto" w:fill="2AD2C9"/>
          </w:tcPr>
          <w:p>
            <w:pPr>
              <w:ind w:left="120"/>
              <w:spacing w:after="0"/>
              <w:rPr>
                <w:sz w:val="20"/>
                <w:szCs w:val="20"/>
                <w:color w:val="auto"/>
              </w:rPr>
            </w:pPr>
            <w:r>
              <w:rPr>
                <w:rFonts w:ascii="Arial" w:cs="Arial" w:eastAsia="Arial" w:hAnsi="Arial"/>
                <w:sz w:val="16"/>
                <w:szCs w:val="16"/>
                <w:b w:val="1"/>
                <w:bCs w:val="1"/>
                <w:color w:val="FFFFFF"/>
              </w:rPr>
              <w:t>YoY</w:t>
            </w:r>
          </w:p>
        </w:tc>
        <w:tc>
          <w:tcPr>
            <w:tcW w:w="800" w:type="dxa"/>
            <w:vAlign w:val="bottom"/>
            <w:vMerge w:val="restart"/>
            <w:shd w:val="clear" w:color="auto" w:fill="2AD2C9"/>
          </w:tcPr>
          <w:p>
            <w:pPr>
              <w:ind w:left="340"/>
              <w:spacing w:after="0"/>
              <w:rPr>
                <w:sz w:val="20"/>
                <w:szCs w:val="20"/>
                <w:color w:val="auto"/>
              </w:rPr>
            </w:pPr>
            <w:r>
              <w:rPr>
                <w:rFonts w:ascii="Arial" w:cs="Arial" w:eastAsia="Arial" w:hAnsi="Arial"/>
                <w:sz w:val="16"/>
                <w:szCs w:val="16"/>
                <w:b w:val="1"/>
                <w:bCs w:val="1"/>
                <w:color w:val="FFFFFF"/>
              </w:rPr>
              <w:t>LC</w:t>
            </w:r>
          </w:p>
        </w:tc>
        <w:tc>
          <w:tcPr>
            <w:tcW w:w="720" w:type="dxa"/>
            <w:vAlign w:val="bottom"/>
            <w:tcBorders>
              <w:right w:val="single" w:sz="8" w:color="auto"/>
            </w:tcBorders>
            <w:vMerge w:val="restart"/>
            <w:shd w:val="clear" w:color="auto" w:fill="2AD2C9"/>
          </w:tcPr>
          <w:p>
            <w:pPr>
              <w:ind w:left="300"/>
              <w:spacing w:after="0"/>
              <w:rPr>
                <w:sz w:val="20"/>
                <w:szCs w:val="20"/>
                <w:color w:val="auto"/>
              </w:rPr>
            </w:pPr>
            <w:r>
              <w:rPr>
                <w:rFonts w:ascii="Arial" w:cs="Arial" w:eastAsia="Arial" w:hAnsi="Arial"/>
                <w:sz w:val="16"/>
                <w:szCs w:val="16"/>
                <w:b w:val="1"/>
                <w:bCs w:val="1"/>
                <w:color w:val="FFFFFF"/>
              </w:rPr>
              <w:t>FC</w:t>
            </w:r>
          </w:p>
        </w:tc>
        <w:tc>
          <w:tcPr>
            <w:tcW w:w="0" w:type="dxa"/>
            <w:vAlign w:val="bottom"/>
          </w:tcPr>
          <w:p>
            <w:pPr>
              <w:spacing w:after="0"/>
              <w:rPr>
                <w:sz w:val="1"/>
                <w:szCs w:val="1"/>
                <w:color w:val="auto"/>
              </w:rPr>
            </w:pPr>
          </w:p>
        </w:tc>
      </w:tr>
      <w:tr>
        <w:trPr>
          <w:trHeight w:val="134"/>
        </w:trPr>
        <w:tc>
          <w:tcPr>
            <w:tcW w:w="168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3340" w:type="dxa"/>
            <w:vAlign w:val="bottom"/>
            <w:tcBorders>
              <w:bottom w:val="single" w:sz="8" w:color="auto"/>
              <w:right w:val="single" w:sz="8" w:color="auto"/>
            </w:tcBorders>
            <w:gridSpan w:val="6"/>
            <w:vMerge w:val="continue"/>
            <w:shd w:val="clear" w:color="auto" w:fill="2AD2C9"/>
          </w:tcPr>
          <w:p>
            <w:pPr>
              <w:spacing w:after="0"/>
              <w:rPr>
                <w:sz w:val="11"/>
                <w:szCs w:val="11"/>
                <w:color w:val="auto"/>
              </w:rPr>
            </w:pPr>
          </w:p>
        </w:tc>
        <w:tc>
          <w:tcPr>
            <w:tcW w:w="460" w:type="dxa"/>
            <w:vAlign w:val="bottom"/>
            <w:tcBorders>
              <w:bottom w:val="single" w:sz="8" w:color="auto"/>
            </w:tcBorders>
            <w:vMerge w:val="continue"/>
            <w:shd w:val="clear" w:color="auto" w:fill="2AD2C9"/>
          </w:tcPr>
          <w:p>
            <w:pPr>
              <w:spacing w:after="0"/>
              <w:rPr>
                <w:sz w:val="11"/>
                <w:szCs w:val="11"/>
                <w:color w:val="auto"/>
              </w:rPr>
            </w:pPr>
          </w:p>
        </w:tc>
        <w:tc>
          <w:tcPr>
            <w:tcW w:w="56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460" w:type="dxa"/>
            <w:vAlign w:val="bottom"/>
            <w:tcBorders>
              <w:bottom w:val="single" w:sz="8" w:color="auto"/>
            </w:tcBorders>
            <w:vMerge w:val="continue"/>
            <w:shd w:val="clear" w:color="auto" w:fill="2AD2C9"/>
          </w:tcPr>
          <w:p>
            <w:pPr>
              <w:spacing w:after="0"/>
              <w:rPr>
                <w:sz w:val="11"/>
                <w:szCs w:val="11"/>
                <w:color w:val="auto"/>
              </w:rPr>
            </w:pPr>
          </w:p>
        </w:tc>
        <w:tc>
          <w:tcPr>
            <w:tcW w:w="52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1720" w:type="dxa"/>
            <w:vAlign w:val="bottom"/>
            <w:tcBorders>
              <w:bottom w:val="single" w:sz="8" w:color="auto"/>
              <w:right w:val="single" w:sz="8" w:color="auto"/>
            </w:tcBorders>
            <w:gridSpan w:val="3"/>
            <w:vMerge w:val="continue"/>
            <w:shd w:val="clear" w:color="auto" w:fill="2AD2C9"/>
          </w:tcPr>
          <w:p>
            <w:pPr>
              <w:spacing w:after="0"/>
              <w:rPr>
                <w:sz w:val="11"/>
                <w:szCs w:val="11"/>
                <w:color w:val="auto"/>
              </w:rPr>
            </w:pPr>
          </w:p>
        </w:tc>
        <w:tc>
          <w:tcPr>
            <w:tcW w:w="540" w:type="dxa"/>
            <w:vAlign w:val="bottom"/>
            <w:tcBorders>
              <w:bottom w:val="single" w:sz="8" w:color="auto"/>
            </w:tcBorders>
            <w:vMerge w:val="continue"/>
            <w:shd w:val="clear" w:color="auto" w:fill="2AD2C9"/>
          </w:tcPr>
          <w:p>
            <w:pPr>
              <w:spacing w:after="0"/>
              <w:rPr>
                <w:sz w:val="11"/>
                <w:szCs w:val="11"/>
                <w:color w:val="auto"/>
              </w:rPr>
            </w:pPr>
          </w:p>
        </w:tc>
        <w:tc>
          <w:tcPr>
            <w:tcW w:w="58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800" w:type="dxa"/>
            <w:vAlign w:val="bottom"/>
            <w:tcBorders>
              <w:bottom w:val="single" w:sz="8" w:color="auto"/>
            </w:tcBorders>
            <w:vMerge w:val="continue"/>
            <w:shd w:val="clear" w:color="auto" w:fill="2AD2C9"/>
          </w:tcPr>
          <w:p>
            <w:pPr>
              <w:spacing w:after="0"/>
              <w:rPr>
                <w:sz w:val="11"/>
                <w:szCs w:val="11"/>
                <w:color w:val="auto"/>
              </w:rPr>
            </w:pPr>
          </w:p>
        </w:tc>
        <w:tc>
          <w:tcPr>
            <w:tcW w:w="720" w:type="dxa"/>
            <w:vAlign w:val="bottom"/>
            <w:tcBorders>
              <w:bottom w:val="single" w:sz="8" w:color="auto"/>
              <w:right w:val="single" w:sz="8" w:color="auto"/>
            </w:tcBorders>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BCP Stand-alone</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80,117 84,592</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85,292</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58,466</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67,221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69,980</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0.8%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6.5%</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4.1%</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19.7%</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8,642</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8,600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8,751</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1.7%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1.3%</w:t>
            </w:r>
          </w:p>
        </w:tc>
        <w:tc>
          <w:tcPr>
            <w:tcW w:w="800" w:type="dxa"/>
            <w:vAlign w:val="bottom"/>
          </w:tcPr>
          <w:p>
            <w:pPr>
              <w:jc w:val="center"/>
              <w:ind w:left="1"/>
              <w:spacing w:after="0"/>
              <w:rPr>
                <w:sz w:val="20"/>
                <w:szCs w:val="20"/>
                <w:color w:val="auto"/>
              </w:rPr>
            </w:pPr>
            <w:r>
              <w:rPr>
                <w:rFonts w:ascii="Arial" w:cs="Arial" w:eastAsia="Arial" w:hAnsi="Arial"/>
                <w:sz w:val="16"/>
                <w:szCs w:val="16"/>
                <w:b w:val="1"/>
                <w:bCs w:val="1"/>
                <w:color w:val="auto"/>
                <w:w w:val="96"/>
              </w:rPr>
              <w:t>72.1%</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6"/>
              </w:rPr>
              <w:t>27.9%</w:t>
            </w:r>
          </w:p>
        </w:tc>
        <w:tc>
          <w:tcPr>
            <w:tcW w:w="0" w:type="dxa"/>
            <w:vAlign w:val="bottom"/>
          </w:tcPr>
          <w:p>
            <w:pPr>
              <w:spacing w:after="0"/>
              <w:rPr>
                <w:sz w:val="1"/>
                <w:szCs w:val="1"/>
                <w:color w:val="auto"/>
              </w:rPr>
            </w:pPr>
          </w:p>
        </w:tc>
      </w:tr>
      <w:tr>
        <w:trPr>
          <w:trHeight w:val="214"/>
        </w:trPr>
        <w:tc>
          <w:tcPr>
            <w:tcW w:w="1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Wholesale Banking</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24,935</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28,967</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29,181</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18,593</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24,898</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25,640</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0.7%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17.0%</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3.0%</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37.9%</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6,761</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6,827</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7,009</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2.7%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3.7%</w:t>
            </w:r>
          </w:p>
        </w:tc>
        <w:tc>
          <w:tcPr>
            <w:tcW w:w="800" w:type="dxa"/>
            <w:vAlign w:val="bottom"/>
          </w:tcPr>
          <w:p>
            <w:pPr>
              <w:jc w:val="center"/>
              <w:ind w:left="1"/>
              <w:spacing w:after="0"/>
              <w:rPr>
                <w:sz w:val="20"/>
                <w:szCs w:val="20"/>
                <w:color w:val="auto"/>
              </w:rPr>
            </w:pPr>
            <w:r>
              <w:rPr>
                <w:rFonts w:ascii="Arial" w:cs="Arial" w:eastAsia="Arial" w:hAnsi="Arial"/>
                <w:sz w:val="16"/>
                <w:szCs w:val="16"/>
                <w:b w:val="1"/>
                <w:bCs w:val="1"/>
                <w:color w:val="auto"/>
                <w:w w:val="96"/>
              </w:rPr>
              <w:t>52.5%</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6"/>
              </w:rPr>
              <w:t>47.5%</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Corporate</w:t>
            </w:r>
          </w:p>
        </w:tc>
        <w:tc>
          <w:tcPr>
            <w:tcW w:w="1100" w:type="dxa"/>
            <w:vAlign w:val="bottom"/>
            <w:gridSpan w:val="2"/>
          </w:tcPr>
          <w:p>
            <w:pPr>
              <w:ind w:left="20"/>
              <w:spacing w:after="0"/>
              <w:rPr>
                <w:sz w:val="20"/>
                <w:szCs w:val="20"/>
                <w:color w:val="auto"/>
              </w:rPr>
            </w:pPr>
            <w:r>
              <w:rPr>
                <w:rFonts w:ascii="Arial" w:cs="Arial" w:eastAsia="Arial" w:hAnsi="Arial"/>
                <w:sz w:val="16"/>
                <w:szCs w:val="16"/>
                <w:color w:val="auto"/>
              </w:rPr>
              <w:t>11,538 15,077</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15,548</w:t>
            </w:r>
          </w:p>
        </w:tc>
        <w:tc>
          <w:tcPr>
            <w:tcW w:w="540" w:type="dxa"/>
            <w:vAlign w:val="bottom"/>
          </w:tcPr>
          <w:p>
            <w:pPr>
              <w:jc w:val="center"/>
              <w:spacing w:after="0"/>
              <w:rPr>
                <w:sz w:val="20"/>
                <w:szCs w:val="20"/>
                <w:color w:val="auto"/>
              </w:rPr>
            </w:pPr>
            <w:r>
              <w:rPr>
                <w:rFonts w:ascii="Arial" w:cs="Arial" w:eastAsia="Arial" w:hAnsi="Arial"/>
                <w:sz w:val="16"/>
                <w:szCs w:val="16"/>
                <w:color w:val="auto"/>
              </w:rPr>
              <w:t>10,887</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14,652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15,157</w:t>
            </w:r>
          </w:p>
        </w:tc>
        <w:tc>
          <w:tcPr>
            <w:tcW w:w="46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3.1%</w:t>
            </w:r>
          </w:p>
        </w:tc>
        <w:tc>
          <w:tcPr>
            <w:tcW w:w="5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rPr>
              <w:t>34.8%</w:t>
            </w:r>
          </w:p>
        </w:tc>
        <w:tc>
          <w:tcPr>
            <w:tcW w:w="46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3.4%</w:t>
            </w:r>
          </w:p>
        </w:tc>
        <w:tc>
          <w:tcPr>
            <w:tcW w:w="5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rPr>
              <w:t>39.2%</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4,264</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4,181</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4,268</w:t>
            </w:r>
          </w:p>
        </w:tc>
        <w:tc>
          <w:tcPr>
            <w:tcW w:w="54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2.1%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0.1%</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49.2%</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50.8%</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Middle-Market</w:t>
            </w:r>
          </w:p>
        </w:tc>
        <w:tc>
          <w:tcPr>
            <w:tcW w:w="540" w:type="dxa"/>
            <w:vAlign w:val="bottom"/>
          </w:tcPr>
          <w:p>
            <w:pPr>
              <w:jc w:val="center"/>
              <w:spacing w:after="0"/>
              <w:rPr>
                <w:sz w:val="20"/>
                <w:szCs w:val="20"/>
                <w:color w:val="auto"/>
              </w:rPr>
            </w:pPr>
            <w:r>
              <w:rPr>
                <w:rFonts w:ascii="Arial" w:cs="Arial" w:eastAsia="Arial" w:hAnsi="Arial"/>
                <w:sz w:val="16"/>
                <w:szCs w:val="16"/>
                <w:color w:val="auto"/>
                <w:w w:val="98"/>
              </w:rPr>
              <w:t>13,398</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13,890</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13,633</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7,706</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10,246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10,482</w:t>
            </w:r>
          </w:p>
        </w:tc>
        <w:tc>
          <w:tcPr>
            <w:tcW w:w="460" w:type="dxa"/>
            <w:vAlign w:val="bottom"/>
          </w:tcPr>
          <w:p>
            <w:pPr>
              <w:jc w:val="center"/>
              <w:spacing w:after="0"/>
              <w:rPr>
                <w:sz w:val="20"/>
                <w:szCs w:val="20"/>
                <w:color w:val="auto"/>
              </w:rPr>
            </w:pPr>
            <w:r>
              <w:rPr>
                <w:rFonts w:ascii="Arial" w:cs="Arial" w:eastAsia="Arial" w:hAnsi="Arial"/>
                <w:sz w:val="16"/>
                <w:szCs w:val="16"/>
                <w:color w:val="auto"/>
              </w:rPr>
              <w:t>-1.9%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1.8%</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2.3%</w:t>
            </w:r>
          </w:p>
        </w:tc>
        <w:tc>
          <w:tcPr>
            <w:tcW w:w="5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shd w:val="clear" w:color="auto" w:fill="26D07C"/>
              </w:rPr>
              <w:t>36.0%</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2,497</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2,646</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2,741</w:t>
            </w:r>
          </w:p>
        </w:tc>
        <w:tc>
          <w:tcPr>
            <w:tcW w:w="54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3.6%</w:t>
            </w:r>
          </w:p>
        </w:tc>
        <w:tc>
          <w:tcPr>
            <w:tcW w:w="58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w w:val="98"/>
              </w:rPr>
              <w:t>9.8%</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56.9%</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43.1%</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Retail Banking</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55,181</w:t>
            </w:r>
          </w:p>
        </w:tc>
        <w:tc>
          <w:tcPr>
            <w:tcW w:w="1660" w:type="dxa"/>
            <w:vAlign w:val="bottom"/>
            <w:gridSpan w:val="3"/>
          </w:tcPr>
          <w:p>
            <w:pPr>
              <w:jc w:val="center"/>
              <w:spacing w:after="0"/>
              <w:rPr>
                <w:sz w:val="20"/>
                <w:szCs w:val="20"/>
                <w:color w:val="auto"/>
              </w:rPr>
            </w:pPr>
            <w:r>
              <w:rPr>
                <w:rFonts w:ascii="Arial" w:cs="Arial" w:eastAsia="Arial" w:hAnsi="Arial"/>
                <w:sz w:val="16"/>
                <w:szCs w:val="16"/>
                <w:b w:val="1"/>
                <w:bCs w:val="1"/>
                <w:color w:val="auto"/>
              </w:rPr>
              <w:t>55,625 56,111 39,873</w:t>
            </w:r>
          </w:p>
        </w:tc>
        <w:tc>
          <w:tcPr>
            <w:tcW w:w="114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42,323 44,340</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0.9%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1.7%</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4.8%</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11.2%</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1,882</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1,774</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1,741</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-1.8%</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-7.5%</w:t>
            </w:r>
          </w:p>
        </w:tc>
        <w:tc>
          <w:tcPr>
            <w:tcW w:w="800" w:type="dxa"/>
            <w:vAlign w:val="bottom"/>
          </w:tcPr>
          <w:p>
            <w:pPr>
              <w:jc w:val="center"/>
              <w:ind w:left="1"/>
              <w:spacing w:after="0"/>
              <w:rPr>
                <w:sz w:val="20"/>
                <w:szCs w:val="20"/>
                <w:color w:val="auto"/>
              </w:rPr>
            </w:pPr>
            <w:r>
              <w:rPr>
                <w:rFonts w:ascii="Arial" w:cs="Arial" w:eastAsia="Arial" w:hAnsi="Arial"/>
                <w:sz w:val="16"/>
                <w:szCs w:val="16"/>
                <w:b w:val="1"/>
                <w:bCs w:val="1"/>
                <w:color w:val="auto"/>
                <w:w w:val="96"/>
              </w:rPr>
              <w:t>89.5%</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6"/>
              </w:rPr>
              <w:t>10.5%</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Business</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8,320</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7,780</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7,016</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1,814</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2,597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2,440</w:t>
            </w:r>
          </w:p>
        </w:tc>
        <w:tc>
          <w:tcPr>
            <w:tcW w:w="1020" w:type="dxa"/>
            <w:vAlign w:val="bottom"/>
            <w:tcBorders>
              <w:right w:val="single" w:sz="8" w:color="auto"/>
            </w:tcBorders>
            <w:gridSpan w:val="2"/>
            <w:shd w:val="clear" w:color="auto" w:fill="F17FC8"/>
          </w:tcPr>
          <w:p>
            <w:pPr>
              <w:jc w:val="right"/>
              <w:spacing w:after="0"/>
              <w:rPr>
                <w:sz w:val="20"/>
                <w:szCs w:val="20"/>
                <w:color w:val="auto"/>
              </w:rPr>
            </w:pPr>
            <w:r>
              <w:rPr>
                <w:rFonts w:ascii="Arial" w:cs="Arial" w:eastAsia="Arial" w:hAnsi="Arial"/>
                <w:sz w:val="16"/>
                <w:szCs w:val="16"/>
                <w:color w:val="auto"/>
                <w:w w:val="98"/>
              </w:rPr>
              <w:t>-9.8% -15.7%</w:t>
            </w:r>
          </w:p>
        </w:tc>
        <w:tc>
          <w:tcPr>
            <w:tcW w:w="460" w:type="dxa"/>
            <w:vAlign w:val="bottom"/>
            <w:shd w:val="clear" w:color="auto" w:fill="F17FC8"/>
          </w:tcPr>
          <w:p>
            <w:pPr>
              <w:jc w:val="center"/>
              <w:spacing w:after="0"/>
              <w:rPr>
                <w:sz w:val="20"/>
                <w:szCs w:val="20"/>
                <w:color w:val="auto"/>
              </w:rPr>
            </w:pPr>
            <w:r>
              <w:rPr>
                <w:rFonts w:ascii="Arial" w:cs="Arial" w:eastAsia="Arial" w:hAnsi="Arial"/>
                <w:sz w:val="16"/>
                <w:szCs w:val="16"/>
                <w:color w:val="auto"/>
              </w:rPr>
              <w:t>-6.1%</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34.5%</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672</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674</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642</w:t>
            </w:r>
          </w:p>
        </w:tc>
        <w:tc>
          <w:tcPr>
            <w:tcW w:w="540" w:type="dxa"/>
            <w:vAlign w:val="bottom"/>
            <w:shd w:val="clear" w:color="auto" w:fill="F17FC8"/>
          </w:tcPr>
          <w:p>
            <w:pPr>
              <w:jc w:val="center"/>
              <w:spacing w:after="0"/>
              <w:rPr>
                <w:sz w:val="20"/>
                <w:szCs w:val="20"/>
                <w:color w:val="auto"/>
              </w:rPr>
            </w:pPr>
            <w:r>
              <w:rPr>
                <w:rFonts w:ascii="Arial" w:cs="Arial" w:eastAsia="Arial" w:hAnsi="Arial"/>
                <w:sz w:val="16"/>
                <w:szCs w:val="16"/>
                <w:color w:val="auto"/>
              </w:rPr>
              <w:t>-4.7%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-4.4%</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74.4%</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25.6%</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Pyme</w:t>
            </w:r>
          </w:p>
        </w:tc>
        <w:tc>
          <w:tcPr>
            <w:tcW w:w="540" w:type="dxa"/>
            <w:vAlign w:val="bottom"/>
          </w:tcPr>
          <w:p>
            <w:pPr>
              <w:jc w:val="center"/>
              <w:spacing w:after="0"/>
              <w:rPr>
                <w:sz w:val="20"/>
                <w:szCs w:val="20"/>
                <w:color w:val="auto"/>
              </w:rPr>
            </w:pPr>
            <w:r>
              <w:rPr>
                <w:rFonts w:ascii="Arial" w:cs="Arial" w:eastAsia="Arial" w:hAnsi="Arial"/>
                <w:sz w:val="16"/>
                <w:szCs w:val="16"/>
                <w:color w:val="auto"/>
                <w:w w:val="98"/>
              </w:rPr>
              <w:t>19,352</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19,517</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19,238</w:t>
            </w:r>
          </w:p>
        </w:tc>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10,550 11,398 12,044</w:t>
            </w:r>
          </w:p>
        </w:tc>
        <w:tc>
          <w:tcPr>
            <w:tcW w:w="460" w:type="dxa"/>
            <w:vAlign w:val="bottom"/>
          </w:tcPr>
          <w:p>
            <w:pPr>
              <w:jc w:val="center"/>
              <w:spacing w:after="0"/>
              <w:rPr>
                <w:sz w:val="20"/>
                <w:szCs w:val="20"/>
                <w:color w:val="auto"/>
              </w:rPr>
            </w:pPr>
            <w:r>
              <w:rPr>
                <w:rFonts w:ascii="Arial" w:cs="Arial" w:eastAsia="Arial" w:hAnsi="Arial"/>
                <w:sz w:val="16"/>
                <w:szCs w:val="16"/>
                <w:color w:val="auto"/>
              </w:rPr>
              <w:t>-1.4%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-0.6%</w:t>
            </w:r>
          </w:p>
        </w:tc>
        <w:tc>
          <w:tcPr>
            <w:tcW w:w="46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5.7%</w:t>
            </w:r>
          </w:p>
        </w:tc>
        <w:tc>
          <w:tcPr>
            <w:tcW w:w="5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rPr>
              <w:t>14.2%</w:t>
            </w:r>
          </w:p>
        </w:tc>
        <w:tc>
          <w:tcPr>
            <w:tcW w:w="560" w:type="dxa"/>
            <w:vAlign w:val="bottom"/>
          </w:tcPr>
          <w:p>
            <w:pPr>
              <w:jc w:val="center"/>
              <w:spacing w:after="0"/>
              <w:rPr>
                <w:sz w:val="20"/>
                <w:szCs w:val="20"/>
                <w:color w:val="auto"/>
              </w:rPr>
            </w:pPr>
            <w:r>
              <w:rPr>
                <w:rFonts w:ascii="Arial" w:cs="Arial" w:eastAsia="Arial" w:hAnsi="Arial"/>
                <w:sz w:val="16"/>
                <w:szCs w:val="16"/>
                <w:color w:val="auto"/>
              </w:rPr>
              <w:t>57</w:t>
            </w:r>
          </w:p>
        </w:tc>
        <w:tc>
          <w:tcPr>
            <w:tcW w:w="560" w:type="dxa"/>
            <w:vAlign w:val="bottom"/>
          </w:tcPr>
          <w:p>
            <w:pPr>
              <w:jc w:val="center"/>
              <w:spacing w:after="0"/>
              <w:rPr>
                <w:sz w:val="20"/>
                <w:szCs w:val="20"/>
                <w:color w:val="auto"/>
              </w:rPr>
            </w:pPr>
            <w:r>
              <w:rPr>
                <w:rFonts w:ascii="Arial" w:cs="Arial" w:eastAsia="Arial" w:hAnsi="Arial"/>
                <w:sz w:val="16"/>
                <w:szCs w:val="16"/>
                <w:color w:val="auto"/>
              </w:rPr>
              <w:t>50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44</w:t>
            </w:r>
          </w:p>
        </w:tc>
        <w:tc>
          <w:tcPr>
            <w:tcW w:w="112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w w:val="98"/>
              </w:rPr>
              <w:t>-11.0% -22.6%</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99.1%</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8"/>
              </w:rPr>
              <w:t>0.9%</w:t>
            </w:r>
          </w:p>
        </w:tc>
        <w:tc>
          <w:tcPr>
            <w:tcW w:w="0" w:type="dxa"/>
            <w:vAlign w:val="bottom"/>
          </w:tcPr>
          <w:p>
            <w:pPr>
              <w:spacing w:after="0"/>
              <w:rPr>
                <w:sz w:val="1"/>
                <w:szCs w:val="1"/>
                <w:color w:val="auto"/>
              </w:rPr>
            </w:pPr>
          </w:p>
        </w:tc>
      </w:tr>
      <w:tr>
        <w:trPr>
          <w:trHeight w:val="212"/>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Mortgage</w:t>
            </w:r>
          </w:p>
        </w:tc>
        <w:tc>
          <w:tcPr>
            <w:tcW w:w="540" w:type="dxa"/>
            <w:vAlign w:val="bottom"/>
          </w:tcPr>
          <w:p>
            <w:pPr>
              <w:jc w:val="center"/>
              <w:spacing w:after="0"/>
              <w:rPr>
                <w:sz w:val="20"/>
                <w:szCs w:val="20"/>
                <w:color w:val="auto"/>
              </w:rPr>
            </w:pPr>
            <w:r>
              <w:rPr>
                <w:rFonts w:ascii="Arial" w:cs="Arial" w:eastAsia="Arial" w:hAnsi="Arial"/>
                <w:sz w:val="16"/>
                <w:szCs w:val="16"/>
                <w:color w:val="auto"/>
                <w:w w:val="98"/>
              </w:rPr>
              <w:t>15,572</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16,391</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16,922</w:t>
            </w:r>
          </w:p>
        </w:tc>
        <w:tc>
          <w:tcPr>
            <w:tcW w:w="540" w:type="dxa"/>
            <w:vAlign w:val="bottom"/>
          </w:tcPr>
          <w:p>
            <w:pPr>
              <w:jc w:val="center"/>
              <w:spacing w:after="0"/>
              <w:rPr>
                <w:sz w:val="20"/>
                <w:szCs w:val="20"/>
                <w:color w:val="auto"/>
              </w:rPr>
            </w:pPr>
            <w:r>
              <w:rPr>
                <w:rFonts w:ascii="Arial" w:cs="Arial" w:eastAsia="Arial" w:hAnsi="Arial"/>
                <w:sz w:val="16"/>
                <w:szCs w:val="16"/>
                <w:color w:val="auto"/>
              </w:rPr>
              <w:t>15,572</w:t>
            </w:r>
          </w:p>
        </w:tc>
        <w:tc>
          <w:tcPr>
            <w:tcW w:w="560" w:type="dxa"/>
            <w:vAlign w:val="bottom"/>
          </w:tcPr>
          <w:p>
            <w:pPr>
              <w:jc w:val="center"/>
              <w:spacing w:after="0"/>
              <w:rPr>
                <w:sz w:val="20"/>
                <w:szCs w:val="20"/>
                <w:color w:val="auto"/>
              </w:rPr>
            </w:pPr>
            <w:r>
              <w:rPr>
                <w:rFonts w:ascii="Arial" w:cs="Arial" w:eastAsia="Arial" w:hAnsi="Arial"/>
                <w:sz w:val="16"/>
                <w:szCs w:val="16"/>
                <w:color w:val="auto"/>
                <w:w w:val="98"/>
              </w:rPr>
              <w:t>16,391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16,922</w:t>
            </w:r>
          </w:p>
        </w:tc>
        <w:tc>
          <w:tcPr>
            <w:tcW w:w="46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3.2%</w:t>
            </w:r>
          </w:p>
        </w:tc>
        <w:tc>
          <w:tcPr>
            <w:tcW w:w="5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w w:val="98"/>
              </w:rPr>
              <w:t>8.7%</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5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w w:val="98"/>
              </w:rPr>
              <w:t>8.7%</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584</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509</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507</w:t>
            </w:r>
          </w:p>
        </w:tc>
        <w:tc>
          <w:tcPr>
            <w:tcW w:w="540" w:type="dxa"/>
            <w:vAlign w:val="bottom"/>
          </w:tcPr>
          <w:p>
            <w:pPr>
              <w:jc w:val="center"/>
              <w:spacing w:after="0"/>
              <w:rPr>
                <w:sz w:val="20"/>
                <w:szCs w:val="20"/>
                <w:color w:val="auto"/>
              </w:rPr>
            </w:pPr>
            <w:r>
              <w:rPr>
                <w:rFonts w:ascii="Arial" w:cs="Arial" w:eastAsia="Arial" w:hAnsi="Arial"/>
                <w:sz w:val="16"/>
                <w:szCs w:val="16"/>
                <w:color w:val="auto"/>
              </w:rPr>
              <w:t>-0.2%</w:t>
            </w:r>
          </w:p>
        </w:tc>
        <w:tc>
          <w:tcPr>
            <w:tcW w:w="580" w:type="dxa"/>
            <w:vAlign w:val="bottom"/>
            <w:tcBorders>
              <w:right w:val="single" w:sz="8" w:color="auto"/>
            </w:tcBorders>
            <w:shd w:val="clear" w:color="auto" w:fill="F17FC8"/>
          </w:tcPr>
          <w:p>
            <w:pPr>
              <w:jc w:val="center"/>
              <w:spacing w:after="0"/>
              <w:rPr>
                <w:sz w:val="20"/>
                <w:szCs w:val="20"/>
                <w:color w:val="auto"/>
              </w:rPr>
            </w:pPr>
            <w:r>
              <w:rPr>
                <w:rFonts w:ascii="Arial" w:cs="Arial" w:eastAsia="Arial" w:hAnsi="Arial"/>
                <w:sz w:val="16"/>
                <w:szCs w:val="16"/>
                <w:color w:val="auto"/>
                <w:w w:val="98"/>
              </w:rPr>
              <w:t>-13.1%</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89.9%</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10.1%</w:t>
            </w:r>
          </w:p>
        </w:tc>
        <w:tc>
          <w:tcPr>
            <w:tcW w:w="0" w:type="dxa"/>
            <w:vAlign w:val="bottom"/>
          </w:tcPr>
          <w:p>
            <w:pPr>
              <w:spacing w:after="0"/>
              <w:rPr>
                <w:sz w:val="1"/>
                <w:szCs w:val="1"/>
                <w:color w:val="auto"/>
              </w:rPr>
            </w:pPr>
          </w:p>
        </w:tc>
      </w:tr>
      <w:tr>
        <w:trPr>
          <w:trHeight w:val="221"/>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Consumer</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8,436</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8,898</w:t>
            </w:r>
          </w:p>
        </w:tc>
        <w:tc>
          <w:tcPr>
            <w:tcW w:w="1100" w:type="dxa"/>
            <w:vAlign w:val="bottom"/>
            <w:gridSpan w:val="2"/>
          </w:tcPr>
          <w:p>
            <w:pPr>
              <w:jc w:val="right"/>
              <w:ind w:right="1"/>
              <w:spacing w:after="0"/>
              <w:rPr>
                <w:sz w:val="20"/>
                <w:szCs w:val="20"/>
                <w:color w:val="auto"/>
              </w:rPr>
            </w:pPr>
            <w:r>
              <w:rPr>
                <w:rFonts w:ascii="Arial" w:cs="Arial" w:eastAsia="Arial" w:hAnsi="Arial"/>
                <w:sz w:val="16"/>
                <w:szCs w:val="16"/>
                <w:color w:val="auto"/>
              </w:rPr>
              <w:t>9,615  8,436</w:t>
            </w:r>
          </w:p>
        </w:tc>
        <w:tc>
          <w:tcPr>
            <w:tcW w:w="114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16"/>
                <w:szCs w:val="16"/>
                <w:color w:val="auto"/>
              </w:rPr>
              <w:t>8,898  9,615</w:t>
            </w:r>
          </w:p>
        </w:tc>
        <w:tc>
          <w:tcPr>
            <w:tcW w:w="46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8.1%</w:t>
            </w:r>
          </w:p>
        </w:tc>
        <w:tc>
          <w:tcPr>
            <w:tcW w:w="5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rPr>
              <w:t>14.0%</w:t>
            </w:r>
          </w:p>
        </w:tc>
        <w:tc>
          <w:tcPr>
            <w:tcW w:w="460" w:type="dxa"/>
            <w:vAlign w:val="bottom"/>
            <w:shd w:val="clear" w:color="auto" w:fill="26D07C"/>
          </w:tcPr>
          <w:p>
            <w:pPr>
              <w:jc w:val="center"/>
              <w:spacing w:after="0"/>
              <w:rPr>
                <w:sz w:val="20"/>
                <w:szCs w:val="20"/>
                <w:color w:val="auto"/>
              </w:rPr>
            </w:pPr>
            <w:r>
              <w:rPr>
                <w:rFonts w:ascii="Arial" w:cs="Arial" w:eastAsia="Arial" w:hAnsi="Arial"/>
                <w:sz w:val="16"/>
                <w:szCs w:val="16"/>
                <w:color w:val="auto"/>
                <w:w w:val="98"/>
              </w:rPr>
              <w:t>8.1%</w:t>
            </w:r>
          </w:p>
        </w:tc>
        <w:tc>
          <w:tcPr>
            <w:tcW w:w="5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color w:val="auto"/>
              </w:rPr>
              <w:t>14.0%</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414</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348</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361</w:t>
            </w:r>
          </w:p>
        </w:tc>
        <w:tc>
          <w:tcPr>
            <w:tcW w:w="540" w:type="dxa"/>
            <w:vAlign w:val="bottom"/>
          </w:tcPr>
          <w:p>
            <w:pPr>
              <w:jc w:val="center"/>
              <w:spacing w:after="0"/>
              <w:rPr>
                <w:sz w:val="20"/>
                <w:szCs w:val="20"/>
                <w:color w:val="auto"/>
              </w:rPr>
            </w:pPr>
            <w:r>
              <w:rPr>
                <w:rFonts w:ascii="Arial" w:cs="Arial" w:eastAsia="Arial" w:hAnsi="Arial"/>
                <w:sz w:val="16"/>
                <w:szCs w:val="16"/>
                <w:color w:val="auto"/>
                <w:w w:val="98"/>
              </w:rPr>
              <w:t>3.6%</w:t>
            </w:r>
          </w:p>
        </w:tc>
        <w:tc>
          <w:tcPr>
            <w:tcW w:w="580" w:type="dxa"/>
            <w:vAlign w:val="bottom"/>
            <w:tcBorders>
              <w:right w:val="single" w:sz="8" w:color="auto"/>
            </w:tcBorders>
            <w:shd w:val="clear" w:color="auto" w:fill="F17FC8"/>
          </w:tcPr>
          <w:p>
            <w:pPr>
              <w:jc w:val="center"/>
              <w:spacing w:after="0"/>
              <w:rPr>
                <w:sz w:val="20"/>
                <w:szCs w:val="20"/>
                <w:color w:val="auto"/>
              </w:rPr>
            </w:pPr>
            <w:r>
              <w:rPr>
                <w:rFonts w:ascii="Arial" w:cs="Arial" w:eastAsia="Arial" w:hAnsi="Arial"/>
                <w:sz w:val="16"/>
                <w:szCs w:val="16"/>
                <w:color w:val="auto"/>
                <w:w w:val="98"/>
              </w:rPr>
              <w:t>-12.7%</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87.6%</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12.4%</w:t>
            </w:r>
          </w:p>
        </w:tc>
        <w:tc>
          <w:tcPr>
            <w:tcW w:w="0" w:type="dxa"/>
            <w:vAlign w:val="bottom"/>
          </w:tcPr>
          <w:p>
            <w:pPr>
              <w:spacing w:after="0"/>
              <w:rPr>
                <w:sz w:val="1"/>
                <w:szCs w:val="1"/>
                <w:color w:val="auto"/>
              </w:rPr>
            </w:pPr>
          </w:p>
        </w:tc>
      </w:tr>
      <w:tr>
        <w:trPr>
          <w:trHeight w:val="212"/>
        </w:trPr>
        <w:tc>
          <w:tcPr>
            <w:tcW w:w="16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Credit Card</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3,502</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3,039</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3,320</w:t>
            </w:r>
          </w:p>
        </w:tc>
        <w:tc>
          <w:tcPr>
            <w:tcW w:w="540" w:type="dxa"/>
            <w:vAlign w:val="bottom"/>
          </w:tcPr>
          <w:p>
            <w:pPr>
              <w:jc w:val="center"/>
              <w:spacing w:after="0"/>
              <w:rPr>
                <w:sz w:val="20"/>
                <w:szCs w:val="20"/>
                <w:color w:val="auto"/>
              </w:rPr>
            </w:pPr>
            <w:r>
              <w:rPr>
                <w:rFonts w:ascii="Arial" w:cs="Arial" w:eastAsia="Arial" w:hAnsi="Arial"/>
                <w:sz w:val="16"/>
                <w:szCs w:val="16"/>
                <w:color w:val="auto"/>
                <w:w w:val="99"/>
              </w:rPr>
              <w:t>3,502</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3,039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3,320</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9.3%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-5.2%</w:t>
            </w:r>
          </w:p>
        </w:tc>
        <w:tc>
          <w:tcPr>
            <w:tcW w:w="460" w:type="dxa"/>
            <w:vAlign w:val="bottom"/>
          </w:tcPr>
          <w:p>
            <w:pPr>
              <w:jc w:val="center"/>
              <w:spacing w:after="0"/>
              <w:rPr>
                <w:sz w:val="20"/>
                <w:szCs w:val="20"/>
                <w:color w:val="auto"/>
              </w:rPr>
            </w:pPr>
            <w:r>
              <w:rPr>
                <w:rFonts w:ascii="Arial" w:cs="Arial" w:eastAsia="Arial" w:hAnsi="Arial"/>
                <w:sz w:val="16"/>
                <w:szCs w:val="16"/>
                <w:color w:val="auto"/>
                <w:w w:val="98"/>
              </w:rPr>
              <w:t>9.3%</w:t>
            </w:r>
          </w:p>
        </w:tc>
        <w:tc>
          <w:tcPr>
            <w:tcW w:w="520" w:type="dxa"/>
            <w:vAlign w:val="bottom"/>
            <w:tcBorders>
              <w:right w:val="single" w:sz="8" w:color="auto"/>
            </w:tcBorders>
            <w:shd w:val="clear" w:color="auto" w:fill="F17FC8"/>
          </w:tcPr>
          <w:p>
            <w:pPr>
              <w:jc w:val="center"/>
              <w:spacing w:after="0"/>
              <w:rPr>
                <w:sz w:val="20"/>
                <w:szCs w:val="20"/>
                <w:color w:val="auto"/>
              </w:rPr>
            </w:pPr>
            <w:r>
              <w:rPr>
                <w:rFonts w:ascii="Arial" w:cs="Arial" w:eastAsia="Arial" w:hAnsi="Arial"/>
                <w:sz w:val="16"/>
                <w:szCs w:val="16"/>
                <w:color w:val="auto"/>
              </w:rPr>
              <w:t>-5.2%</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156</w:t>
            </w:r>
          </w:p>
        </w:tc>
        <w:tc>
          <w:tcPr>
            <w:tcW w:w="560" w:type="dxa"/>
            <w:vAlign w:val="bottom"/>
          </w:tcPr>
          <w:p>
            <w:pPr>
              <w:jc w:val="center"/>
              <w:spacing w:after="0"/>
              <w:rPr>
                <w:sz w:val="20"/>
                <w:szCs w:val="20"/>
                <w:color w:val="auto"/>
              </w:rPr>
            </w:pPr>
            <w:r>
              <w:rPr>
                <w:rFonts w:ascii="Arial" w:cs="Arial" w:eastAsia="Arial" w:hAnsi="Arial"/>
                <w:sz w:val="16"/>
                <w:szCs w:val="16"/>
                <w:color w:val="auto"/>
                <w:w w:val="97"/>
              </w:rPr>
              <w:t>193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187</w:t>
            </w:r>
          </w:p>
        </w:tc>
        <w:tc>
          <w:tcPr>
            <w:tcW w:w="540" w:type="dxa"/>
            <w:vAlign w:val="bottom"/>
          </w:tcPr>
          <w:p>
            <w:pPr>
              <w:jc w:val="center"/>
              <w:spacing w:after="0"/>
              <w:rPr>
                <w:sz w:val="20"/>
                <w:szCs w:val="20"/>
                <w:color w:val="auto"/>
              </w:rPr>
            </w:pPr>
            <w:r>
              <w:rPr>
                <w:rFonts w:ascii="Arial" w:cs="Arial" w:eastAsia="Arial" w:hAnsi="Arial"/>
                <w:sz w:val="16"/>
                <w:szCs w:val="16"/>
                <w:color w:val="auto"/>
              </w:rPr>
              <w:t>-3.3%</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19.8%</w:t>
            </w:r>
          </w:p>
        </w:tc>
        <w:tc>
          <w:tcPr>
            <w:tcW w:w="800" w:type="dxa"/>
            <w:vAlign w:val="bottom"/>
          </w:tcPr>
          <w:p>
            <w:pPr>
              <w:jc w:val="center"/>
              <w:ind w:left="1"/>
              <w:spacing w:after="0"/>
              <w:rPr>
                <w:sz w:val="20"/>
                <w:szCs w:val="20"/>
                <w:color w:val="auto"/>
              </w:rPr>
            </w:pPr>
            <w:r>
              <w:rPr>
                <w:rFonts w:ascii="Arial" w:cs="Arial" w:eastAsia="Arial" w:hAnsi="Arial"/>
                <w:sz w:val="16"/>
                <w:szCs w:val="16"/>
                <w:color w:val="auto"/>
                <w:w w:val="96"/>
              </w:rPr>
              <w:t>82.5%</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17.5%</w:t>
            </w:r>
          </w:p>
        </w:tc>
        <w:tc>
          <w:tcPr>
            <w:tcW w:w="0" w:type="dxa"/>
            <w:vAlign w:val="bottom"/>
          </w:tcPr>
          <w:p>
            <w:pPr>
              <w:spacing w:after="0"/>
              <w:rPr>
                <w:sz w:val="1"/>
                <w:szCs w:val="1"/>
                <w:color w:val="auto"/>
              </w:rPr>
            </w:pPr>
          </w:p>
        </w:tc>
      </w:tr>
      <w:tr>
        <w:trPr>
          <w:trHeight w:val="221"/>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Mibanco</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12,441</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12,880</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13,109</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9"/>
              </w:rPr>
              <w:t>9,619</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8"/>
              </w:rPr>
              <w:t>10,518</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10,902</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1.8%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5.4%</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98"/>
              </w:rPr>
              <w:t>3.7%</w:t>
            </w:r>
          </w:p>
        </w:tc>
        <w:tc>
          <w:tcPr>
            <w:tcW w:w="52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6"/>
                <w:szCs w:val="16"/>
                <w:b w:val="1"/>
                <w:bCs w:val="1"/>
                <w:color w:val="auto"/>
                <w:shd w:val="clear" w:color="auto" w:fill="26D07C"/>
              </w:rPr>
              <w:t>13.3%</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7"/>
              </w:rPr>
              <w:t>131</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7"/>
              </w:rPr>
              <w:t>118</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126</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6.9%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-4.1%</w:t>
            </w:r>
          </w:p>
        </w:tc>
        <w:tc>
          <w:tcPr>
            <w:tcW w:w="800" w:type="dxa"/>
            <w:vAlign w:val="bottom"/>
          </w:tcPr>
          <w:p>
            <w:pPr>
              <w:jc w:val="center"/>
              <w:ind w:left="1"/>
              <w:spacing w:after="0"/>
              <w:rPr>
                <w:sz w:val="20"/>
                <w:szCs w:val="20"/>
                <w:color w:val="auto"/>
              </w:rPr>
            </w:pPr>
            <w:r>
              <w:rPr>
                <w:rFonts w:ascii="Arial" w:cs="Arial" w:eastAsia="Arial" w:hAnsi="Arial"/>
                <w:sz w:val="16"/>
                <w:szCs w:val="16"/>
                <w:b w:val="1"/>
                <w:bCs w:val="1"/>
                <w:color w:val="auto"/>
                <w:w w:val="96"/>
              </w:rPr>
              <w:t>96.5%</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8"/>
              </w:rPr>
              <w:t>3.5%</w:t>
            </w:r>
          </w:p>
        </w:tc>
        <w:tc>
          <w:tcPr>
            <w:tcW w:w="0" w:type="dxa"/>
            <w:vAlign w:val="bottom"/>
          </w:tcPr>
          <w:p>
            <w:pPr>
              <w:spacing w:after="0"/>
              <w:rPr>
                <w:sz w:val="1"/>
                <w:szCs w:val="1"/>
                <w:color w:val="auto"/>
              </w:rPr>
            </w:pPr>
          </w:p>
        </w:tc>
      </w:tr>
      <w:tr>
        <w:trPr>
          <w:trHeight w:val="219"/>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Mibanco Colombia</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7"/>
              </w:rPr>
              <w:t>247</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7"/>
              </w:rPr>
              <w:t>265</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286</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98"/>
              </w:rPr>
              <w:t>8.0%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16.0%</w:t>
            </w:r>
          </w:p>
        </w:tc>
        <w:tc>
          <w:tcPr>
            <w:tcW w:w="800" w:type="dxa"/>
            <w:vAlign w:val="bottom"/>
          </w:tcPr>
          <w:p>
            <w:pPr>
              <w:jc w:val="center"/>
              <w:ind w:left="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5"/>
              </w:rPr>
              <w:t>100.0%</w:t>
            </w:r>
          </w:p>
        </w:tc>
        <w:tc>
          <w:tcPr>
            <w:tcW w:w="0" w:type="dxa"/>
            <w:vAlign w:val="bottom"/>
          </w:tcPr>
          <w:p>
            <w:pPr>
              <w:spacing w:after="0"/>
              <w:rPr>
                <w:sz w:val="1"/>
                <w:szCs w:val="1"/>
                <w:color w:val="auto"/>
              </w:rPr>
            </w:pPr>
          </w:p>
        </w:tc>
      </w:tr>
      <w:tr>
        <w:trPr>
          <w:trHeight w:val="217"/>
        </w:trPr>
        <w:tc>
          <w:tcPr>
            <w:tcW w:w="16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Bolivia</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2,287</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9"/>
              </w:rPr>
              <w:t>2,300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2,284</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auto"/>
              </w:rPr>
              <w:t>-0.7%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-0.1%</w:t>
            </w:r>
          </w:p>
        </w:tc>
        <w:tc>
          <w:tcPr>
            <w:tcW w:w="800" w:type="dxa"/>
            <w:vAlign w:val="bottom"/>
          </w:tcPr>
          <w:p>
            <w:pPr>
              <w:jc w:val="center"/>
              <w:ind w:left="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5"/>
              </w:rPr>
              <w:t>100.0%</w:t>
            </w:r>
          </w:p>
        </w:tc>
        <w:tc>
          <w:tcPr>
            <w:tcW w:w="0" w:type="dxa"/>
            <w:vAlign w:val="bottom"/>
          </w:tcPr>
          <w:p>
            <w:pPr>
              <w:spacing w:after="0"/>
              <w:rPr>
                <w:sz w:val="1"/>
                <w:szCs w:val="1"/>
                <w:color w:val="auto"/>
              </w:rPr>
            </w:pPr>
          </w:p>
        </w:tc>
      </w:tr>
      <w:tr>
        <w:trPr>
          <w:trHeight w:val="214"/>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ASB</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685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576</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558</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-3.1%</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-18.5%</w:t>
            </w:r>
          </w:p>
        </w:tc>
        <w:tc>
          <w:tcPr>
            <w:tcW w:w="8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5"/>
              </w:rPr>
              <w:t>100.0%</w:t>
            </w:r>
          </w:p>
        </w:tc>
        <w:tc>
          <w:tcPr>
            <w:tcW w:w="0" w:type="dxa"/>
            <w:vAlign w:val="bottom"/>
          </w:tcPr>
          <w:p>
            <w:pPr>
              <w:spacing w:after="0"/>
              <w:rPr>
                <w:sz w:val="1"/>
                <w:szCs w:val="1"/>
                <w:color w:val="auto"/>
              </w:rPr>
            </w:pPr>
          </w:p>
        </w:tc>
      </w:tr>
      <w:tr>
        <w:trPr>
          <w:trHeight w:val="207"/>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 loans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92,558</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97,472</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98,401</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68,086</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77,738</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80,882</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6.3%</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4.0%</w:t>
            </w:r>
          </w:p>
        </w:tc>
        <w:tc>
          <w:tcPr>
            <w:tcW w:w="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18.8%</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11,992  11,859</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12,005</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1.2%</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0.1%</w:t>
            </w:r>
          </w:p>
        </w:tc>
        <w:tc>
          <w:tcPr>
            <w:tcW w:w="8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6"/>
              </w:rPr>
              <w:t>68.5%</w:t>
            </w:r>
          </w:p>
        </w:tc>
        <w:tc>
          <w:tcPr>
            <w:tcW w:w="7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b w:val="1"/>
                <w:bCs w:val="1"/>
                <w:color w:val="auto"/>
                <w:w w:val="96"/>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-2248535</wp:posOffset>
            </wp:positionV>
            <wp:extent cx="23304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3045" cy="698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-2248535</wp:posOffset>
            </wp:positionV>
            <wp:extent cx="4762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0" cy="698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-2248535</wp:posOffset>
            </wp:positionV>
            <wp:extent cx="23304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304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1272540" cy="2336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2540" cy="2336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end of March 2022, the dollarization level of total loans fell QoQ due to an exchange rate effect, which impacted Wholesale Banking at BCP Stand-alone and BCP Bolivia in particular.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YoY, the portfolio’s dollarization level contracted due to an increase in Local Currency (LC) loans in Wholesale Banking and Mortgage segments at BCP Stand-alone and in Mibanco.</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Evolution of the Dollarization Level of Credicorp Loans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1104900</wp:posOffset>
            </wp:positionH>
            <wp:positionV relativeFrom="paragraph">
              <wp:posOffset>142240</wp:posOffset>
            </wp:positionV>
            <wp:extent cx="4958715" cy="1685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58715" cy="168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dollarization figures in quarter-end balances, see “12. Annexes – 12.2 Loan Portfolio Quality”.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Evolution Quarter-end balances</w:t>
      </w:r>
    </w:p>
    <w:p>
      <w:pPr>
        <w:spacing w:after="0" w:line="209"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4"/>
          <w:szCs w:val="14"/>
          <w:color w:val="auto"/>
        </w:rPr>
        <w:t>With regard to the quarter-end balances analysis, structural loans decreased 0.5% QoQ. If we exclude the drop in the exchange rate, structural loans increased 2.4% QoQ, driven by the Wholesale Banking, Consumer and SME-Pyme segments in particular; the evolution at Mibanco mirrored that described for average daily balances. If we incorporate the contraction in GP loans, total loans decrease 2.0% QoQ.</w:t>
      </w:r>
    </w:p>
    <w:p>
      <w:pPr>
        <w:spacing w:after="0" w:line="155" w:lineRule="exact"/>
        <w:rPr>
          <w:sz w:val="20"/>
          <w:szCs w:val="20"/>
          <w:color w:val="auto"/>
        </w:rPr>
      </w:pPr>
    </w:p>
    <w:p>
      <w:pPr>
        <w:jc w:val="both"/>
        <w:ind w:right="80"/>
        <w:spacing w:after="0" w:line="299" w:lineRule="auto"/>
        <w:rPr>
          <w:sz w:val="20"/>
          <w:szCs w:val="20"/>
          <w:color w:val="auto"/>
        </w:rPr>
      </w:pPr>
      <w:r>
        <w:rPr>
          <w:rFonts w:ascii="Times New Roman" w:cs="Times New Roman" w:eastAsia="Times New Roman" w:hAnsi="Times New Roman"/>
          <w:sz w:val="14"/>
          <w:szCs w:val="14"/>
          <w:color w:val="auto"/>
        </w:rPr>
        <w:t>In the YoY evolution, structural loans increased 13.7%. If we exclude the FX effect, structural loans increase 15.2%, driven by Wholesale Banking and Retail Banking at BCP Stand-alone and by Mibanco, in line with the factors mentioned in the section on average daily balances. If we incorporate the contraction of GP loans, total loans decrease 5.5% YoY.</w:t>
      </w:r>
    </w:p>
    <w:p>
      <w:pPr>
        <w:spacing w:after="0" w:line="26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360"/>
          </w:cols>
          <w:pgMar w:left="300" w:top="140" w:right="239" w:bottom="1440" w:gutter="0" w:footer="0" w:header="0"/>
        </w:sectPr>
      </w:pPr>
    </w:p>
    <w:bookmarkStart w:id="18" w:name="page19"/>
    <w:bookmarkEnd w:id="18"/>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Portfolio Quality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Structural Portfolio Quality (in Quarter-end Balances)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624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1"/>
                <w:szCs w:val="11"/>
                <w:b w:val="1"/>
                <w:bCs w:val="1"/>
                <w:color w:val="FFFFFF"/>
              </w:rPr>
              <w:t xml:space="preserve">Structural Portfolio quality and Delinquency ratios </w:t>
            </w:r>
            <w:r>
              <w:rPr>
                <w:rFonts w:ascii="Arial" w:cs="Arial" w:eastAsia="Arial" w:hAnsi="Arial"/>
                <w:sz w:val="18"/>
                <w:szCs w:val="18"/>
                <w:b w:val="1"/>
                <w:bCs w:val="1"/>
                <w:color w:val="FFFFFF"/>
                <w:vertAlign w:val="superscript"/>
              </w:rPr>
              <w:t>(1)</w:t>
            </w:r>
          </w:p>
        </w:tc>
        <w:tc>
          <w:tcPr>
            <w:tcW w:w="1100" w:type="dxa"/>
            <w:vAlign w:val="bottom"/>
            <w:tcBorders>
              <w:top w:val="single" w:sz="8" w:color="auto"/>
            </w:tcBorders>
            <w:shd w:val="clear" w:color="auto" w:fill="2AD2C9"/>
          </w:tcPr>
          <w:p>
            <w:pPr>
              <w:spacing w:after="0"/>
              <w:rPr>
                <w:sz w:val="13"/>
                <w:szCs w:val="13"/>
                <w:color w:val="auto"/>
              </w:rPr>
            </w:pPr>
          </w:p>
        </w:tc>
        <w:tc>
          <w:tcPr>
            <w:tcW w:w="1000" w:type="dxa"/>
            <w:vAlign w:val="bottom"/>
            <w:tcBorders>
              <w:top w:val="single" w:sz="8" w:color="auto"/>
            </w:tcBorders>
            <w:vMerge w:val="restart"/>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As of</w:t>
            </w:r>
          </w:p>
        </w:tc>
        <w:tc>
          <w:tcPr>
            <w:tcW w:w="940" w:type="dxa"/>
            <w:vAlign w:val="bottom"/>
            <w:tcBorders>
              <w:top w:val="single" w:sz="8" w:color="auto"/>
              <w:right w:val="single" w:sz="8" w:color="auto"/>
            </w:tcBorders>
            <w:shd w:val="clear" w:color="auto" w:fill="2AD2C9"/>
          </w:tcPr>
          <w:p>
            <w:pPr>
              <w:spacing w:after="0"/>
              <w:rPr>
                <w:sz w:val="13"/>
                <w:szCs w:val="13"/>
                <w:color w:val="auto"/>
              </w:rPr>
            </w:pPr>
          </w:p>
        </w:tc>
        <w:tc>
          <w:tcPr>
            <w:tcW w:w="2020" w:type="dxa"/>
            <w:vAlign w:val="bottom"/>
            <w:tcBorders>
              <w:top w:val="single" w:sz="8" w:color="auto"/>
              <w:right w:val="single" w:sz="8" w:color="auto"/>
            </w:tcBorders>
            <w:gridSpan w:val="2"/>
            <w:vMerge w:val="restart"/>
            <w:shd w:val="clear" w:color="auto" w:fill="2AD2C9"/>
          </w:tcPr>
          <w:p>
            <w:pPr>
              <w:ind w:left="660"/>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12"/>
        </w:trPr>
        <w:tc>
          <w:tcPr>
            <w:tcW w:w="624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100" w:type="dxa"/>
            <w:vAlign w:val="bottom"/>
            <w:shd w:val="clear" w:color="auto" w:fill="2AD2C9"/>
          </w:tcPr>
          <w:p>
            <w:pPr>
              <w:spacing w:after="0"/>
              <w:rPr>
                <w:sz w:val="9"/>
                <w:szCs w:val="9"/>
                <w:color w:val="auto"/>
              </w:rPr>
            </w:pPr>
          </w:p>
        </w:tc>
        <w:tc>
          <w:tcPr>
            <w:tcW w:w="1000" w:type="dxa"/>
            <w:vAlign w:val="bottom"/>
            <w:vMerge w:val="continue"/>
            <w:shd w:val="clear" w:color="auto" w:fill="2AD2C9"/>
          </w:tcPr>
          <w:p>
            <w:pPr>
              <w:spacing w:after="0"/>
              <w:rPr>
                <w:sz w:val="9"/>
                <w:szCs w:val="9"/>
                <w:color w:val="auto"/>
              </w:rPr>
            </w:pPr>
          </w:p>
        </w:tc>
        <w:tc>
          <w:tcPr>
            <w:tcW w:w="940" w:type="dxa"/>
            <w:vAlign w:val="bottom"/>
            <w:tcBorders>
              <w:right w:val="single" w:sz="8" w:color="auto"/>
            </w:tcBorders>
            <w:shd w:val="clear" w:color="auto" w:fill="2AD2C9"/>
          </w:tcPr>
          <w:p>
            <w:pPr>
              <w:spacing w:after="0"/>
              <w:rPr>
                <w:sz w:val="9"/>
                <w:szCs w:val="9"/>
                <w:color w:val="auto"/>
              </w:rPr>
            </w:pPr>
          </w:p>
        </w:tc>
        <w:tc>
          <w:tcPr>
            <w:tcW w:w="2020" w:type="dxa"/>
            <w:vAlign w:val="bottom"/>
            <w:tcBorders>
              <w:right w:val="single" w:sz="8" w:color="auto"/>
            </w:tcBorders>
            <w:gridSpan w:val="2"/>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24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1100" w:type="dxa"/>
            <w:vAlign w:val="bottom"/>
            <w:vMerge w:val="restart"/>
            <w:shd w:val="clear" w:color="auto" w:fill="2AD2C9"/>
          </w:tcPr>
          <w:p>
            <w:pPr>
              <w:jc w:val="right"/>
              <w:ind w:right="308"/>
              <w:spacing w:after="0"/>
              <w:rPr>
                <w:sz w:val="20"/>
                <w:szCs w:val="20"/>
                <w:color w:val="auto"/>
              </w:rPr>
            </w:pPr>
            <w:r>
              <w:rPr>
                <w:rFonts w:ascii="Arial" w:cs="Arial" w:eastAsia="Arial" w:hAnsi="Arial"/>
                <w:sz w:val="14"/>
                <w:szCs w:val="14"/>
                <w:b w:val="1"/>
                <w:bCs w:val="1"/>
                <w:color w:val="FFFFFF"/>
              </w:rPr>
              <w:t>Mar 21</w:t>
            </w:r>
          </w:p>
        </w:tc>
        <w:tc>
          <w:tcPr>
            <w:tcW w:w="1000" w:type="dxa"/>
            <w:vAlign w:val="bottom"/>
            <w:vMerge w:val="restart"/>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Dec 21</w:t>
            </w:r>
          </w:p>
        </w:tc>
        <w:tc>
          <w:tcPr>
            <w:tcW w:w="940" w:type="dxa"/>
            <w:vAlign w:val="bottom"/>
            <w:tcBorders>
              <w:right w:val="single" w:sz="8" w:color="auto"/>
            </w:tcBorders>
            <w:vMerge w:val="restart"/>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Mar 22</w:t>
            </w:r>
          </w:p>
        </w:tc>
        <w:tc>
          <w:tcPr>
            <w:tcW w:w="960" w:type="dxa"/>
            <w:vAlign w:val="bottom"/>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6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c>
          <w:tcPr>
            <w:tcW w:w="0" w:type="dxa"/>
            <w:vAlign w:val="bottom"/>
          </w:tcPr>
          <w:p>
            <w:pPr>
              <w:spacing w:after="0"/>
              <w:rPr>
                <w:sz w:val="1"/>
                <w:szCs w:val="1"/>
                <w:color w:val="auto"/>
              </w:rPr>
            </w:pPr>
          </w:p>
        </w:tc>
      </w:tr>
      <w:tr>
        <w:trPr>
          <w:trHeight w:val="141"/>
        </w:trPr>
        <w:tc>
          <w:tcPr>
            <w:tcW w:w="62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100" w:type="dxa"/>
            <w:vAlign w:val="bottom"/>
            <w:tcBorders>
              <w:bottom w:val="single" w:sz="8" w:color="auto"/>
            </w:tcBorders>
            <w:vMerge w:val="continue"/>
            <w:shd w:val="clear" w:color="auto" w:fill="2AD2C9"/>
          </w:tcPr>
          <w:p>
            <w:pPr>
              <w:spacing w:after="0"/>
              <w:rPr>
                <w:sz w:val="12"/>
                <w:szCs w:val="12"/>
                <w:color w:val="auto"/>
              </w:rPr>
            </w:pPr>
          </w:p>
        </w:tc>
        <w:tc>
          <w:tcPr>
            <w:tcW w:w="1000" w:type="dxa"/>
            <w:vAlign w:val="bottom"/>
            <w:tcBorders>
              <w:bottom w:val="single" w:sz="8" w:color="auto"/>
            </w:tcBorders>
            <w:vMerge w:val="continue"/>
            <w:shd w:val="clear" w:color="auto" w:fill="2AD2C9"/>
          </w:tcPr>
          <w:p>
            <w:pPr>
              <w:spacing w:after="0"/>
              <w:rPr>
                <w:sz w:val="12"/>
                <w:szCs w:val="12"/>
                <w:color w:val="auto"/>
              </w:rPr>
            </w:pPr>
          </w:p>
        </w:tc>
        <w:tc>
          <w:tcPr>
            <w:tcW w:w="94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960" w:type="dxa"/>
            <w:vAlign w:val="bottom"/>
            <w:tcBorders>
              <w:bottom w:val="single" w:sz="8" w:color="auto"/>
            </w:tcBorders>
            <w:vMerge w:val="continue"/>
            <w:shd w:val="clear" w:color="auto" w:fill="2AD2C9"/>
          </w:tcPr>
          <w:p>
            <w:pPr>
              <w:spacing w:after="0"/>
              <w:rPr>
                <w:sz w:val="12"/>
                <w:szCs w:val="12"/>
                <w:color w:val="auto"/>
              </w:rPr>
            </w:pPr>
          </w:p>
        </w:tc>
        <w:tc>
          <w:tcPr>
            <w:tcW w:w="106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4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Structural loans (Quarter-end balance)</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112,782,997</w:t>
            </w:r>
          </w:p>
        </w:tc>
        <w:tc>
          <w:tcPr>
            <w:tcW w:w="10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128,956,585</w:t>
            </w:r>
          </w:p>
        </w:tc>
        <w:tc>
          <w:tcPr>
            <w:tcW w:w="9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128,251,606</w:t>
            </w:r>
          </w:p>
        </w:tc>
        <w:tc>
          <w:tcPr>
            <w:tcW w:w="9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-0.5%</w:t>
            </w:r>
          </w:p>
        </w:tc>
        <w:tc>
          <w:tcPr>
            <w:tcW w:w="10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53"/>
        </w:trPr>
        <w:tc>
          <w:tcPr>
            <w:tcW w:w="624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Structural Allowance for loan losses</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9,592,786</w:t>
            </w:r>
          </w:p>
        </w:tc>
        <w:tc>
          <w:tcPr>
            <w:tcW w:w="10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8,280,467</w:t>
            </w:r>
          </w:p>
        </w:tc>
        <w:tc>
          <w:tcPr>
            <w:tcW w:w="9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8,061,670</w:t>
            </w:r>
          </w:p>
        </w:tc>
        <w:tc>
          <w:tcPr>
            <w:tcW w:w="9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-2.6%</w:t>
            </w:r>
          </w:p>
        </w:tc>
        <w:tc>
          <w:tcPr>
            <w:tcW w:w="10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3"/>
        </w:trPr>
        <w:tc>
          <w:tcPr>
            <w:tcW w:w="624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Structural Write-offs</w:t>
            </w:r>
          </w:p>
        </w:tc>
        <w:tc>
          <w:tcPr>
            <w:tcW w:w="1100" w:type="dxa"/>
            <w:vAlign w:val="bottom"/>
            <w:tcBorders>
              <w:bottom w:val="single" w:sz="8" w:color="auto"/>
            </w:tcBorders>
          </w:tcPr>
          <w:p>
            <w:pPr>
              <w:jc w:val="right"/>
              <w:ind w:right="208"/>
              <w:spacing w:after="0" w:line="153" w:lineRule="exact"/>
              <w:rPr>
                <w:sz w:val="20"/>
                <w:szCs w:val="20"/>
                <w:color w:val="auto"/>
              </w:rPr>
            </w:pPr>
            <w:r>
              <w:rPr>
                <w:rFonts w:ascii="Arial" w:cs="Arial" w:eastAsia="Arial" w:hAnsi="Arial"/>
                <w:sz w:val="14"/>
                <w:szCs w:val="14"/>
                <w:color w:val="auto"/>
              </w:rPr>
              <w:t>767,136</w:t>
            </w:r>
          </w:p>
        </w:tc>
        <w:tc>
          <w:tcPr>
            <w:tcW w:w="1000" w:type="dxa"/>
            <w:vAlign w:val="bottom"/>
            <w:tcBorders>
              <w:bottom w:val="single" w:sz="8" w:color="auto"/>
            </w:tcBorders>
          </w:tcPr>
          <w:p>
            <w:pPr>
              <w:jc w:val="right"/>
              <w:ind w:right="188"/>
              <w:spacing w:after="0" w:line="153" w:lineRule="exact"/>
              <w:rPr>
                <w:sz w:val="20"/>
                <w:szCs w:val="20"/>
                <w:color w:val="auto"/>
              </w:rPr>
            </w:pPr>
            <w:r>
              <w:rPr>
                <w:rFonts w:ascii="Arial" w:cs="Arial" w:eastAsia="Arial" w:hAnsi="Arial"/>
                <w:sz w:val="14"/>
                <w:szCs w:val="14"/>
                <w:color w:val="auto"/>
              </w:rPr>
              <w:t>683,181</w:t>
            </w:r>
          </w:p>
        </w:tc>
        <w:tc>
          <w:tcPr>
            <w:tcW w:w="940" w:type="dxa"/>
            <w:vAlign w:val="bottom"/>
            <w:tcBorders>
              <w:bottom w:val="single" w:sz="8" w:color="auto"/>
              <w:right w:val="single" w:sz="8" w:color="auto"/>
            </w:tcBorders>
          </w:tcPr>
          <w:p>
            <w:pPr>
              <w:jc w:val="right"/>
              <w:ind w:right="108"/>
              <w:spacing w:after="0" w:line="153" w:lineRule="exact"/>
              <w:rPr>
                <w:sz w:val="20"/>
                <w:szCs w:val="20"/>
                <w:color w:val="auto"/>
              </w:rPr>
            </w:pPr>
            <w:r>
              <w:rPr>
                <w:rFonts w:ascii="Arial" w:cs="Arial" w:eastAsia="Arial" w:hAnsi="Arial"/>
                <w:sz w:val="14"/>
                <w:szCs w:val="14"/>
                <w:color w:val="auto"/>
              </w:rPr>
              <w:t>378,093</w:t>
            </w:r>
          </w:p>
        </w:tc>
        <w:tc>
          <w:tcPr>
            <w:tcW w:w="9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-44.7%</w:t>
            </w:r>
          </w:p>
        </w:tc>
        <w:tc>
          <w:tcPr>
            <w:tcW w:w="106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39"/>
        </w:trPr>
        <w:tc>
          <w:tcPr>
            <w:tcW w:w="624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Structural IOLs</w:t>
            </w:r>
          </w:p>
        </w:tc>
        <w:tc>
          <w:tcPr>
            <w:tcW w:w="1100" w:type="dxa"/>
            <w:vAlign w:val="bottom"/>
          </w:tcPr>
          <w:p>
            <w:pPr>
              <w:jc w:val="right"/>
              <w:ind w:right="208"/>
              <w:spacing w:after="0" w:line="139" w:lineRule="exact"/>
              <w:rPr>
                <w:sz w:val="20"/>
                <w:szCs w:val="20"/>
                <w:color w:val="auto"/>
              </w:rPr>
            </w:pPr>
            <w:r>
              <w:rPr>
                <w:rFonts w:ascii="Arial" w:cs="Arial" w:eastAsia="Arial" w:hAnsi="Arial"/>
                <w:sz w:val="14"/>
                <w:szCs w:val="14"/>
                <w:color w:val="auto"/>
              </w:rPr>
              <w:t>4,868,483</w:t>
            </w:r>
          </w:p>
        </w:tc>
        <w:tc>
          <w:tcPr>
            <w:tcW w:w="1000" w:type="dxa"/>
            <w:vAlign w:val="bottom"/>
          </w:tcPr>
          <w:p>
            <w:pPr>
              <w:jc w:val="right"/>
              <w:ind w:right="188"/>
              <w:spacing w:after="0" w:line="139" w:lineRule="exact"/>
              <w:rPr>
                <w:sz w:val="20"/>
                <w:szCs w:val="20"/>
                <w:color w:val="auto"/>
              </w:rPr>
            </w:pPr>
            <w:r>
              <w:rPr>
                <w:rFonts w:ascii="Arial" w:cs="Arial" w:eastAsia="Arial" w:hAnsi="Arial"/>
                <w:sz w:val="14"/>
                <w:szCs w:val="14"/>
                <w:color w:val="auto"/>
              </w:rPr>
              <w:t>4,475,373</w:t>
            </w:r>
          </w:p>
        </w:tc>
        <w:tc>
          <w:tcPr>
            <w:tcW w:w="940" w:type="dxa"/>
            <w:vAlign w:val="bottom"/>
            <w:tcBorders>
              <w:right w:val="single" w:sz="8" w:color="auto"/>
            </w:tcBorders>
          </w:tcPr>
          <w:p>
            <w:pPr>
              <w:jc w:val="right"/>
              <w:ind w:right="108"/>
              <w:spacing w:after="0" w:line="139" w:lineRule="exact"/>
              <w:rPr>
                <w:sz w:val="20"/>
                <w:szCs w:val="20"/>
                <w:color w:val="auto"/>
              </w:rPr>
            </w:pPr>
            <w:r>
              <w:rPr>
                <w:rFonts w:ascii="Arial" w:cs="Arial" w:eastAsia="Arial" w:hAnsi="Arial"/>
                <w:sz w:val="14"/>
                <w:szCs w:val="14"/>
                <w:color w:val="auto"/>
              </w:rPr>
              <w:t>4,841,329</w:t>
            </w:r>
          </w:p>
        </w:tc>
        <w:tc>
          <w:tcPr>
            <w:tcW w:w="960" w:type="dxa"/>
            <w:vAlign w:val="bottom"/>
          </w:tcPr>
          <w:p>
            <w:pPr>
              <w:jc w:val="center"/>
              <w:spacing w:after="0" w:line="139" w:lineRule="exact"/>
              <w:rPr>
                <w:sz w:val="20"/>
                <w:szCs w:val="20"/>
                <w:color w:val="auto"/>
              </w:rPr>
            </w:pPr>
            <w:r>
              <w:rPr>
                <w:rFonts w:ascii="Arial" w:cs="Arial" w:eastAsia="Arial" w:hAnsi="Arial"/>
                <w:sz w:val="14"/>
                <w:szCs w:val="14"/>
                <w:color w:val="auto"/>
              </w:rPr>
              <w:t>8.2%</w:t>
            </w:r>
          </w:p>
        </w:tc>
        <w:tc>
          <w:tcPr>
            <w:tcW w:w="10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Structural Refinanced loans</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1,951,855</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1,799,541</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1,714,074</w:t>
            </w:r>
          </w:p>
        </w:tc>
        <w:tc>
          <w:tcPr>
            <w:tcW w:w="960" w:type="dxa"/>
            <w:vAlign w:val="bottom"/>
          </w:tcPr>
          <w:p>
            <w:pPr>
              <w:jc w:val="center"/>
              <w:spacing w:after="0"/>
              <w:rPr>
                <w:sz w:val="20"/>
                <w:szCs w:val="20"/>
                <w:color w:val="auto"/>
              </w:rPr>
            </w:pPr>
            <w:r>
              <w:rPr>
                <w:rFonts w:ascii="Arial" w:cs="Arial" w:eastAsia="Arial" w:hAnsi="Arial"/>
                <w:sz w:val="14"/>
                <w:szCs w:val="14"/>
                <w:color w:val="auto"/>
              </w:rPr>
              <w:t>-4.7%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77"/>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Structural NPLs</w:t>
            </w: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6,820,338</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6,274,914</w:t>
            </w:r>
          </w:p>
        </w:tc>
        <w:tc>
          <w:tcPr>
            <w:tcW w:w="94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6,555,403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9"/>
        </w:trPr>
        <w:tc>
          <w:tcPr>
            <w:tcW w:w="624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Structural IOL ratio</w:t>
            </w:r>
          </w:p>
        </w:tc>
        <w:tc>
          <w:tcPr>
            <w:tcW w:w="1100" w:type="dxa"/>
            <w:vAlign w:val="bottom"/>
          </w:tcPr>
          <w:p>
            <w:pPr>
              <w:jc w:val="right"/>
              <w:ind w:right="28"/>
              <w:spacing w:after="0" w:line="139" w:lineRule="exact"/>
              <w:rPr>
                <w:sz w:val="20"/>
                <w:szCs w:val="20"/>
                <w:color w:val="auto"/>
              </w:rPr>
            </w:pPr>
            <w:r>
              <w:rPr>
                <w:rFonts w:ascii="Arial" w:cs="Arial" w:eastAsia="Arial" w:hAnsi="Arial"/>
                <w:sz w:val="14"/>
                <w:szCs w:val="14"/>
                <w:b w:val="1"/>
                <w:bCs w:val="1"/>
                <w:color w:val="auto"/>
              </w:rPr>
              <w:t>4.32%</w:t>
            </w:r>
          </w:p>
        </w:tc>
        <w:tc>
          <w:tcPr>
            <w:tcW w:w="1000" w:type="dxa"/>
            <w:vAlign w:val="bottom"/>
          </w:tcPr>
          <w:p>
            <w:pPr>
              <w:jc w:val="right"/>
              <w:ind w:right="28"/>
              <w:spacing w:after="0" w:line="139" w:lineRule="exact"/>
              <w:rPr>
                <w:sz w:val="20"/>
                <w:szCs w:val="20"/>
                <w:color w:val="auto"/>
              </w:rPr>
            </w:pPr>
            <w:r>
              <w:rPr>
                <w:rFonts w:ascii="Arial" w:cs="Arial" w:eastAsia="Arial" w:hAnsi="Arial"/>
                <w:sz w:val="14"/>
                <w:szCs w:val="14"/>
                <w:b w:val="1"/>
                <w:bCs w:val="1"/>
                <w:color w:val="auto"/>
              </w:rPr>
              <w:t>3.47%</w:t>
            </w:r>
          </w:p>
        </w:tc>
        <w:tc>
          <w:tcPr>
            <w:tcW w:w="94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3.77%</w:t>
            </w:r>
          </w:p>
        </w:tc>
        <w:tc>
          <w:tcPr>
            <w:tcW w:w="960" w:type="dxa"/>
            <w:vAlign w:val="bottom"/>
          </w:tcPr>
          <w:p>
            <w:pPr>
              <w:jc w:val="center"/>
              <w:spacing w:after="0" w:line="139" w:lineRule="exact"/>
              <w:rPr>
                <w:sz w:val="20"/>
                <w:szCs w:val="20"/>
                <w:color w:val="auto"/>
              </w:rPr>
            </w:pPr>
            <w:r>
              <w:rPr>
                <w:rFonts w:ascii="Arial" w:cs="Arial" w:eastAsia="Arial" w:hAnsi="Arial"/>
                <w:sz w:val="14"/>
                <w:szCs w:val="14"/>
                <w:color w:val="auto"/>
              </w:rPr>
              <w:t>30 pbs</w:t>
            </w:r>
          </w:p>
        </w:tc>
        <w:tc>
          <w:tcPr>
            <w:tcW w:w="10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-55 pbs</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Structural NPL ratio</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6.05%</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4.87%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5.11%</w:t>
            </w:r>
          </w:p>
        </w:tc>
        <w:tc>
          <w:tcPr>
            <w:tcW w:w="960" w:type="dxa"/>
            <w:vAlign w:val="bottom"/>
          </w:tcPr>
          <w:p>
            <w:pPr>
              <w:jc w:val="center"/>
              <w:spacing w:after="0"/>
              <w:rPr>
                <w:sz w:val="20"/>
                <w:szCs w:val="20"/>
                <w:color w:val="auto"/>
              </w:rPr>
            </w:pPr>
            <w:r>
              <w:rPr>
                <w:rFonts w:ascii="Arial" w:cs="Arial" w:eastAsia="Arial" w:hAnsi="Arial"/>
                <w:sz w:val="14"/>
                <w:szCs w:val="14"/>
                <w:color w:val="auto"/>
              </w:rPr>
              <w:t>24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-94 pbs</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Structural Allowance for loan losses over Structural loans</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8.5%</w:t>
            </w: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6.4%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960" w:type="dxa"/>
            <w:vAlign w:val="bottom"/>
          </w:tcPr>
          <w:p>
            <w:pPr>
              <w:jc w:val="center"/>
              <w:spacing w:after="0"/>
              <w:rPr>
                <w:sz w:val="20"/>
                <w:szCs w:val="20"/>
                <w:color w:val="auto"/>
              </w:rPr>
            </w:pPr>
            <w:r>
              <w:rPr>
                <w:rFonts w:ascii="Arial" w:cs="Arial" w:eastAsia="Arial" w:hAnsi="Arial"/>
                <w:sz w:val="14"/>
                <w:szCs w:val="14"/>
                <w:color w:val="auto"/>
              </w:rPr>
              <w:t>-13 pbs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-222 pbs</w:t>
            </w:r>
          </w:p>
        </w:tc>
        <w:tc>
          <w:tcPr>
            <w:tcW w:w="0" w:type="dxa"/>
            <w:vAlign w:val="bottom"/>
          </w:tcPr>
          <w:p>
            <w:pPr>
              <w:spacing w:after="0"/>
              <w:rPr>
                <w:sz w:val="1"/>
                <w:szCs w:val="1"/>
                <w:color w:val="auto"/>
              </w:rPr>
            </w:pPr>
          </w:p>
        </w:tc>
      </w:tr>
      <w:tr>
        <w:trPr>
          <w:trHeight w:val="177"/>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Structural Coverage ratio of NPLs</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140.6%</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-898 pbs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-1767 pbs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-1085850</wp:posOffset>
            </wp:positionV>
            <wp:extent cx="2540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69" w:lineRule="exact"/>
        <w:rPr>
          <w:sz w:val="20"/>
          <w:szCs w:val="20"/>
          <w:color w:val="auto"/>
        </w:rPr>
      </w:pPr>
    </w:p>
    <w:p>
      <w:pPr>
        <w:ind w:left="260" w:hanging="253"/>
        <w:spacing w:after="0"/>
        <w:tabs>
          <w:tab w:leader="none" w:pos="260" w:val="left"/>
        </w:tabs>
        <w:numPr>
          <w:ilvl w:val="0"/>
          <w:numId w:val="19"/>
        </w:numPr>
        <w:rPr>
          <w:rFonts w:ascii="Arial" w:cs="Arial" w:eastAsia="Arial" w:hAnsi="Arial"/>
          <w:sz w:val="9"/>
          <w:szCs w:val="9"/>
          <w:color w:val="auto"/>
        </w:rPr>
      </w:pPr>
      <w:r>
        <w:rPr>
          <w:rFonts w:ascii="Arial" w:cs="Arial" w:eastAsia="Arial" w:hAnsi="Arial"/>
          <w:sz w:val="9"/>
          <w:szCs w:val="9"/>
          <w:color w:val="auto"/>
        </w:rPr>
        <w:t>The Structural Portfolio excludes Government Programs (GP) effects.</w:t>
      </w:r>
    </w:p>
    <w:p>
      <w:pPr>
        <w:spacing w:after="0" w:line="116"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Delinquency ratios increased QoQ, due to an increase in NPL Loans and a drop in total loans. YoY, delinquency ratios fell due to a reduction in Overdue and Refinanced Loans and to an increase in total loans.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Structural NPL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18415</wp:posOffset>
            </wp:positionV>
            <wp:extent cx="4133215" cy="2393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33215" cy="239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QoQ analysis, the segments that contributed to the increase of the structural NPL ratio are:</w:t>
      </w:r>
    </w:p>
    <w:p>
      <w:pPr>
        <w:spacing w:after="0" w:line="131" w:lineRule="exact"/>
        <w:rPr>
          <w:sz w:val="20"/>
          <w:szCs w:val="20"/>
          <w:color w:val="auto"/>
        </w:rPr>
      </w:pPr>
    </w:p>
    <w:p>
      <w:pPr>
        <w:jc w:val="both"/>
        <w:ind w:left="660" w:hanging="253"/>
        <w:spacing w:after="0" w:line="264"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SMEs</w:t>
      </w:r>
      <w:r>
        <w:rPr>
          <w:rFonts w:ascii="Arial" w:cs="Arial" w:eastAsia="Arial" w:hAnsi="Arial"/>
          <w:sz w:val="14"/>
          <w:szCs w:val="14"/>
          <w:color w:val="auto"/>
        </w:rPr>
        <w:t>: due to a deterioration in the early delinquency tranche (&lt;30 days overdue) with higher recovery levels in SME-Pyme segment, particularly from clients who</w:t>
      </w:r>
      <w:r>
        <w:rPr>
          <w:rFonts w:ascii="Arial" w:cs="Arial" w:eastAsia="Arial" w:hAnsi="Arial"/>
          <w:sz w:val="14"/>
          <w:szCs w:val="14"/>
          <w:b w:val="1"/>
          <w:bCs w:val="1"/>
          <w:color w:val="auto"/>
        </w:rPr>
        <w:t xml:space="preserve"> </w:t>
      </w:r>
      <w:r>
        <w:rPr>
          <w:rFonts w:ascii="Arial" w:cs="Arial" w:eastAsia="Arial" w:hAnsi="Arial"/>
          <w:sz w:val="14"/>
          <w:szCs w:val="14"/>
          <w:color w:val="auto"/>
        </w:rPr>
        <w:t>also hold GP loans and presented expirations, while late delinquency (&gt;60 days) remains stable. Additionally, the uptick was driven by lower loans in SME-Business, impacted by the exchange rate effect;</w:t>
      </w:r>
    </w:p>
    <w:p>
      <w:pPr>
        <w:spacing w:after="0" w:line="151" w:lineRule="exact"/>
        <w:rPr>
          <w:rFonts w:ascii="Arial" w:cs="Arial" w:eastAsia="Arial" w:hAnsi="Arial"/>
          <w:sz w:val="14"/>
          <w:szCs w:val="14"/>
          <w:color w:val="auto"/>
        </w:rPr>
      </w:pPr>
    </w:p>
    <w:p>
      <w:pPr>
        <w:ind w:left="660" w:hanging="253"/>
        <w:spacing w:after="0" w:line="286"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BCP Bolivia</w:t>
      </w:r>
      <w:r>
        <w:rPr>
          <w:rFonts w:ascii="Arial" w:cs="Arial" w:eastAsia="Arial" w:hAnsi="Arial"/>
          <w:sz w:val="14"/>
          <w:szCs w:val="14"/>
          <w:color w:val="auto"/>
        </w:rPr>
        <w:t>: where deterioration rose in line with expectations due to an uptick in grace period expirations. The exchange rate effect impacted the denominator,</w:t>
      </w:r>
      <w:r>
        <w:rPr>
          <w:rFonts w:ascii="Arial" w:cs="Arial" w:eastAsia="Arial" w:hAnsi="Arial"/>
          <w:sz w:val="14"/>
          <w:szCs w:val="14"/>
          <w:b w:val="1"/>
          <w:bCs w:val="1"/>
          <w:color w:val="auto"/>
        </w:rPr>
        <w:t xml:space="preserve"> </w:t>
      </w:r>
      <w:r>
        <w:rPr>
          <w:rFonts w:ascii="Arial" w:cs="Arial" w:eastAsia="Arial" w:hAnsi="Arial"/>
          <w:sz w:val="14"/>
          <w:szCs w:val="14"/>
          <w:color w:val="auto"/>
        </w:rPr>
        <w:t>which led the ratio to stand at pre-pandemic levels; and</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ind w:left="300" w:hanging="293"/>
        <w:spacing w:after="0"/>
        <w:tabs>
          <w:tab w:leader="none" w:pos="300" w:val="left"/>
        </w:tabs>
        <w:numPr>
          <w:ilvl w:val="0"/>
          <w:numId w:val="21"/>
        </w:numPr>
        <w:rPr>
          <w:rFonts w:ascii="Arial" w:cs="Arial" w:eastAsia="Arial" w:hAnsi="Arial"/>
          <w:sz w:val="17"/>
          <w:szCs w:val="17"/>
          <w:b w:val="1"/>
          <w:bCs w:val="1"/>
          <w:color w:val="FFFFFF"/>
        </w:rPr>
      </w:pPr>
      <w:r>
        <w:rPr>
          <w:rFonts w:ascii="Arial" w:cs="Arial" w:eastAsia="Arial" w:hAnsi="Arial"/>
          <w:sz w:val="17"/>
          <w:szCs w:val="17"/>
          <w:b w:val="1"/>
          <w:bCs w:val="1"/>
          <w:color w:val="FFFFFF"/>
        </w:rPr>
        <w:t>Loan Portfolio</w:t>
      </w:r>
    </w:p>
    <w:p>
      <w:pPr>
        <w:spacing w:after="0" w:line="21" w:lineRule="exact"/>
        <w:rPr>
          <w:rFonts w:ascii="Arial" w:cs="Arial" w:eastAsia="Arial" w:hAnsi="Arial"/>
          <w:sz w:val="17"/>
          <w:szCs w:val="17"/>
          <w:b w:val="1"/>
          <w:bCs w:val="1"/>
          <w:color w:val="FFFFFF"/>
        </w:rPr>
      </w:pPr>
    </w:p>
    <w:p>
      <w:pPr>
        <w:ind w:left="660" w:hanging="253"/>
        <w:spacing w:after="0"/>
        <w:tabs>
          <w:tab w:leader="none" w:pos="660" w:val="left"/>
        </w:tabs>
        <w:numPr>
          <w:ilvl w:val="1"/>
          <w:numId w:val="21"/>
        </w:numPr>
        <w:rPr>
          <w:rFonts w:ascii="Arial" w:cs="Arial" w:eastAsia="Arial" w:hAnsi="Arial"/>
          <w:sz w:val="14"/>
          <w:szCs w:val="14"/>
          <w:color w:val="auto"/>
        </w:rPr>
      </w:pPr>
      <w:r>
        <w:rPr>
          <w:rFonts w:ascii="Arial" w:cs="Arial" w:eastAsia="Arial" w:hAnsi="Arial"/>
          <w:sz w:val="14"/>
          <w:szCs w:val="14"/>
          <w:b w:val="1"/>
          <w:bCs w:val="1"/>
          <w:color w:val="auto"/>
        </w:rPr>
        <w:t>Wholesale</w:t>
      </w:r>
      <w:r>
        <w:rPr>
          <w:rFonts w:ascii="Arial" w:cs="Arial" w:eastAsia="Arial" w:hAnsi="Arial"/>
          <w:sz w:val="14"/>
          <w:szCs w:val="14"/>
          <w:color w:val="auto"/>
        </w:rPr>
        <w:t>: where deterioration was attributable to a small number of clients in the real estate and transportation sectors, mainly in Middle Market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-224790</wp:posOffset>
            </wp:positionV>
            <wp:extent cx="7159625" cy="123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aforementioned was partially attenuated by a decrease in NPL volumes in Individuals─ which reflected an uptick in liquidity─ and by loan growth at Mibanco.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YoY analysis, the drop in the delinquency ratio was attributable to:</w:t>
      </w:r>
    </w:p>
    <w:p>
      <w:pPr>
        <w:spacing w:after="0" w:line="131" w:lineRule="exact"/>
        <w:rPr>
          <w:sz w:val="20"/>
          <w:szCs w:val="20"/>
          <w:color w:val="auto"/>
        </w:rPr>
      </w:pPr>
    </w:p>
    <w:p>
      <w:pPr>
        <w:ind w:left="660" w:hanging="253"/>
        <w:spacing w:after="0" w:line="286"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Mibanco</w:t>
      </w:r>
      <w:r>
        <w:rPr>
          <w:rFonts w:ascii="Arial" w:cs="Arial" w:eastAsia="Arial" w:hAnsi="Arial"/>
          <w:sz w:val="14"/>
          <w:szCs w:val="14"/>
          <w:color w:val="auto"/>
        </w:rPr>
        <w:t>: where an uptick in disbursements generated through leads with better risk profiles generate a positive effect. Additionally, 1Q21 was impacted by an uptick</w:t>
      </w:r>
      <w:r>
        <w:rPr>
          <w:rFonts w:ascii="Arial" w:cs="Arial" w:eastAsia="Arial" w:hAnsi="Arial"/>
          <w:sz w:val="14"/>
          <w:szCs w:val="14"/>
          <w:b w:val="1"/>
          <w:bCs w:val="1"/>
          <w:color w:val="auto"/>
        </w:rPr>
        <w:t xml:space="preserve"> </w:t>
      </w:r>
      <w:r>
        <w:rPr>
          <w:rFonts w:ascii="Arial" w:cs="Arial" w:eastAsia="Arial" w:hAnsi="Arial"/>
          <w:sz w:val="14"/>
          <w:szCs w:val="14"/>
          <w:color w:val="auto"/>
        </w:rPr>
        <w:t>in grace periods and an increase in requests for reprogramming;</w:t>
      </w:r>
    </w:p>
    <w:p>
      <w:pPr>
        <w:spacing w:after="0" w:line="136" w:lineRule="exact"/>
        <w:rPr>
          <w:rFonts w:ascii="Arial" w:cs="Arial" w:eastAsia="Arial" w:hAnsi="Arial"/>
          <w:sz w:val="14"/>
          <w:szCs w:val="14"/>
          <w:color w:val="auto"/>
        </w:rPr>
      </w:pPr>
    </w:p>
    <w:p>
      <w:pPr>
        <w:ind w:left="660" w:hanging="253"/>
        <w:spacing w:after="0" w:line="286"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 xml:space="preserve">Individuals: </w:t>
      </w:r>
      <w:r>
        <w:rPr>
          <w:rFonts w:ascii="Arial" w:cs="Arial" w:eastAsia="Arial" w:hAnsi="Arial"/>
          <w:sz w:val="14"/>
          <w:szCs w:val="14"/>
          <w:color w:val="auto"/>
        </w:rPr>
        <w:t>where improvements were reported in payment behavior after individuals registered higher liquidity following fund releases from AFPs (Pension Fund</w:t>
      </w:r>
      <w:r>
        <w:rPr>
          <w:rFonts w:ascii="Arial" w:cs="Arial" w:eastAsia="Arial" w:hAnsi="Arial"/>
          <w:sz w:val="14"/>
          <w:szCs w:val="14"/>
          <w:b w:val="1"/>
          <w:bCs w:val="1"/>
          <w:color w:val="auto"/>
        </w:rPr>
        <w:t xml:space="preserve"> </w:t>
      </w:r>
      <w:r>
        <w:rPr>
          <w:rFonts w:ascii="Arial" w:cs="Arial" w:eastAsia="Arial" w:hAnsi="Arial"/>
          <w:sz w:val="14"/>
          <w:szCs w:val="14"/>
          <w:color w:val="auto"/>
        </w:rPr>
        <w:t>Association) and CTS (Severance Indemnity) and fewer requests were registered for refinancing; and</w:t>
      </w:r>
    </w:p>
    <w:p>
      <w:pPr>
        <w:spacing w:after="0" w:line="49" w:lineRule="exact"/>
        <w:rPr>
          <w:rFonts w:ascii="Arial" w:cs="Arial" w:eastAsia="Arial" w:hAnsi="Arial"/>
          <w:sz w:val="14"/>
          <w:szCs w:val="14"/>
          <w:color w:val="auto"/>
        </w:rPr>
      </w:pPr>
    </w:p>
    <w:p>
      <w:pPr>
        <w:ind w:left="660" w:hanging="253"/>
        <w:spacing w:after="0" w:line="286"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BCP Bolivia</w:t>
      </w:r>
      <w:r>
        <w:rPr>
          <w:rFonts w:ascii="Arial" w:cs="Arial" w:eastAsia="Arial" w:hAnsi="Arial"/>
          <w:sz w:val="14"/>
          <w:szCs w:val="14"/>
          <w:color w:val="auto"/>
        </w:rPr>
        <w:t>: where the reduction was attributable to good payment behavior, which was in line with better-than-expected economic recovery and a mix of lower-risk</w:t>
      </w:r>
      <w:r>
        <w:rPr>
          <w:rFonts w:ascii="Arial" w:cs="Arial" w:eastAsia="Arial" w:hAnsi="Arial"/>
          <w:sz w:val="14"/>
          <w:szCs w:val="14"/>
          <w:b w:val="1"/>
          <w:bCs w:val="1"/>
          <w:color w:val="auto"/>
        </w:rPr>
        <w:t xml:space="preserve"> </w:t>
      </w:r>
      <w:r>
        <w:rPr>
          <w:rFonts w:ascii="Arial" w:cs="Arial" w:eastAsia="Arial" w:hAnsi="Arial"/>
          <w:sz w:val="14"/>
          <w:szCs w:val="14"/>
          <w:color w:val="auto"/>
        </w:rPr>
        <w:t>loans. Additionally, 1Q21 reported extraordinary levels for massive reprogramming after a Bolivian government decree.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Structural Write-offs by Subsidiary (in Quarter-end Balances – S/ thousands)</w:t>
      </w:r>
    </w:p>
    <w:p>
      <w:pPr>
        <w:spacing w:after="0" w:line="209"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Credicorp’s Write-offs show a clear downward trend, mainly due to the cleanup of the NPL portfolio since 2021, reaching pre-pandemic levels at the end of 1Q22. The latter was related to uncollectible Loans, whose clients were impacted by the pandemic.</w:t>
      </w:r>
    </w:p>
    <w:p>
      <w:pPr>
        <w:spacing w:after="0" w:line="119" w:lineRule="exact"/>
        <w:rPr>
          <w:sz w:val="20"/>
          <w:szCs w:val="20"/>
          <w:color w:val="auto"/>
        </w:rPr>
      </w:pPr>
    </w:p>
    <w:p>
      <w:pPr>
        <w:jc w:val="both"/>
        <w:ind w:right="5880"/>
        <w:spacing w:after="0" w:line="277" w:lineRule="auto"/>
        <w:rPr>
          <w:sz w:val="20"/>
          <w:szCs w:val="20"/>
          <w:color w:val="auto"/>
        </w:rPr>
      </w:pPr>
      <w:r>
        <w:rPr>
          <w:rFonts w:ascii="Times New Roman" w:cs="Times New Roman" w:eastAsia="Times New Roman" w:hAnsi="Times New Roman"/>
          <w:sz w:val="14"/>
          <w:szCs w:val="14"/>
          <w:color w:val="auto"/>
        </w:rPr>
        <w:t>QoQ, the drop is due to Mibanco, driven by a decrease in Refinanced Loans. YoY, the contraction was mainly driven by BCP Stand-alone attributable to Peruvian regulatory requirements, which dictated that clients could not be classified as a situation of loss (due to days delinquent) – and its subsequent progression to Write-offs – during half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-462280</wp:posOffset>
            </wp:positionV>
            <wp:extent cx="2434590" cy="1183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34590" cy="118300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Coverage Ratio of the Structural NPL Ratio by Segment</w:t>
      </w:r>
    </w:p>
    <w:p>
      <w:pPr>
        <w:spacing w:after="0" w:line="188" w:lineRule="exact"/>
        <w:rPr>
          <w:sz w:val="20"/>
          <w:szCs w:val="20"/>
          <w:color w:val="auto"/>
        </w:rPr>
      </w:pPr>
    </w:p>
    <w:p>
      <w:pPr>
        <w:jc w:val="both"/>
        <w:ind w:right="5860"/>
        <w:spacing w:after="0" w:line="272" w:lineRule="auto"/>
        <w:rPr>
          <w:sz w:val="20"/>
          <w:szCs w:val="20"/>
          <w:color w:val="auto"/>
        </w:rPr>
      </w:pPr>
      <w:r>
        <w:rPr>
          <w:rFonts w:ascii="Times New Roman" w:cs="Times New Roman" w:eastAsia="Times New Roman" w:hAnsi="Times New Roman"/>
          <w:sz w:val="14"/>
          <w:szCs w:val="14"/>
          <w:color w:val="auto"/>
        </w:rPr>
        <w:t>QoQ, the reduction in Credicorp’s Coverage ratio was attributable to an increase in NPL loans (+4.5%), which was primarily driven by BCP Stand-alone and BCP Bolivia. The decrease in Allowance balances (-2.6%) at BCP Stand-alone complemented the reduction in the ratio, which continued to stand slightly above pre-pandemic levels.</w:t>
      </w:r>
    </w:p>
    <w:p>
      <w:pPr>
        <w:spacing w:after="0" w:line="137" w:lineRule="exact"/>
        <w:rPr>
          <w:sz w:val="20"/>
          <w:szCs w:val="20"/>
          <w:color w:val="auto"/>
        </w:rPr>
      </w:pPr>
    </w:p>
    <w:p>
      <w:pPr>
        <w:jc w:val="both"/>
        <w:ind w:right="5860"/>
        <w:spacing w:after="0" w:line="272" w:lineRule="auto"/>
        <w:rPr>
          <w:sz w:val="20"/>
          <w:szCs w:val="20"/>
          <w:color w:val="auto"/>
        </w:rPr>
      </w:pPr>
      <w:r>
        <w:rPr>
          <w:rFonts w:ascii="Times New Roman" w:cs="Times New Roman" w:eastAsia="Times New Roman" w:hAnsi="Times New Roman"/>
          <w:sz w:val="14"/>
          <w:szCs w:val="14"/>
          <w:color w:val="auto"/>
        </w:rPr>
        <w:t>YoY, the downward trend continued to an increase in Allowance balances; this was in line with a better-than-expected uptick in payment behavior, which outpaced the reduction in NPL loans. The conservative levels of Provisions stock reported from 1Q21, which reflected high levels of uncertainty in the throes of the pandemic, influenced the base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-446405</wp:posOffset>
            </wp:positionV>
            <wp:extent cx="2785110" cy="1478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85110" cy="1478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NPL loans in the Government Program Portfolio (in Quarter-end Balances – S/ thousands)</w:t>
      </w:r>
    </w:p>
    <w:p>
      <w:pPr>
        <w:spacing w:after="0" w:line="170"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At the end of March 2022, NPL loans in the GP portfolio deteriorated slightly, which was attributable to an uptick in expirations at Mibanco. SME-Pyme registered a decrease in NPL loans due to an improvement in collections and honoring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-345440</wp:posOffset>
            </wp:positionV>
            <wp:extent cx="2510155" cy="13341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10155" cy="1334135"/>
                    </a:xfrm>
                    <a:prstGeom prst="rect">
                      <a:avLst/>
                    </a:prstGeom>
                    <a:noFill/>
                  </pic:spPr>
                </pic:pic>
              </a:graphicData>
            </a:graphic>
          </wp:anchor>
        </w:drawing>
      </w:r>
    </w:p>
    <w:p>
      <w:pPr>
        <w:spacing w:after="0" w:line="135"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For loans that are more than 90 days expired, honoring processes are being executed through state-backed guarantees. Average guarantees stand at 84%, 91% and 98% for Wholesale Banking, Retail Banking and Mibanco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Finally, the reprogrammed portfolio represented 42% of total GP loans at the end of the quarter (vs 38% in December 2021), due to pending loan reprogramming. Most of the reprogrammed portfolio expirations will be reflected in 2Q22.</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 Quality (in Quarter-end Balances)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476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Portfolio quality and Delinquency ratios</w:t>
            </w:r>
          </w:p>
        </w:tc>
        <w:tc>
          <w:tcPr>
            <w:tcW w:w="1560" w:type="dxa"/>
            <w:vAlign w:val="bottom"/>
            <w:tcBorders>
              <w:top w:val="single" w:sz="8" w:color="auto"/>
            </w:tcBorders>
            <w:shd w:val="clear" w:color="auto" w:fill="2AD2C9"/>
          </w:tcPr>
          <w:p>
            <w:pPr>
              <w:spacing w:after="0"/>
              <w:rPr>
                <w:sz w:val="13"/>
                <w:szCs w:val="13"/>
                <w:color w:val="auto"/>
              </w:rPr>
            </w:pPr>
          </w:p>
        </w:tc>
        <w:tc>
          <w:tcPr>
            <w:tcW w:w="1380" w:type="dxa"/>
            <w:vAlign w:val="bottom"/>
            <w:tcBorders>
              <w:top w:val="single" w:sz="8" w:color="auto"/>
            </w:tcBorders>
            <w:vMerge w:val="restart"/>
            <w:shd w:val="clear" w:color="auto" w:fill="2AD2C9"/>
          </w:tcPr>
          <w:p>
            <w:pPr>
              <w:jc w:val="right"/>
              <w:ind w:right="668"/>
              <w:spacing w:after="0"/>
              <w:rPr>
                <w:sz w:val="20"/>
                <w:szCs w:val="20"/>
                <w:color w:val="auto"/>
              </w:rPr>
            </w:pPr>
            <w:r>
              <w:rPr>
                <w:rFonts w:ascii="Arial" w:cs="Arial" w:eastAsia="Arial" w:hAnsi="Arial"/>
                <w:sz w:val="14"/>
                <w:szCs w:val="14"/>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3"/>
                <w:szCs w:val="13"/>
                <w:color w:val="auto"/>
              </w:rPr>
            </w:pPr>
          </w:p>
        </w:tc>
        <w:tc>
          <w:tcPr>
            <w:tcW w:w="1620" w:type="dxa"/>
            <w:vAlign w:val="bottom"/>
            <w:tcBorders>
              <w:top w:val="single" w:sz="8" w:color="auto"/>
            </w:tcBorders>
            <w:vMerge w:val="restart"/>
            <w:shd w:val="clear" w:color="auto" w:fill="2AD2C9"/>
          </w:tcPr>
          <w:p>
            <w:pPr>
              <w:jc w:val="right"/>
              <w:ind w:right="8"/>
              <w:spacing w:after="0"/>
              <w:rPr>
                <w:sz w:val="20"/>
                <w:szCs w:val="20"/>
                <w:color w:val="auto"/>
              </w:rPr>
            </w:pPr>
            <w:r>
              <w:rPr>
                <w:rFonts w:ascii="Arial" w:cs="Arial" w:eastAsia="Arial" w:hAnsi="Arial"/>
                <w:sz w:val="14"/>
                <w:szCs w:val="14"/>
                <w:b w:val="1"/>
                <w:bCs w:val="1"/>
                <w:color w:val="FFFFFF"/>
              </w:rPr>
              <w:t>% change</w:t>
            </w:r>
          </w:p>
        </w:tc>
        <w:tc>
          <w:tcPr>
            <w:tcW w:w="840" w:type="dxa"/>
            <w:vAlign w:val="bottom"/>
            <w:tcBorders>
              <w:top w:val="single" w:sz="8" w:color="auto"/>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76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560" w:type="dxa"/>
            <w:vAlign w:val="bottom"/>
            <w:shd w:val="clear" w:color="auto" w:fill="2AD2C9"/>
          </w:tcPr>
          <w:p>
            <w:pPr>
              <w:spacing w:after="0"/>
              <w:rPr>
                <w:sz w:val="9"/>
                <w:szCs w:val="9"/>
                <w:color w:val="auto"/>
              </w:rPr>
            </w:pPr>
          </w:p>
        </w:tc>
        <w:tc>
          <w:tcPr>
            <w:tcW w:w="1380" w:type="dxa"/>
            <w:vAlign w:val="bottom"/>
            <w:vMerge w:val="continue"/>
            <w:shd w:val="clear" w:color="auto" w:fill="2AD2C9"/>
          </w:tcPr>
          <w:p>
            <w:pPr>
              <w:spacing w:after="0"/>
              <w:rPr>
                <w:sz w:val="9"/>
                <w:szCs w:val="9"/>
                <w:color w:val="auto"/>
              </w:rPr>
            </w:pPr>
          </w:p>
        </w:tc>
        <w:tc>
          <w:tcPr>
            <w:tcW w:w="1140" w:type="dxa"/>
            <w:vAlign w:val="bottom"/>
            <w:tcBorders>
              <w:right w:val="single" w:sz="8" w:color="auto"/>
            </w:tcBorders>
            <w:shd w:val="clear" w:color="auto" w:fill="2AD2C9"/>
          </w:tcPr>
          <w:p>
            <w:pPr>
              <w:spacing w:after="0"/>
              <w:rPr>
                <w:sz w:val="9"/>
                <w:szCs w:val="9"/>
                <w:color w:val="auto"/>
              </w:rPr>
            </w:pPr>
          </w:p>
        </w:tc>
        <w:tc>
          <w:tcPr>
            <w:tcW w:w="1620" w:type="dxa"/>
            <w:vAlign w:val="bottom"/>
            <w:vMerge w:val="continue"/>
            <w:shd w:val="clear" w:color="auto" w:fill="2AD2C9"/>
          </w:tcPr>
          <w:p>
            <w:pPr>
              <w:spacing w:after="0"/>
              <w:rPr>
                <w:sz w:val="9"/>
                <w:szCs w:val="9"/>
                <w:color w:val="auto"/>
              </w:rPr>
            </w:pPr>
          </w:p>
        </w:tc>
        <w:tc>
          <w:tcPr>
            <w:tcW w:w="84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4760" w:type="dxa"/>
            <w:vAlign w:val="bottom"/>
            <w:tcBorders>
              <w:left w:val="single" w:sz="8" w:color="auto"/>
              <w:bottom w:val="single" w:sz="8" w:color="auto"/>
              <w:right w:val="single" w:sz="8" w:color="auto"/>
            </w:tcBorders>
            <w:vMerge w:val="continue"/>
            <w:shd w:val="clear" w:color="auto" w:fill="2AD2C9"/>
          </w:tcPr>
          <w:p>
            <w:pPr>
              <w:spacing w:after="0"/>
              <w:rPr>
                <w:sz w:val="5"/>
                <w:szCs w:val="5"/>
                <w:color w:val="auto"/>
              </w:rPr>
            </w:pPr>
          </w:p>
        </w:tc>
        <w:tc>
          <w:tcPr>
            <w:tcW w:w="1560" w:type="dxa"/>
            <w:vAlign w:val="bottom"/>
            <w:tcBorders>
              <w:bottom w:val="single" w:sz="8" w:color="auto"/>
            </w:tcBorders>
            <w:shd w:val="clear" w:color="auto" w:fill="2AD2C9"/>
          </w:tcPr>
          <w:p>
            <w:pPr>
              <w:spacing w:after="0"/>
              <w:rPr>
                <w:sz w:val="5"/>
                <w:szCs w:val="5"/>
                <w:color w:val="auto"/>
              </w:rPr>
            </w:pPr>
          </w:p>
        </w:tc>
        <w:tc>
          <w:tcPr>
            <w:tcW w:w="1380" w:type="dxa"/>
            <w:vAlign w:val="bottom"/>
            <w:tcBorders>
              <w:bottom w:val="single" w:sz="8" w:color="auto"/>
            </w:tcBorders>
            <w:shd w:val="clear" w:color="auto" w:fill="2AD2C9"/>
          </w:tcPr>
          <w:p>
            <w:pPr>
              <w:spacing w:after="0"/>
              <w:rPr>
                <w:sz w:val="5"/>
                <w:szCs w:val="5"/>
                <w:color w:val="auto"/>
              </w:rPr>
            </w:pPr>
          </w:p>
        </w:tc>
        <w:tc>
          <w:tcPr>
            <w:tcW w:w="1140" w:type="dxa"/>
            <w:vAlign w:val="bottom"/>
            <w:tcBorders>
              <w:bottom w:val="single" w:sz="8" w:color="auto"/>
              <w:right w:val="single" w:sz="8" w:color="auto"/>
            </w:tcBorders>
            <w:shd w:val="clear" w:color="auto" w:fill="2AD2C9"/>
          </w:tcPr>
          <w:p>
            <w:pPr>
              <w:spacing w:after="0"/>
              <w:rPr>
                <w:sz w:val="5"/>
                <w:szCs w:val="5"/>
                <w:color w:val="auto"/>
              </w:rPr>
            </w:pPr>
          </w:p>
        </w:tc>
        <w:tc>
          <w:tcPr>
            <w:tcW w:w="1620" w:type="dxa"/>
            <w:vAlign w:val="bottom"/>
            <w:tcBorders>
              <w:bottom w:val="single" w:sz="8" w:color="auto"/>
            </w:tcBorders>
            <w:shd w:val="clear" w:color="auto" w:fill="2AD2C9"/>
          </w:tcPr>
          <w:p>
            <w:pPr>
              <w:spacing w:after="0"/>
              <w:rPr>
                <w:sz w:val="5"/>
                <w:szCs w:val="5"/>
                <w:color w:val="auto"/>
              </w:rPr>
            </w:pPr>
          </w:p>
        </w:tc>
        <w:tc>
          <w:tcPr>
            <w:tcW w:w="840" w:type="dxa"/>
            <w:vAlign w:val="bottom"/>
            <w:tcBorders>
              <w:bottom w:val="single" w:sz="8" w:color="auto"/>
              <w:right w:val="single" w:sz="8" w:color="auto"/>
            </w:tcBorders>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760" w:type="dxa"/>
            <w:vAlign w:val="bottom"/>
            <w:tcBorders>
              <w:left w:val="single" w:sz="8" w:color="auto"/>
              <w:right w:val="single" w:sz="8" w:color="auto"/>
            </w:tcBorders>
            <w:shd w:val="clear" w:color="auto" w:fill="2AD2C9"/>
          </w:tcPr>
          <w:p>
            <w:pPr>
              <w:spacing w:after="0"/>
              <w:rPr>
                <w:sz w:val="13"/>
                <w:szCs w:val="13"/>
                <w:color w:val="auto"/>
              </w:rPr>
            </w:pPr>
          </w:p>
        </w:tc>
        <w:tc>
          <w:tcPr>
            <w:tcW w:w="1560" w:type="dxa"/>
            <w:vAlign w:val="bottom"/>
            <w:shd w:val="clear" w:color="auto" w:fill="2AD2C9"/>
          </w:tcPr>
          <w:p>
            <w:pPr>
              <w:jc w:val="right"/>
              <w:ind w:right="588"/>
              <w:spacing w:after="0" w:line="153" w:lineRule="exact"/>
              <w:rPr>
                <w:sz w:val="20"/>
                <w:szCs w:val="20"/>
                <w:color w:val="auto"/>
              </w:rPr>
            </w:pPr>
            <w:r>
              <w:rPr>
                <w:rFonts w:ascii="Arial" w:cs="Arial" w:eastAsia="Arial" w:hAnsi="Arial"/>
                <w:sz w:val="14"/>
                <w:szCs w:val="14"/>
                <w:b w:val="1"/>
                <w:bCs w:val="1"/>
                <w:color w:val="FFFFFF"/>
              </w:rPr>
              <w:t>Mar 21</w:t>
            </w:r>
          </w:p>
        </w:tc>
        <w:tc>
          <w:tcPr>
            <w:tcW w:w="1380" w:type="dxa"/>
            <w:vAlign w:val="bottom"/>
            <w:shd w:val="clear" w:color="auto" w:fill="2AD2C9"/>
          </w:tcPr>
          <w:p>
            <w:pPr>
              <w:jc w:val="right"/>
              <w:ind w:right="608"/>
              <w:spacing w:after="0" w:line="153" w:lineRule="exact"/>
              <w:rPr>
                <w:sz w:val="20"/>
                <w:szCs w:val="20"/>
                <w:color w:val="auto"/>
              </w:rPr>
            </w:pPr>
            <w:r>
              <w:rPr>
                <w:rFonts w:ascii="Arial" w:cs="Arial" w:eastAsia="Arial" w:hAnsi="Arial"/>
                <w:sz w:val="14"/>
                <w:szCs w:val="14"/>
                <w:b w:val="1"/>
                <w:bCs w:val="1"/>
                <w:color w:val="FFFFFF"/>
              </w:rPr>
              <w:t>Dec 21</w:t>
            </w:r>
          </w:p>
        </w:tc>
        <w:tc>
          <w:tcPr>
            <w:tcW w:w="1140" w:type="dxa"/>
            <w:vAlign w:val="bottom"/>
            <w:tcBorders>
              <w:right w:val="single" w:sz="8" w:color="auto"/>
            </w:tcBorders>
            <w:shd w:val="clear" w:color="auto" w:fill="2AD2C9"/>
          </w:tcPr>
          <w:p>
            <w:pPr>
              <w:jc w:val="right"/>
              <w:ind w:right="388"/>
              <w:spacing w:after="0" w:line="153" w:lineRule="exact"/>
              <w:rPr>
                <w:sz w:val="20"/>
                <w:szCs w:val="20"/>
                <w:color w:val="auto"/>
              </w:rPr>
            </w:pPr>
            <w:r>
              <w:rPr>
                <w:rFonts w:ascii="Arial" w:cs="Arial" w:eastAsia="Arial" w:hAnsi="Arial"/>
                <w:sz w:val="14"/>
                <w:szCs w:val="14"/>
                <w:b w:val="1"/>
                <w:bCs w:val="1"/>
                <w:color w:val="FFFFFF"/>
              </w:rPr>
              <w:t>Mar 22</w:t>
            </w:r>
          </w:p>
        </w:tc>
        <w:tc>
          <w:tcPr>
            <w:tcW w:w="1620" w:type="dxa"/>
            <w:vAlign w:val="bottom"/>
            <w:shd w:val="clear" w:color="auto" w:fill="2AD2C9"/>
          </w:tcPr>
          <w:p>
            <w:pPr>
              <w:jc w:val="right"/>
              <w:ind w:right="788"/>
              <w:spacing w:after="0" w:line="153" w:lineRule="exact"/>
              <w:rPr>
                <w:sz w:val="20"/>
                <w:szCs w:val="20"/>
                <w:color w:val="auto"/>
              </w:rPr>
            </w:pPr>
            <w:r>
              <w:rPr>
                <w:rFonts w:ascii="Arial" w:cs="Arial" w:eastAsia="Arial" w:hAnsi="Arial"/>
                <w:sz w:val="14"/>
                <w:szCs w:val="14"/>
                <w:b w:val="1"/>
                <w:bCs w:val="1"/>
                <w:color w:val="FFFFFF"/>
              </w:rPr>
              <w:t>QoQ</w:t>
            </w:r>
          </w:p>
        </w:tc>
        <w:tc>
          <w:tcPr>
            <w:tcW w:w="840" w:type="dxa"/>
            <w:vAlign w:val="bottom"/>
            <w:tcBorders>
              <w:right w:val="single" w:sz="8" w:color="auto"/>
            </w:tcBorders>
            <w:shd w:val="clear" w:color="auto" w:fill="2AD2C9"/>
          </w:tcPr>
          <w:p>
            <w:pPr>
              <w:jc w:val="right"/>
              <w:ind w:right="428"/>
              <w:spacing w:after="0" w:line="153" w:lineRule="exact"/>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loans (Quarter-end balance)</w:t>
            </w: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137,031,239</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147,597,412</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144,621,513</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53"/>
        </w:trPr>
        <w:tc>
          <w:tcPr>
            <w:tcW w:w="476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Allowance for loan losses</w:t>
            </w:r>
          </w:p>
        </w:tc>
        <w:tc>
          <w:tcPr>
            <w:tcW w:w="156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color w:val="auto"/>
              </w:rPr>
              <w:t>9,744,298</w:t>
            </w:r>
          </w:p>
        </w:tc>
        <w:tc>
          <w:tcPr>
            <w:tcW w:w="138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rPr>
              <w:t>8,477,308</w:t>
            </w:r>
          </w:p>
        </w:tc>
        <w:tc>
          <w:tcPr>
            <w:tcW w:w="11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8,262,383</w:t>
            </w:r>
          </w:p>
        </w:tc>
        <w:tc>
          <w:tcPr>
            <w:tcW w:w="1620" w:type="dxa"/>
            <w:vAlign w:val="bottom"/>
            <w:tcBorders>
              <w:bottom w:val="single" w:sz="8" w:color="auto"/>
            </w:tcBorders>
          </w:tcPr>
          <w:p>
            <w:pPr>
              <w:jc w:val="right"/>
              <w:ind w:right="348"/>
              <w:spacing w:after="0" w:line="153" w:lineRule="exact"/>
              <w:rPr>
                <w:sz w:val="20"/>
                <w:szCs w:val="20"/>
                <w:color w:val="auto"/>
              </w:rPr>
            </w:pPr>
            <w:r>
              <w:rPr>
                <w:rFonts w:ascii="Arial" w:cs="Arial" w:eastAsia="Arial" w:hAnsi="Arial"/>
                <w:sz w:val="14"/>
                <w:szCs w:val="14"/>
                <w:color w:val="auto"/>
              </w:rPr>
              <w:t>-2.5%</w:t>
            </w:r>
          </w:p>
        </w:tc>
        <w:tc>
          <w:tcPr>
            <w:tcW w:w="8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3"/>
        </w:trPr>
        <w:tc>
          <w:tcPr>
            <w:tcW w:w="476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Write-offs</w:t>
            </w:r>
          </w:p>
        </w:tc>
        <w:tc>
          <w:tcPr>
            <w:tcW w:w="156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color w:val="auto"/>
              </w:rPr>
              <w:t>767,136</w:t>
            </w:r>
          </w:p>
        </w:tc>
        <w:tc>
          <w:tcPr>
            <w:tcW w:w="138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color w:val="auto"/>
              </w:rPr>
              <w:t>683,181</w:t>
            </w:r>
          </w:p>
        </w:tc>
        <w:tc>
          <w:tcPr>
            <w:tcW w:w="11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378,093</w:t>
            </w:r>
          </w:p>
        </w:tc>
        <w:tc>
          <w:tcPr>
            <w:tcW w:w="1620" w:type="dxa"/>
            <w:vAlign w:val="bottom"/>
            <w:tcBorders>
              <w:bottom w:val="single" w:sz="8" w:color="auto"/>
            </w:tcBorders>
          </w:tcPr>
          <w:p>
            <w:pPr>
              <w:jc w:val="right"/>
              <w:ind w:right="348"/>
              <w:spacing w:after="0" w:line="153" w:lineRule="exact"/>
              <w:rPr>
                <w:sz w:val="20"/>
                <w:szCs w:val="20"/>
                <w:color w:val="auto"/>
              </w:rPr>
            </w:pPr>
            <w:r>
              <w:rPr>
                <w:rFonts w:ascii="Arial" w:cs="Arial" w:eastAsia="Arial" w:hAnsi="Arial"/>
                <w:sz w:val="14"/>
                <w:szCs w:val="14"/>
                <w:color w:val="auto"/>
              </w:rPr>
              <w:t>-44.7%</w:t>
            </w:r>
          </w:p>
        </w:tc>
        <w:tc>
          <w:tcPr>
            <w:tcW w:w="8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30"/>
        </w:trPr>
        <w:tc>
          <w:tcPr>
            <w:tcW w:w="476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0"/>
                <w:szCs w:val="10"/>
                <w:color w:val="auto"/>
              </w:rPr>
              <w:t xml:space="preserve">Internal overdue loans (IOLs) </w:t>
            </w:r>
            <w:r>
              <w:rPr>
                <w:rFonts w:ascii="Arial" w:cs="Arial" w:eastAsia="Arial" w:hAnsi="Arial"/>
                <w:sz w:val="15"/>
                <w:szCs w:val="15"/>
                <w:color w:val="auto"/>
                <w:vertAlign w:val="superscript"/>
              </w:rPr>
              <w:t>(1)(2)</w:t>
            </w:r>
          </w:p>
        </w:tc>
        <w:tc>
          <w:tcPr>
            <w:tcW w:w="156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4,868,483</w:t>
            </w:r>
          </w:p>
        </w:tc>
        <w:tc>
          <w:tcPr>
            <w:tcW w:w="1380" w:type="dxa"/>
            <w:vAlign w:val="bottom"/>
          </w:tcPr>
          <w:p>
            <w:pPr>
              <w:jc w:val="right"/>
              <w:ind w:right="168"/>
              <w:spacing w:after="0" w:line="130" w:lineRule="exact"/>
              <w:rPr>
                <w:sz w:val="20"/>
                <w:szCs w:val="20"/>
                <w:color w:val="auto"/>
              </w:rPr>
            </w:pPr>
            <w:r>
              <w:rPr>
                <w:rFonts w:ascii="Arial" w:cs="Arial" w:eastAsia="Arial" w:hAnsi="Arial"/>
                <w:sz w:val="14"/>
                <w:szCs w:val="14"/>
                <w:color w:val="auto"/>
              </w:rPr>
              <w:t>5,551,258</w:t>
            </w:r>
          </w:p>
        </w:tc>
        <w:tc>
          <w:tcPr>
            <w:tcW w:w="114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rPr>
              <w:t>5,872,999</w:t>
            </w:r>
          </w:p>
        </w:tc>
        <w:tc>
          <w:tcPr>
            <w:tcW w:w="1620" w:type="dxa"/>
            <w:vAlign w:val="bottom"/>
          </w:tcPr>
          <w:p>
            <w:pPr>
              <w:jc w:val="right"/>
              <w:ind w:right="348"/>
              <w:spacing w:after="0" w:line="130" w:lineRule="exact"/>
              <w:rPr>
                <w:sz w:val="20"/>
                <w:szCs w:val="20"/>
                <w:color w:val="auto"/>
              </w:rPr>
            </w:pPr>
            <w:r>
              <w:rPr>
                <w:rFonts w:ascii="Arial" w:cs="Arial" w:eastAsia="Arial" w:hAnsi="Arial"/>
                <w:sz w:val="14"/>
                <w:szCs w:val="14"/>
                <w:color w:val="auto"/>
              </w:rPr>
              <w:t>5.8%</w:t>
            </w:r>
          </w:p>
        </w:tc>
        <w:tc>
          <w:tcPr>
            <w:tcW w:w="84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Internal overdue loans over 90-days </w:t>
            </w:r>
            <w:r>
              <w:rPr>
                <w:rFonts w:ascii="Arial" w:cs="Arial" w:eastAsia="Arial" w:hAnsi="Arial"/>
                <w:sz w:val="18"/>
                <w:szCs w:val="18"/>
                <w:color w:val="auto"/>
                <w:vertAlign w:val="superscript"/>
              </w:rPr>
              <w:t>(1)</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3,789,286</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4,203,671</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4,424,384</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5.3%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Refinanced loans </w:t>
            </w:r>
            <w:r>
              <w:rPr>
                <w:rFonts w:ascii="Arial" w:cs="Arial" w:eastAsia="Arial" w:hAnsi="Arial"/>
                <w:sz w:val="18"/>
                <w:szCs w:val="18"/>
                <w:color w:val="auto"/>
                <w:vertAlign w:val="superscript"/>
              </w:rPr>
              <w:t>(2)</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1,951,855</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1,799,541</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1,714,074</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-4.7%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6"/>
        </w:trPr>
        <w:tc>
          <w:tcPr>
            <w:tcW w:w="476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Non-performing loans (NPLs) </w:t>
            </w:r>
            <w:r>
              <w:rPr>
                <w:rFonts w:ascii="Arial" w:cs="Arial" w:eastAsia="Arial" w:hAnsi="Arial"/>
                <w:sz w:val="21"/>
                <w:szCs w:val="21"/>
                <w:color w:val="auto"/>
                <w:vertAlign w:val="superscript"/>
              </w:rPr>
              <w:t>(3)</w:t>
            </w: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6,820,338</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7,350,799</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7,587,073</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3.2%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9"/>
        </w:trPr>
        <w:tc>
          <w:tcPr>
            <w:tcW w:w="476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IOL ratio</w:t>
            </w:r>
          </w:p>
        </w:tc>
        <w:tc>
          <w:tcPr>
            <w:tcW w:w="1560" w:type="dxa"/>
            <w:vAlign w:val="bottom"/>
          </w:tcPr>
          <w:p>
            <w:pPr>
              <w:jc w:val="right"/>
              <w:ind w:right="148"/>
              <w:spacing w:after="0" w:line="139" w:lineRule="exact"/>
              <w:rPr>
                <w:sz w:val="20"/>
                <w:szCs w:val="20"/>
                <w:color w:val="auto"/>
              </w:rPr>
            </w:pPr>
            <w:r>
              <w:rPr>
                <w:rFonts w:ascii="Arial" w:cs="Arial" w:eastAsia="Arial" w:hAnsi="Arial"/>
                <w:sz w:val="14"/>
                <w:szCs w:val="14"/>
                <w:b w:val="1"/>
                <w:bCs w:val="1"/>
                <w:color w:val="auto"/>
              </w:rPr>
              <w:t>3.55%</w:t>
            </w:r>
          </w:p>
        </w:tc>
        <w:tc>
          <w:tcPr>
            <w:tcW w:w="138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3.76%</w:t>
            </w:r>
          </w:p>
        </w:tc>
        <w:tc>
          <w:tcPr>
            <w:tcW w:w="114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rPr>
              <w:t>4.06%</w:t>
            </w:r>
          </w:p>
        </w:tc>
        <w:tc>
          <w:tcPr>
            <w:tcW w:w="1620" w:type="dxa"/>
            <w:vAlign w:val="bottom"/>
          </w:tcPr>
          <w:p>
            <w:pPr>
              <w:jc w:val="right"/>
              <w:ind w:right="348"/>
              <w:spacing w:after="0" w:line="139" w:lineRule="exact"/>
              <w:rPr>
                <w:sz w:val="20"/>
                <w:szCs w:val="20"/>
                <w:color w:val="auto"/>
              </w:rPr>
            </w:pPr>
            <w:r>
              <w:rPr>
                <w:rFonts w:ascii="Arial" w:cs="Arial" w:eastAsia="Arial" w:hAnsi="Arial"/>
                <w:sz w:val="14"/>
                <w:szCs w:val="14"/>
                <w:color w:val="auto"/>
              </w:rPr>
              <w:t>30 pbs</w:t>
            </w:r>
          </w:p>
        </w:tc>
        <w:tc>
          <w:tcPr>
            <w:tcW w:w="84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51 pbs</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IOL over 90-days ratio</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auto"/>
              </w:rPr>
              <w:t>2.77%</w:t>
            </w:r>
          </w:p>
        </w:tc>
        <w:tc>
          <w:tcPr>
            <w:tcW w:w="1380" w:type="dxa"/>
            <w:vAlign w:val="bottom"/>
          </w:tcPr>
          <w:p>
            <w:pPr>
              <w:jc w:val="right"/>
              <w:ind w:right="168"/>
              <w:spacing w:after="0"/>
              <w:rPr>
                <w:sz w:val="20"/>
                <w:szCs w:val="20"/>
                <w:color w:val="auto"/>
              </w:rPr>
            </w:pPr>
            <w:r>
              <w:rPr>
                <w:rFonts w:ascii="Arial" w:cs="Arial" w:eastAsia="Arial" w:hAnsi="Arial"/>
                <w:sz w:val="14"/>
                <w:szCs w:val="14"/>
                <w:b w:val="1"/>
                <w:bCs w:val="1"/>
                <w:color w:val="auto"/>
              </w:rPr>
              <w:t>2.85%</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3.06%</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21 pbs</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 pbs</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NPL ratio</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auto"/>
              </w:rPr>
              <w:t>4.98%</w:t>
            </w:r>
          </w:p>
        </w:tc>
        <w:tc>
          <w:tcPr>
            <w:tcW w:w="1380" w:type="dxa"/>
            <w:vAlign w:val="bottom"/>
          </w:tcPr>
          <w:p>
            <w:pPr>
              <w:jc w:val="right"/>
              <w:ind w:right="168"/>
              <w:spacing w:after="0"/>
              <w:rPr>
                <w:sz w:val="20"/>
                <w:szCs w:val="20"/>
                <w:color w:val="auto"/>
              </w:rPr>
            </w:pPr>
            <w:r>
              <w:rPr>
                <w:rFonts w:ascii="Arial" w:cs="Arial" w:eastAsia="Arial" w:hAnsi="Arial"/>
                <w:sz w:val="14"/>
                <w:szCs w:val="14"/>
                <w:b w:val="1"/>
                <w:bCs w:val="1"/>
                <w:color w:val="auto"/>
              </w:rPr>
              <w:t>4.98%</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5.25%</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27 pbs</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 pbs</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Allowance for loan losses over Total loans</w:t>
            </w: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auto"/>
              </w:rPr>
              <w:t>7.1%</w:t>
            </w:r>
          </w:p>
        </w:tc>
        <w:tc>
          <w:tcPr>
            <w:tcW w:w="1380" w:type="dxa"/>
            <w:vAlign w:val="bottom"/>
          </w:tcPr>
          <w:p>
            <w:pPr>
              <w:jc w:val="right"/>
              <w:ind w:right="168"/>
              <w:spacing w:after="0"/>
              <w:rPr>
                <w:sz w:val="20"/>
                <w:szCs w:val="20"/>
                <w:color w:val="auto"/>
              </w:rPr>
            </w:pPr>
            <w:r>
              <w:rPr>
                <w:rFonts w:ascii="Arial" w:cs="Arial" w:eastAsia="Arial" w:hAnsi="Arial"/>
                <w:sz w:val="14"/>
                <w:szCs w:val="14"/>
                <w:b w:val="1"/>
                <w:bCs w:val="1"/>
                <w:color w:val="auto"/>
              </w:rPr>
              <w:t>5.7%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-3 pbs</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-140 pbs</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Coverage ratio of IOLs</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200.2%</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152.7%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-1203 pbs</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-5947 pbs</w:t>
            </w:r>
          </w:p>
        </w:tc>
        <w:tc>
          <w:tcPr>
            <w:tcW w:w="0" w:type="dxa"/>
            <w:vAlign w:val="bottom"/>
          </w:tcPr>
          <w:p>
            <w:pPr>
              <w:spacing w:after="0"/>
              <w:rPr>
                <w:sz w:val="1"/>
                <w:szCs w:val="1"/>
                <w:color w:val="auto"/>
              </w:rPr>
            </w:pPr>
          </w:p>
        </w:tc>
      </w:tr>
      <w:tr>
        <w:trPr>
          <w:trHeight w:val="162"/>
        </w:trPr>
        <w:tc>
          <w:tcPr>
            <w:tcW w:w="4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Coverage ratio of IOL 90-days</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257.2%</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201.7%</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186.7%</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-1491 pbs</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-7040 pbs</w:t>
            </w:r>
          </w:p>
        </w:tc>
        <w:tc>
          <w:tcPr>
            <w:tcW w:w="0" w:type="dxa"/>
            <w:vAlign w:val="bottom"/>
          </w:tcPr>
          <w:p>
            <w:pPr>
              <w:spacing w:after="0"/>
              <w:rPr>
                <w:sz w:val="1"/>
                <w:szCs w:val="1"/>
                <w:color w:val="auto"/>
              </w:rPr>
            </w:pPr>
          </w:p>
        </w:tc>
      </w:tr>
      <w:tr>
        <w:trPr>
          <w:trHeight w:val="177"/>
        </w:trPr>
        <w:tc>
          <w:tcPr>
            <w:tcW w:w="47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Coverage ratio of NPLs</w:t>
            </w:r>
          </w:p>
        </w:tc>
        <w:tc>
          <w:tcPr>
            <w:tcW w:w="1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142.9%</w:t>
            </w:r>
          </w:p>
        </w:tc>
        <w:tc>
          <w:tcPr>
            <w:tcW w:w="1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115.3%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108.9%</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-642 pbs</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-3397 pbs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-1491615</wp:posOffset>
            </wp:positionV>
            <wp:extent cx="2540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ind w:left="140" w:hanging="133"/>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Overdue Loans and Loans under legal collection. (Quarter-end balances net of deferred earnings).</w:t>
      </w:r>
    </w:p>
    <w:p>
      <w:pPr>
        <w:spacing w:after="0" w:line="7"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Figures net of deferred earnings.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Non-performing Loans include Internal overdue loans and Refinanced loans. (Quarter-end balances net of deferred earnings).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above, Credicorp's NPL ratio increased 27bps QoQ and YoY, mainly due to the deterioration of the GP Portfolio.</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02 </w:t>
      </w:r>
      <w:r>
        <w:rPr>
          <w:rFonts w:ascii="Times New Roman" w:cs="Times New Roman" w:eastAsia="Times New Roman" w:hAnsi="Times New Roman"/>
          <w:sz w:val="25"/>
          <w:szCs w:val="25"/>
          <w:b w:val="1"/>
          <w:bCs w:val="1"/>
          <w:color w:val="E93C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59625" cy="11207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1120775"/>
                    </a:xfrm>
                    <a:prstGeom prst="rect">
                      <a:avLst/>
                    </a:prstGeom>
                    <a:noFill/>
                  </pic:spPr>
                </pic:pic>
              </a:graphicData>
            </a:graphic>
          </wp:anchor>
        </w:drawing>
      </w:r>
    </w:p>
    <w:p>
      <w:pPr>
        <w:spacing w:after="0" w:line="280" w:lineRule="exact"/>
        <w:rPr>
          <w:sz w:val="20"/>
          <w:szCs w:val="20"/>
          <w:color w:val="auto"/>
        </w:rPr>
      </w:pPr>
    </w:p>
    <w:p>
      <w:pPr>
        <w:jc w:val="both"/>
        <w:ind w:left="120" w:right="100"/>
        <w:spacing w:after="0" w:line="272" w:lineRule="auto"/>
        <w:rPr>
          <w:sz w:val="20"/>
          <w:szCs w:val="20"/>
          <w:color w:val="auto"/>
        </w:rPr>
      </w:pPr>
      <w:r>
        <w:rPr>
          <w:rFonts w:ascii="Arial" w:cs="Arial" w:eastAsia="Arial" w:hAnsi="Arial"/>
          <w:sz w:val="14"/>
          <w:szCs w:val="14"/>
          <w:color w:val="FFFFFF"/>
        </w:rPr>
        <w:t>In a context marked by rate hikes, in 1Q22 76.7% of deposits were low-cost. In the YoY analysis, low-cost Deposits increased 4.8% (excluding the exchange rate effect). This was attributable to an increase in demand and savings deposits in FC, which was partially offset by a drop in demand deposits in LC following amortizations of Reactiva loans.</w:t>
      </w:r>
    </w:p>
    <w:p>
      <w:pPr>
        <w:spacing w:after="0" w:line="285"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4"/>
          <w:szCs w:val="14"/>
          <w:color w:val="FFFFFF"/>
        </w:rPr>
        <w:t>The balances of Severance Indemnity (CTS) deposits fell by nearly half (-49.5% YoY excluding exchange rate effect), in line with government relief measures that temporarily released funds to bolster liquidity.</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8360" w:type="dxa"/>
            <w:vAlign w:val="bottom"/>
            <w:gridSpan w:val="5"/>
          </w:tcPr>
          <w:p>
            <w:pPr>
              <w:ind w:left="120"/>
              <w:spacing w:after="0"/>
              <w:rPr>
                <w:sz w:val="20"/>
                <w:szCs w:val="20"/>
                <w:color w:val="auto"/>
              </w:rPr>
            </w:pPr>
            <w:r>
              <w:rPr>
                <w:rFonts w:ascii="Arial" w:cs="Arial" w:eastAsia="Arial" w:hAnsi="Arial"/>
                <w:sz w:val="14"/>
                <w:szCs w:val="14"/>
                <w:color w:val="FFFFFF"/>
              </w:rPr>
              <w:t>The market share (MS) of Total Deposits at BCP Stand-alone and Mibanco as of February 2022 in the financial system grew</w:t>
            </w:r>
          </w:p>
        </w:tc>
        <w:tc>
          <w:tcPr>
            <w:tcW w:w="2820" w:type="dxa"/>
            <w:vAlign w:val="bottom"/>
            <w:gridSpan w:val="3"/>
          </w:tcPr>
          <w:p>
            <w:pPr>
              <w:ind w:left="60"/>
              <w:spacing w:after="0"/>
              <w:rPr>
                <w:sz w:val="20"/>
                <w:szCs w:val="20"/>
                <w:color w:val="auto"/>
              </w:rPr>
            </w:pPr>
            <w:r>
              <w:rPr>
                <w:rFonts w:ascii="Arial" w:cs="Arial" w:eastAsia="Arial" w:hAnsi="Arial"/>
                <w:sz w:val="14"/>
                <w:szCs w:val="14"/>
                <w:color w:val="FFFFFF"/>
              </w:rPr>
              <w:t>40 and 10bps respectively with regards to</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0" w:type="dxa"/>
            <w:vAlign w:val="bottom"/>
          </w:tcPr>
          <w:p>
            <w:pPr>
              <w:ind w:left="120"/>
              <w:spacing w:after="0"/>
              <w:rPr>
                <w:sz w:val="20"/>
                <w:szCs w:val="20"/>
                <w:color w:val="auto"/>
              </w:rPr>
            </w:pPr>
            <w:r>
              <w:rPr>
                <w:rFonts w:ascii="Arial" w:cs="Arial" w:eastAsia="Arial" w:hAnsi="Arial"/>
                <w:sz w:val="14"/>
                <w:szCs w:val="14"/>
                <w:color w:val="FFFFFF"/>
              </w:rPr>
              <w:t>March 2021’s figure.</w:t>
            </w:r>
          </w:p>
        </w:tc>
        <w:tc>
          <w:tcPr>
            <w:tcW w:w="1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E93CAC"/>
            </w:tcBorders>
            <w:shd w:val="clear" w:color="auto" w:fill="E93CA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200" w:type="dxa"/>
            <w:vAlign w:val="bottom"/>
            <w:tcBorders>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Deposits and obligations</w:t>
            </w:r>
          </w:p>
        </w:tc>
        <w:tc>
          <w:tcPr>
            <w:tcW w:w="1100" w:type="dxa"/>
            <w:vAlign w:val="bottom"/>
            <w:shd w:val="clear" w:color="auto" w:fill="2AD2C9"/>
          </w:tcPr>
          <w:p>
            <w:pPr>
              <w:spacing w:after="0"/>
              <w:rPr>
                <w:sz w:val="12"/>
                <w:szCs w:val="12"/>
                <w:color w:val="auto"/>
              </w:rPr>
            </w:pPr>
          </w:p>
        </w:tc>
        <w:tc>
          <w:tcPr>
            <w:tcW w:w="1020" w:type="dxa"/>
            <w:vAlign w:val="bottom"/>
            <w:vMerge w:val="restart"/>
            <w:shd w:val="clear" w:color="auto" w:fill="2AD2C9"/>
          </w:tcPr>
          <w:p>
            <w:pPr>
              <w:jc w:val="right"/>
              <w:ind w:right="368"/>
              <w:spacing w:after="0"/>
              <w:rPr>
                <w:sz w:val="20"/>
                <w:szCs w:val="20"/>
                <w:color w:val="auto"/>
              </w:rPr>
            </w:pPr>
            <w:r>
              <w:rPr>
                <w:rFonts w:ascii="Arial" w:cs="Arial" w:eastAsia="Arial" w:hAnsi="Arial"/>
                <w:sz w:val="14"/>
                <w:szCs w:val="14"/>
                <w:b w:val="1"/>
                <w:bCs w:val="1"/>
                <w:color w:val="FFFFFF"/>
              </w:rPr>
              <w:t>As of</w:t>
            </w:r>
          </w:p>
        </w:tc>
        <w:tc>
          <w:tcPr>
            <w:tcW w:w="940" w:type="dxa"/>
            <w:vAlign w:val="bottom"/>
            <w:tcBorders>
              <w:right w:val="single" w:sz="8" w:color="auto"/>
            </w:tcBorders>
            <w:shd w:val="clear" w:color="auto" w:fill="2AD2C9"/>
          </w:tcPr>
          <w:p>
            <w:pPr>
              <w:spacing w:after="0"/>
              <w:rPr>
                <w:sz w:val="12"/>
                <w:szCs w:val="12"/>
                <w:color w:val="auto"/>
              </w:rPr>
            </w:pPr>
          </w:p>
        </w:tc>
        <w:tc>
          <w:tcPr>
            <w:tcW w:w="2020" w:type="dxa"/>
            <w:vAlign w:val="bottom"/>
            <w:tcBorders>
              <w:right w:val="single" w:sz="8" w:color="auto"/>
            </w:tcBorders>
            <w:gridSpan w:val="2"/>
            <w:vMerge w:val="restart"/>
            <w:shd w:val="clear" w:color="auto" w:fill="2AD2C9"/>
          </w:tcPr>
          <w:p>
            <w:pPr>
              <w:ind w:left="660"/>
              <w:spacing w:after="0"/>
              <w:rPr>
                <w:sz w:val="20"/>
                <w:szCs w:val="20"/>
                <w:color w:val="auto"/>
              </w:rPr>
            </w:pPr>
            <w:r>
              <w:rPr>
                <w:rFonts w:ascii="Arial" w:cs="Arial" w:eastAsia="Arial" w:hAnsi="Arial"/>
                <w:sz w:val="14"/>
                <w:szCs w:val="14"/>
                <w:b w:val="1"/>
                <w:bCs w:val="1"/>
                <w:color w:val="FFFFFF"/>
              </w:rPr>
              <w:t>% change</w:t>
            </w:r>
          </w:p>
        </w:tc>
        <w:tc>
          <w:tcPr>
            <w:tcW w:w="1900" w:type="dxa"/>
            <w:vAlign w:val="bottom"/>
            <w:gridSpan w:val="2"/>
            <w:vMerge w:val="restart"/>
            <w:shd w:val="clear" w:color="auto" w:fill="2AD2C9"/>
          </w:tcPr>
          <w:p>
            <w:pPr>
              <w:ind w:left="680"/>
              <w:spacing w:after="0"/>
              <w:rPr>
                <w:sz w:val="20"/>
                <w:szCs w:val="20"/>
                <w:color w:val="auto"/>
              </w:rPr>
            </w:pPr>
            <w:r>
              <w:rPr>
                <w:rFonts w:ascii="Arial" w:cs="Arial" w:eastAsia="Arial" w:hAnsi="Arial"/>
                <w:sz w:val="14"/>
                <w:szCs w:val="14"/>
                <w:b w:val="1"/>
                <w:bCs w:val="1"/>
                <w:color w:val="FFFFFF"/>
              </w:rPr>
              <w:t>Currency</w:t>
            </w:r>
          </w:p>
        </w:tc>
        <w:tc>
          <w:tcPr>
            <w:tcW w:w="120" w:type="dxa"/>
            <w:vAlign w:val="bottom"/>
            <w:tcBorders>
              <w:right w:val="single" w:sz="8" w:color="auto"/>
            </w:tcBorders>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20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100" w:type="dxa"/>
            <w:vAlign w:val="bottom"/>
            <w:shd w:val="clear" w:color="auto" w:fill="2AD2C9"/>
          </w:tcPr>
          <w:p>
            <w:pPr>
              <w:spacing w:after="0"/>
              <w:rPr>
                <w:sz w:val="9"/>
                <w:szCs w:val="9"/>
                <w:color w:val="auto"/>
              </w:rPr>
            </w:pPr>
          </w:p>
        </w:tc>
        <w:tc>
          <w:tcPr>
            <w:tcW w:w="1020" w:type="dxa"/>
            <w:vAlign w:val="bottom"/>
            <w:vMerge w:val="continue"/>
            <w:shd w:val="clear" w:color="auto" w:fill="2AD2C9"/>
          </w:tcPr>
          <w:p>
            <w:pPr>
              <w:spacing w:after="0"/>
              <w:rPr>
                <w:sz w:val="9"/>
                <w:szCs w:val="9"/>
                <w:color w:val="auto"/>
              </w:rPr>
            </w:pPr>
          </w:p>
        </w:tc>
        <w:tc>
          <w:tcPr>
            <w:tcW w:w="940" w:type="dxa"/>
            <w:vAlign w:val="bottom"/>
            <w:tcBorders>
              <w:right w:val="single" w:sz="8" w:color="auto"/>
            </w:tcBorders>
            <w:shd w:val="clear" w:color="auto" w:fill="2AD2C9"/>
          </w:tcPr>
          <w:p>
            <w:pPr>
              <w:spacing w:after="0"/>
              <w:rPr>
                <w:sz w:val="9"/>
                <w:szCs w:val="9"/>
                <w:color w:val="auto"/>
              </w:rPr>
            </w:pPr>
          </w:p>
        </w:tc>
        <w:tc>
          <w:tcPr>
            <w:tcW w:w="2020" w:type="dxa"/>
            <w:vAlign w:val="bottom"/>
            <w:tcBorders>
              <w:right w:val="single" w:sz="8" w:color="auto"/>
            </w:tcBorders>
            <w:gridSpan w:val="2"/>
            <w:vMerge w:val="continue"/>
            <w:shd w:val="clear" w:color="auto" w:fill="2AD2C9"/>
          </w:tcPr>
          <w:p>
            <w:pPr>
              <w:spacing w:after="0"/>
              <w:rPr>
                <w:sz w:val="9"/>
                <w:szCs w:val="9"/>
                <w:color w:val="auto"/>
              </w:rPr>
            </w:pPr>
          </w:p>
        </w:tc>
        <w:tc>
          <w:tcPr>
            <w:tcW w:w="1900" w:type="dxa"/>
            <w:vAlign w:val="bottom"/>
            <w:gridSpan w:val="2"/>
            <w:vMerge w:val="continue"/>
            <w:shd w:val="clear" w:color="auto" w:fill="2AD2C9"/>
          </w:tcPr>
          <w:p>
            <w:pPr>
              <w:spacing w:after="0"/>
              <w:rPr>
                <w:sz w:val="9"/>
                <w:szCs w:val="9"/>
                <w:color w:val="auto"/>
              </w:rPr>
            </w:pPr>
          </w:p>
        </w:tc>
        <w:tc>
          <w:tcPr>
            <w:tcW w:w="12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4200" w:type="dxa"/>
            <w:vAlign w:val="bottom"/>
            <w:tcBorders>
              <w:left w:val="single" w:sz="8" w:color="auto"/>
              <w:bottom w:val="single" w:sz="8" w:color="auto"/>
              <w:right w:val="single" w:sz="8" w:color="auto"/>
            </w:tcBorders>
            <w:vMerge w:val="continue"/>
            <w:shd w:val="clear" w:color="auto" w:fill="2AD2C9"/>
          </w:tcPr>
          <w:p>
            <w:pPr>
              <w:spacing w:after="0"/>
              <w:rPr>
                <w:sz w:val="5"/>
                <w:szCs w:val="5"/>
                <w:color w:val="auto"/>
              </w:rPr>
            </w:pPr>
          </w:p>
        </w:tc>
        <w:tc>
          <w:tcPr>
            <w:tcW w:w="1100" w:type="dxa"/>
            <w:vAlign w:val="bottom"/>
            <w:tcBorders>
              <w:bottom w:val="single" w:sz="8" w:color="auto"/>
            </w:tcBorders>
            <w:shd w:val="clear" w:color="auto" w:fill="2AD2C9"/>
          </w:tcPr>
          <w:p>
            <w:pPr>
              <w:spacing w:after="0"/>
              <w:rPr>
                <w:sz w:val="5"/>
                <w:szCs w:val="5"/>
                <w:color w:val="auto"/>
              </w:rPr>
            </w:pPr>
          </w:p>
        </w:tc>
        <w:tc>
          <w:tcPr>
            <w:tcW w:w="1020" w:type="dxa"/>
            <w:vAlign w:val="bottom"/>
            <w:tcBorders>
              <w:bottom w:val="single" w:sz="8" w:color="auto"/>
            </w:tcBorders>
            <w:shd w:val="clear" w:color="auto" w:fill="2AD2C9"/>
          </w:tcPr>
          <w:p>
            <w:pPr>
              <w:spacing w:after="0"/>
              <w:rPr>
                <w:sz w:val="5"/>
                <w:szCs w:val="5"/>
                <w:color w:val="auto"/>
              </w:rPr>
            </w:pPr>
          </w:p>
        </w:tc>
        <w:tc>
          <w:tcPr>
            <w:tcW w:w="940" w:type="dxa"/>
            <w:vAlign w:val="bottom"/>
            <w:tcBorders>
              <w:bottom w:val="single" w:sz="8" w:color="auto"/>
              <w:right w:val="single" w:sz="8" w:color="auto"/>
            </w:tcBorders>
            <w:shd w:val="clear" w:color="auto" w:fill="2AD2C9"/>
          </w:tcPr>
          <w:p>
            <w:pPr>
              <w:spacing w:after="0"/>
              <w:rPr>
                <w:sz w:val="5"/>
                <w:szCs w:val="5"/>
                <w:color w:val="auto"/>
              </w:rPr>
            </w:pPr>
          </w:p>
        </w:tc>
        <w:tc>
          <w:tcPr>
            <w:tcW w:w="1100" w:type="dxa"/>
            <w:vAlign w:val="bottom"/>
            <w:tcBorders>
              <w:bottom w:val="single" w:sz="8" w:color="auto"/>
            </w:tcBorders>
            <w:shd w:val="clear" w:color="auto" w:fill="2AD2C9"/>
          </w:tcPr>
          <w:p>
            <w:pPr>
              <w:spacing w:after="0"/>
              <w:rPr>
                <w:sz w:val="5"/>
                <w:szCs w:val="5"/>
                <w:color w:val="auto"/>
              </w:rPr>
            </w:pPr>
          </w:p>
        </w:tc>
        <w:tc>
          <w:tcPr>
            <w:tcW w:w="920" w:type="dxa"/>
            <w:vAlign w:val="bottom"/>
            <w:tcBorders>
              <w:bottom w:val="single" w:sz="8" w:color="auto"/>
              <w:right w:val="single" w:sz="8" w:color="auto"/>
            </w:tcBorders>
            <w:shd w:val="clear" w:color="auto" w:fill="2AD2C9"/>
          </w:tcPr>
          <w:p>
            <w:pPr>
              <w:spacing w:after="0"/>
              <w:rPr>
                <w:sz w:val="5"/>
                <w:szCs w:val="5"/>
                <w:color w:val="auto"/>
              </w:rPr>
            </w:pPr>
          </w:p>
        </w:tc>
        <w:tc>
          <w:tcPr>
            <w:tcW w:w="980" w:type="dxa"/>
            <w:vAlign w:val="bottom"/>
            <w:tcBorders>
              <w:bottom w:val="single" w:sz="8" w:color="auto"/>
            </w:tcBorders>
            <w:shd w:val="clear" w:color="auto" w:fill="2AD2C9"/>
          </w:tcPr>
          <w:p>
            <w:pPr>
              <w:spacing w:after="0"/>
              <w:rPr>
                <w:sz w:val="5"/>
                <w:szCs w:val="5"/>
                <w:color w:val="auto"/>
              </w:rPr>
            </w:pPr>
          </w:p>
        </w:tc>
        <w:tc>
          <w:tcPr>
            <w:tcW w:w="920" w:type="dxa"/>
            <w:vAlign w:val="bottom"/>
            <w:tcBorders>
              <w:bottom w:val="single" w:sz="8" w:color="auto"/>
            </w:tcBorders>
            <w:shd w:val="clear" w:color="auto" w:fill="2AD2C9"/>
          </w:tcPr>
          <w:p>
            <w:pPr>
              <w:spacing w:after="0"/>
              <w:rPr>
                <w:sz w:val="5"/>
                <w:szCs w:val="5"/>
                <w:color w:val="auto"/>
              </w:rPr>
            </w:pPr>
          </w:p>
        </w:tc>
        <w:tc>
          <w:tcPr>
            <w:tcW w:w="120" w:type="dxa"/>
            <w:vAlign w:val="bottom"/>
            <w:tcBorders>
              <w:bottom w:val="single" w:sz="8" w:color="auto"/>
              <w:right w:val="single" w:sz="8" w:color="auto"/>
            </w:tcBorders>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200" w:type="dxa"/>
            <w:vAlign w:val="bottom"/>
            <w:tcBorders>
              <w:left w:val="single" w:sz="8" w:color="auto"/>
              <w:right w:val="single" w:sz="8" w:color="auto"/>
            </w:tcBorders>
            <w:shd w:val="clear" w:color="auto" w:fill="2AD2C9"/>
          </w:tcPr>
          <w:p>
            <w:pPr>
              <w:spacing w:after="0"/>
              <w:rPr>
                <w:sz w:val="13"/>
                <w:szCs w:val="13"/>
                <w:color w:val="auto"/>
              </w:rPr>
            </w:pPr>
          </w:p>
        </w:tc>
        <w:tc>
          <w:tcPr>
            <w:tcW w:w="1100" w:type="dxa"/>
            <w:vAlign w:val="bottom"/>
            <w:shd w:val="clear" w:color="auto" w:fill="2AD2C9"/>
          </w:tcPr>
          <w:p>
            <w:pPr>
              <w:jc w:val="right"/>
              <w:ind w:right="308"/>
              <w:spacing w:after="0" w:line="153" w:lineRule="exact"/>
              <w:rPr>
                <w:sz w:val="20"/>
                <w:szCs w:val="20"/>
                <w:color w:val="auto"/>
              </w:rPr>
            </w:pPr>
            <w:r>
              <w:rPr>
                <w:rFonts w:ascii="Arial" w:cs="Arial" w:eastAsia="Arial" w:hAnsi="Arial"/>
                <w:sz w:val="14"/>
                <w:szCs w:val="14"/>
                <w:b w:val="1"/>
                <w:bCs w:val="1"/>
                <w:color w:val="FFFFFF"/>
              </w:rPr>
              <w:t>Mar 21</w:t>
            </w:r>
          </w:p>
        </w:tc>
        <w:tc>
          <w:tcPr>
            <w:tcW w:w="1020" w:type="dxa"/>
            <w:vAlign w:val="bottom"/>
            <w:shd w:val="clear" w:color="auto" w:fill="2AD2C9"/>
          </w:tcPr>
          <w:p>
            <w:pPr>
              <w:jc w:val="right"/>
              <w:ind w:right="308"/>
              <w:spacing w:after="0" w:line="153" w:lineRule="exact"/>
              <w:rPr>
                <w:sz w:val="20"/>
                <w:szCs w:val="20"/>
                <w:color w:val="auto"/>
              </w:rPr>
            </w:pPr>
            <w:r>
              <w:rPr>
                <w:rFonts w:ascii="Arial" w:cs="Arial" w:eastAsia="Arial" w:hAnsi="Arial"/>
                <w:sz w:val="14"/>
                <w:szCs w:val="14"/>
                <w:b w:val="1"/>
                <w:bCs w:val="1"/>
                <w:color w:val="FFFFFF"/>
              </w:rPr>
              <w:t>Dec 21</w:t>
            </w:r>
          </w:p>
        </w:tc>
        <w:tc>
          <w:tcPr>
            <w:tcW w:w="940" w:type="dxa"/>
            <w:vAlign w:val="bottom"/>
            <w:tcBorders>
              <w:right w:val="single" w:sz="8" w:color="auto"/>
            </w:tcBorders>
            <w:shd w:val="clear" w:color="auto" w:fill="2AD2C9"/>
          </w:tcPr>
          <w:p>
            <w:pPr>
              <w:jc w:val="right"/>
              <w:ind w:right="228"/>
              <w:spacing w:after="0" w:line="153" w:lineRule="exact"/>
              <w:rPr>
                <w:sz w:val="20"/>
                <w:szCs w:val="20"/>
                <w:color w:val="auto"/>
              </w:rPr>
            </w:pPr>
            <w:r>
              <w:rPr>
                <w:rFonts w:ascii="Arial" w:cs="Arial" w:eastAsia="Arial" w:hAnsi="Arial"/>
                <w:sz w:val="14"/>
                <w:szCs w:val="14"/>
                <w:b w:val="1"/>
                <w:bCs w:val="1"/>
                <w:color w:val="FFFFFF"/>
              </w:rPr>
              <w:t>Mar 22</w:t>
            </w:r>
          </w:p>
        </w:tc>
        <w:tc>
          <w:tcPr>
            <w:tcW w:w="1100" w:type="dxa"/>
            <w:vAlign w:val="bottom"/>
            <w:shd w:val="clear" w:color="auto" w:fill="2AD2C9"/>
          </w:tcPr>
          <w:p>
            <w:pPr>
              <w:ind w:left="320"/>
              <w:spacing w:after="0" w:line="153" w:lineRule="exact"/>
              <w:rPr>
                <w:sz w:val="20"/>
                <w:szCs w:val="20"/>
                <w:color w:val="auto"/>
              </w:rPr>
            </w:pPr>
            <w:r>
              <w:rPr>
                <w:rFonts w:ascii="Arial" w:cs="Arial" w:eastAsia="Arial" w:hAnsi="Arial"/>
                <w:sz w:val="14"/>
                <w:szCs w:val="14"/>
                <w:b w:val="1"/>
                <w:bCs w:val="1"/>
                <w:color w:val="FFFFFF"/>
              </w:rPr>
              <w:t>QoQ</w:t>
            </w:r>
          </w:p>
        </w:tc>
        <w:tc>
          <w:tcPr>
            <w:tcW w:w="920" w:type="dxa"/>
            <w:vAlign w:val="bottom"/>
            <w:tcBorders>
              <w:right w:val="single" w:sz="8" w:color="auto"/>
            </w:tcBorders>
            <w:shd w:val="clear" w:color="auto" w:fill="2AD2C9"/>
          </w:tcPr>
          <w:p>
            <w:pPr>
              <w:ind w:left="260"/>
              <w:spacing w:after="0" w:line="153" w:lineRule="exact"/>
              <w:rPr>
                <w:sz w:val="20"/>
                <w:szCs w:val="20"/>
                <w:color w:val="auto"/>
              </w:rPr>
            </w:pPr>
            <w:r>
              <w:rPr>
                <w:rFonts w:ascii="Arial" w:cs="Arial" w:eastAsia="Arial" w:hAnsi="Arial"/>
                <w:sz w:val="14"/>
                <w:szCs w:val="14"/>
                <w:b w:val="1"/>
                <w:bCs w:val="1"/>
                <w:color w:val="FFFFFF"/>
              </w:rPr>
              <w:t>YoY</w:t>
            </w:r>
          </w:p>
        </w:tc>
        <w:tc>
          <w:tcPr>
            <w:tcW w:w="980" w:type="dxa"/>
            <w:vAlign w:val="bottom"/>
            <w:shd w:val="clear" w:color="auto" w:fill="2AD2C9"/>
          </w:tcPr>
          <w:p>
            <w:pPr>
              <w:jc w:val="center"/>
              <w:spacing w:after="0" w:line="153" w:lineRule="exact"/>
              <w:rPr>
                <w:sz w:val="20"/>
                <w:szCs w:val="20"/>
                <w:color w:val="auto"/>
              </w:rPr>
            </w:pPr>
            <w:r>
              <w:rPr>
                <w:rFonts w:ascii="Arial" w:cs="Arial" w:eastAsia="Arial" w:hAnsi="Arial"/>
                <w:sz w:val="14"/>
                <w:szCs w:val="14"/>
                <w:b w:val="1"/>
                <w:bCs w:val="1"/>
                <w:color w:val="FFFFFF"/>
              </w:rPr>
              <w:t>LC</w:t>
            </w:r>
          </w:p>
        </w:tc>
        <w:tc>
          <w:tcPr>
            <w:tcW w:w="920" w:type="dxa"/>
            <w:vAlign w:val="bottom"/>
            <w:shd w:val="clear" w:color="auto" w:fill="2AD2C9"/>
          </w:tcPr>
          <w:p>
            <w:pPr>
              <w:jc w:val="center"/>
              <w:ind w:left="28"/>
              <w:spacing w:after="0" w:line="153" w:lineRule="exact"/>
              <w:rPr>
                <w:sz w:val="20"/>
                <w:szCs w:val="20"/>
                <w:color w:val="auto"/>
              </w:rPr>
            </w:pPr>
            <w:r>
              <w:rPr>
                <w:rFonts w:ascii="Arial" w:cs="Arial" w:eastAsia="Arial" w:hAnsi="Arial"/>
                <w:sz w:val="14"/>
                <w:szCs w:val="14"/>
                <w:b w:val="1"/>
                <w:bCs w:val="1"/>
                <w:color w:val="FFFFFF"/>
                <w:w w:val="96"/>
              </w:rPr>
              <w:t>FC</w:t>
            </w:r>
          </w:p>
        </w:tc>
        <w:tc>
          <w:tcPr>
            <w:tcW w:w="120" w:type="dxa"/>
            <w:vAlign w:val="bottom"/>
            <w:tcBorders>
              <w:right w:val="single" w:sz="8" w:color="auto"/>
            </w:tcBorders>
            <w:shd w:val="clear" w:color="auto" w:fill="2AD2C9"/>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Demand deposits</w:t>
            </w:r>
          </w:p>
        </w:tc>
        <w:tc>
          <w:tcPr>
            <w:tcW w:w="11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58,074,996</w:t>
            </w:r>
          </w:p>
        </w:tc>
        <w:tc>
          <w:tcPr>
            <w:tcW w:w="1020" w:type="dxa"/>
            <w:vAlign w:val="bottom"/>
          </w:tcPr>
          <w:p>
            <w:pPr>
              <w:jc w:val="right"/>
              <w:ind w:right="28"/>
              <w:spacing w:after="0" w:line="148" w:lineRule="exact"/>
              <w:rPr>
                <w:sz w:val="20"/>
                <w:szCs w:val="20"/>
                <w:color w:val="auto"/>
              </w:rPr>
            </w:pPr>
            <w:r>
              <w:rPr>
                <w:rFonts w:ascii="Arial" w:cs="Arial" w:eastAsia="Arial" w:hAnsi="Arial"/>
                <w:sz w:val="14"/>
                <w:szCs w:val="14"/>
                <w:color w:val="auto"/>
              </w:rPr>
              <w:t>58,629,661</w:t>
            </w:r>
          </w:p>
        </w:tc>
        <w:tc>
          <w:tcPr>
            <w:tcW w:w="9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56,923,859</w:t>
            </w:r>
          </w:p>
        </w:tc>
        <w:tc>
          <w:tcPr>
            <w:tcW w:w="1100" w:type="dxa"/>
            <w:vAlign w:val="bottom"/>
          </w:tcPr>
          <w:p>
            <w:pPr>
              <w:jc w:val="center"/>
              <w:ind w:right="48"/>
              <w:spacing w:after="0" w:line="148" w:lineRule="exact"/>
              <w:rPr>
                <w:sz w:val="20"/>
                <w:szCs w:val="20"/>
                <w:color w:val="auto"/>
              </w:rPr>
            </w:pPr>
            <w:r>
              <w:rPr>
                <w:rFonts w:ascii="Arial" w:cs="Arial" w:eastAsia="Arial" w:hAnsi="Arial"/>
                <w:sz w:val="14"/>
                <w:szCs w:val="14"/>
                <w:color w:val="auto"/>
              </w:rPr>
              <w:t>-2.9%</w:t>
            </w:r>
          </w:p>
        </w:tc>
        <w:tc>
          <w:tcPr>
            <w:tcW w:w="920" w:type="dxa"/>
            <w:vAlign w:val="bottom"/>
            <w:tcBorders>
              <w:right w:val="single" w:sz="8" w:color="auto"/>
            </w:tcBorders>
          </w:tcPr>
          <w:p>
            <w:pPr>
              <w:jc w:val="center"/>
              <w:ind w:right="68"/>
              <w:spacing w:after="0" w:line="148" w:lineRule="exact"/>
              <w:rPr>
                <w:sz w:val="20"/>
                <w:szCs w:val="20"/>
                <w:color w:val="auto"/>
              </w:rPr>
            </w:pPr>
            <w:r>
              <w:rPr>
                <w:rFonts w:ascii="Arial" w:cs="Arial" w:eastAsia="Arial" w:hAnsi="Arial"/>
                <w:sz w:val="14"/>
                <w:szCs w:val="14"/>
                <w:color w:val="auto"/>
              </w:rPr>
              <w:t>-2.0%</w:t>
            </w:r>
          </w:p>
        </w:tc>
        <w:tc>
          <w:tcPr>
            <w:tcW w:w="980" w:type="dxa"/>
            <w:vAlign w:val="bottom"/>
          </w:tcPr>
          <w:p>
            <w:pPr>
              <w:jc w:val="center"/>
              <w:spacing w:after="0" w:line="148" w:lineRule="exact"/>
              <w:rPr>
                <w:sz w:val="20"/>
                <w:szCs w:val="20"/>
                <w:color w:val="auto"/>
              </w:rPr>
            </w:pPr>
            <w:r>
              <w:rPr>
                <w:rFonts w:ascii="Arial" w:cs="Arial" w:eastAsia="Arial" w:hAnsi="Arial"/>
                <w:sz w:val="14"/>
                <w:szCs w:val="14"/>
                <w:color w:val="auto"/>
              </w:rPr>
              <w:t>41.9%</w:t>
            </w:r>
          </w:p>
        </w:tc>
        <w:tc>
          <w:tcPr>
            <w:tcW w:w="920" w:type="dxa"/>
            <w:vAlign w:val="bottom"/>
          </w:tcPr>
          <w:p>
            <w:pPr>
              <w:jc w:val="center"/>
              <w:ind w:left="28"/>
              <w:spacing w:after="0" w:line="148" w:lineRule="exact"/>
              <w:rPr>
                <w:sz w:val="20"/>
                <w:szCs w:val="20"/>
                <w:color w:val="auto"/>
              </w:rPr>
            </w:pPr>
            <w:r>
              <w:rPr>
                <w:rFonts w:ascii="Arial" w:cs="Arial" w:eastAsia="Arial" w:hAnsi="Arial"/>
                <w:sz w:val="14"/>
                <w:szCs w:val="14"/>
                <w:color w:val="auto"/>
              </w:rPr>
              <w:t>58.1%</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Saving deposits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51,013,689</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56,945,262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56,454,479</w:t>
            </w:r>
          </w:p>
        </w:tc>
        <w:tc>
          <w:tcPr>
            <w:tcW w:w="1100" w:type="dxa"/>
            <w:vAlign w:val="bottom"/>
          </w:tcPr>
          <w:p>
            <w:pPr>
              <w:jc w:val="center"/>
              <w:ind w:right="48"/>
              <w:spacing w:after="0"/>
              <w:rPr>
                <w:sz w:val="20"/>
                <w:szCs w:val="20"/>
                <w:color w:val="auto"/>
              </w:rPr>
            </w:pPr>
            <w:r>
              <w:rPr>
                <w:rFonts w:ascii="Arial" w:cs="Arial" w:eastAsia="Arial" w:hAnsi="Arial"/>
                <w:sz w:val="14"/>
                <w:szCs w:val="14"/>
                <w:color w:val="auto"/>
              </w:rPr>
              <w:t>-0.9%</w:t>
            </w:r>
          </w:p>
        </w:tc>
        <w:tc>
          <w:tcPr>
            <w:tcW w:w="9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10.7%</w:t>
            </w:r>
          </w:p>
        </w:tc>
        <w:tc>
          <w:tcPr>
            <w:tcW w:w="980" w:type="dxa"/>
            <w:vAlign w:val="bottom"/>
          </w:tcPr>
          <w:p>
            <w:pPr>
              <w:jc w:val="center"/>
              <w:spacing w:after="0"/>
              <w:rPr>
                <w:sz w:val="20"/>
                <w:szCs w:val="20"/>
                <w:color w:val="auto"/>
              </w:rPr>
            </w:pPr>
            <w:r>
              <w:rPr>
                <w:rFonts w:ascii="Arial" w:cs="Arial" w:eastAsia="Arial" w:hAnsi="Arial"/>
                <w:sz w:val="14"/>
                <w:szCs w:val="14"/>
                <w:color w:val="auto"/>
              </w:rPr>
              <w:t>55.8%</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rPr>
              <w:t>44.2%</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Time deposits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31,389,760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29,995,810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30,029,261</w:t>
            </w:r>
          </w:p>
        </w:tc>
        <w:tc>
          <w:tcPr>
            <w:tcW w:w="1100" w:type="dxa"/>
            <w:vAlign w:val="bottom"/>
          </w:tcPr>
          <w:p>
            <w:pPr>
              <w:jc w:val="center"/>
              <w:ind w:right="68"/>
              <w:spacing w:after="0"/>
              <w:rPr>
                <w:sz w:val="20"/>
                <w:szCs w:val="20"/>
                <w:color w:val="auto"/>
              </w:rPr>
            </w:pPr>
            <w:r>
              <w:rPr>
                <w:rFonts w:ascii="Arial" w:cs="Arial" w:eastAsia="Arial" w:hAnsi="Arial"/>
                <w:sz w:val="14"/>
                <w:szCs w:val="14"/>
                <w:color w:val="auto"/>
              </w:rPr>
              <w:t>0.1%</w:t>
            </w:r>
          </w:p>
        </w:tc>
        <w:tc>
          <w:tcPr>
            <w:tcW w:w="9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-4.3%</w:t>
            </w:r>
          </w:p>
        </w:tc>
        <w:tc>
          <w:tcPr>
            <w:tcW w:w="980" w:type="dxa"/>
            <w:vAlign w:val="bottom"/>
          </w:tcPr>
          <w:p>
            <w:pPr>
              <w:jc w:val="center"/>
              <w:spacing w:after="0"/>
              <w:rPr>
                <w:sz w:val="20"/>
                <w:szCs w:val="20"/>
                <w:color w:val="auto"/>
              </w:rPr>
            </w:pPr>
            <w:r>
              <w:rPr>
                <w:rFonts w:ascii="Arial" w:cs="Arial" w:eastAsia="Arial" w:hAnsi="Arial"/>
                <w:sz w:val="14"/>
                <w:szCs w:val="14"/>
                <w:color w:val="auto"/>
              </w:rPr>
              <w:t>47.1%</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rPr>
              <w:t>52.9%</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Severance indemnity deposits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7,457,440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4,017,065</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3,750,593</w:t>
            </w:r>
          </w:p>
        </w:tc>
        <w:tc>
          <w:tcPr>
            <w:tcW w:w="1100" w:type="dxa"/>
            <w:vAlign w:val="bottom"/>
          </w:tcPr>
          <w:p>
            <w:pPr>
              <w:jc w:val="center"/>
              <w:ind w:right="48"/>
              <w:spacing w:after="0"/>
              <w:rPr>
                <w:sz w:val="20"/>
                <w:szCs w:val="20"/>
                <w:color w:val="auto"/>
              </w:rPr>
            </w:pPr>
            <w:r>
              <w:rPr>
                <w:rFonts w:ascii="Arial" w:cs="Arial" w:eastAsia="Arial" w:hAnsi="Arial"/>
                <w:sz w:val="14"/>
                <w:szCs w:val="14"/>
                <w:color w:val="auto"/>
              </w:rPr>
              <w:t>-6.6%</w:t>
            </w:r>
          </w:p>
        </w:tc>
        <w:tc>
          <w:tcPr>
            <w:tcW w:w="9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-49.7%</w:t>
            </w:r>
          </w:p>
        </w:tc>
        <w:tc>
          <w:tcPr>
            <w:tcW w:w="980" w:type="dxa"/>
            <w:vAlign w:val="bottom"/>
          </w:tcPr>
          <w:p>
            <w:pPr>
              <w:jc w:val="center"/>
              <w:spacing w:after="0"/>
              <w:rPr>
                <w:sz w:val="20"/>
                <w:szCs w:val="20"/>
                <w:color w:val="auto"/>
              </w:rPr>
            </w:pPr>
            <w:r>
              <w:rPr>
                <w:rFonts w:ascii="Arial" w:cs="Arial" w:eastAsia="Arial" w:hAnsi="Arial"/>
                <w:sz w:val="14"/>
                <w:szCs w:val="14"/>
                <w:color w:val="auto"/>
              </w:rPr>
              <w:t>69.6%</w:t>
            </w:r>
          </w:p>
        </w:tc>
        <w:tc>
          <w:tcPr>
            <w:tcW w:w="920" w:type="dxa"/>
            <w:vAlign w:val="bottom"/>
          </w:tcPr>
          <w:p>
            <w:pPr>
              <w:jc w:val="center"/>
              <w:ind w:left="28"/>
              <w:spacing w:after="0"/>
              <w:rPr>
                <w:sz w:val="20"/>
                <w:szCs w:val="20"/>
                <w:color w:val="auto"/>
              </w:rPr>
            </w:pPr>
            <w:r>
              <w:rPr>
                <w:rFonts w:ascii="Arial" w:cs="Arial" w:eastAsia="Arial" w:hAnsi="Arial"/>
                <w:sz w:val="14"/>
                <w:szCs w:val="14"/>
                <w:color w:val="auto"/>
              </w:rPr>
              <w:t>30.4%</w:t>
            </w: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Interest payable</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690,454</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753,064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757,772</w:t>
            </w: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0.6%</w:t>
            </w:r>
          </w:p>
        </w:tc>
        <w:tc>
          <w:tcPr>
            <w:tcW w:w="92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9.7%</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48.8%</w:t>
            </w:r>
          </w:p>
        </w:tc>
        <w:tc>
          <w:tcPr>
            <w:tcW w:w="9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51.2%</w:t>
            </w:r>
          </w:p>
        </w:tc>
        <w:tc>
          <w:tcPr>
            <w:tcW w:w="1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20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Deposits and obligations</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148,626,339</w:t>
            </w:r>
          </w:p>
        </w:tc>
        <w:tc>
          <w:tcPr>
            <w:tcW w:w="102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150,340,862</w:t>
            </w:r>
          </w:p>
        </w:tc>
        <w:tc>
          <w:tcPr>
            <w:tcW w:w="9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147,915,964</w:t>
            </w:r>
          </w:p>
        </w:tc>
        <w:tc>
          <w:tcPr>
            <w:tcW w:w="1100" w:type="dxa"/>
            <w:vAlign w:val="bottom"/>
            <w:tcBorders>
              <w:bottom w:val="single" w:sz="8" w:color="auto"/>
            </w:tcBorders>
          </w:tcPr>
          <w:p>
            <w:pPr>
              <w:jc w:val="center"/>
              <w:ind w:right="48"/>
              <w:spacing w:after="0" w:line="153" w:lineRule="exact"/>
              <w:rPr>
                <w:sz w:val="20"/>
                <w:szCs w:val="20"/>
                <w:color w:val="auto"/>
              </w:rPr>
            </w:pPr>
            <w:r>
              <w:rPr>
                <w:rFonts w:ascii="Arial" w:cs="Arial" w:eastAsia="Arial" w:hAnsi="Arial"/>
                <w:sz w:val="14"/>
                <w:szCs w:val="14"/>
                <w:b w:val="1"/>
                <w:bCs w:val="1"/>
                <w:color w:val="auto"/>
              </w:rPr>
              <w:t>-1.6%</w:t>
            </w:r>
          </w:p>
        </w:tc>
        <w:tc>
          <w:tcPr>
            <w:tcW w:w="920" w:type="dxa"/>
            <w:vAlign w:val="bottom"/>
            <w:tcBorders>
              <w:bottom w:val="single" w:sz="8" w:color="auto"/>
              <w:right w:val="single" w:sz="8" w:color="auto"/>
            </w:tcBorders>
          </w:tcPr>
          <w:p>
            <w:pPr>
              <w:jc w:val="center"/>
              <w:ind w:right="68"/>
              <w:spacing w:after="0" w:line="153" w:lineRule="exact"/>
              <w:rPr>
                <w:sz w:val="20"/>
                <w:szCs w:val="20"/>
                <w:color w:val="auto"/>
              </w:rPr>
            </w:pPr>
            <w:r>
              <w:rPr>
                <w:rFonts w:ascii="Arial" w:cs="Arial" w:eastAsia="Arial" w:hAnsi="Arial"/>
                <w:sz w:val="14"/>
                <w:szCs w:val="14"/>
                <w:b w:val="1"/>
                <w:bCs w:val="1"/>
                <w:color w:val="auto"/>
              </w:rPr>
              <w:t>-0.5%</w:t>
            </w:r>
          </w:p>
        </w:tc>
        <w:tc>
          <w:tcPr>
            <w:tcW w:w="9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48.8%</w:t>
            </w:r>
          </w:p>
        </w:tc>
        <w:tc>
          <w:tcPr>
            <w:tcW w:w="920" w:type="dxa"/>
            <w:vAlign w:val="bottom"/>
            <w:tcBorders>
              <w:bottom w:val="single" w:sz="8" w:color="auto"/>
            </w:tcBorders>
          </w:tcPr>
          <w:p>
            <w:pPr>
              <w:jc w:val="center"/>
              <w:ind w:left="28"/>
              <w:spacing w:after="0" w:line="153" w:lineRule="exact"/>
              <w:rPr>
                <w:sz w:val="20"/>
                <w:szCs w:val="20"/>
                <w:color w:val="auto"/>
              </w:rPr>
            </w:pPr>
            <w:r>
              <w:rPr>
                <w:rFonts w:ascii="Arial" w:cs="Arial" w:eastAsia="Arial" w:hAnsi="Arial"/>
                <w:sz w:val="14"/>
                <w:szCs w:val="14"/>
                <w:b w:val="1"/>
                <w:bCs w:val="1"/>
                <w:color w:val="auto"/>
              </w:rPr>
              <w:t>51.2%</w:t>
            </w: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-645795</wp:posOffset>
            </wp:positionV>
            <wp:extent cx="254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deposit base fell 1.6% QoQ. Nevertheless, if we isolate the exchange rate effect, deposits grew 2.3% mainly due to:</w:t>
      </w:r>
    </w:p>
    <w:p>
      <w:pPr>
        <w:spacing w:after="0" w:line="207" w:lineRule="exact"/>
        <w:rPr>
          <w:sz w:val="20"/>
          <w:szCs w:val="20"/>
          <w:color w:val="auto"/>
        </w:rPr>
      </w:pPr>
    </w:p>
    <w:p>
      <w:pPr>
        <w:jc w:val="both"/>
        <w:ind w:left="520" w:hanging="253"/>
        <w:spacing w:after="0" w:line="249"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An increase in </w:t>
      </w:r>
      <w:r>
        <w:rPr>
          <w:rFonts w:ascii="Arial" w:cs="Arial" w:eastAsia="Arial" w:hAnsi="Arial"/>
          <w:sz w:val="14"/>
          <w:szCs w:val="14"/>
          <w:b w:val="1"/>
          <w:bCs w:val="1"/>
          <w:color w:val="auto"/>
        </w:rPr>
        <w:t>Saving Deposits</w:t>
      </w:r>
      <w:r>
        <w:rPr>
          <w:rFonts w:ascii="Arial" w:cs="Arial" w:eastAsia="Arial" w:hAnsi="Arial"/>
          <w:sz w:val="14"/>
          <w:szCs w:val="14"/>
          <w:color w:val="auto"/>
        </w:rPr>
        <w:t xml:space="preserve"> 2.6% . This evolution is associated with growth in savings in foreign currency (FC), which was triggered by exchange rate volatility. This expansion was offset by the drop in savings deposits in LC at BCP Stand-alone due to the fact that the deposit base in 4Q21 was bolstered by statutory bonus payments, which clients subsequently withdrew in 1Q22.</w:t>
      </w:r>
    </w:p>
    <w:p>
      <w:pPr>
        <w:ind w:left="520" w:hanging="25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Growth of 4.2% in </w:t>
      </w:r>
      <w:r>
        <w:rPr>
          <w:rFonts w:ascii="Arial" w:cs="Arial" w:eastAsia="Arial" w:hAnsi="Arial"/>
          <w:sz w:val="14"/>
          <w:szCs w:val="14"/>
          <w:b w:val="1"/>
          <w:bCs w:val="1"/>
          <w:color w:val="auto"/>
        </w:rPr>
        <w:t>Time Deposits</w:t>
      </w:r>
      <w:r>
        <w:rPr>
          <w:rFonts w:ascii="Arial" w:cs="Arial" w:eastAsia="Arial" w:hAnsi="Arial"/>
          <w:sz w:val="14"/>
          <w:szCs w:val="14"/>
          <w:color w:val="auto"/>
        </w:rPr>
        <w:t>; primarily in LC deposits, which reflected an uptick in deposit flows from corporate clients at BCP Stand-alone and Mibanco clients.</w:t>
      </w:r>
    </w:p>
    <w:p>
      <w:pPr>
        <w:spacing w:after="0" w:line="1" w:lineRule="exact"/>
        <w:rPr>
          <w:rFonts w:ascii="Arial" w:cs="Arial" w:eastAsia="Arial" w:hAnsi="Arial"/>
          <w:sz w:val="14"/>
          <w:szCs w:val="14"/>
          <w:color w:val="auto"/>
        </w:rPr>
      </w:pPr>
    </w:p>
    <w:p>
      <w:pPr>
        <w:ind w:left="520" w:hanging="253"/>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An increase in </w:t>
      </w:r>
      <w:r>
        <w:rPr>
          <w:rFonts w:ascii="Arial" w:cs="Arial" w:eastAsia="Arial" w:hAnsi="Arial"/>
          <w:sz w:val="14"/>
          <w:szCs w:val="14"/>
          <w:b w:val="1"/>
          <w:bCs w:val="1"/>
          <w:color w:val="auto"/>
        </w:rPr>
        <w:t>Demand Deposits</w:t>
      </w:r>
      <w:r>
        <w:rPr>
          <w:rFonts w:ascii="Arial" w:cs="Arial" w:eastAsia="Arial" w:hAnsi="Arial"/>
          <w:sz w:val="14"/>
          <w:szCs w:val="14"/>
          <w:color w:val="auto"/>
        </w:rPr>
        <w:t xml:space="preserve"> of 1.5%. This growth was driven primarily by FC deposits via Corporate Banking and Middle Market banking.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YoY analysis, deposits fell 0.5%. If we excluded the exchange rate effect, they increased 0.3% which stand out:</w:t>
      </w:r>
    </w:p>
    <w:p>
      <w:pPr>
        <w:spacing w:after="0" w:line="186" w:lineRule="exact"/>
        <w:rPr>
          <w:sz w:val="20"/>
          <w:szCs w:val="20"/>
          <w:color w:val="auto"/>
        </w:rPr>
      </w:pPr>
    </w:p>
    <w:p>
      <w:pPr>
        <w:jc w:val="both"/>
        <w:ind w:left="520" w:hanging="253"/>
        <w:spacing w:after="0" w:line="249"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20% increase in low-cost deposits (</w:t>
      </w:r>
      <w:r>
        <w:rPr>
          <w:rFonts w:ascii="Arial" w:cs="Arial" w:eastAsia="Arial" w:hAnsi="Arial"/>
          <w:sz w:val="14"/>
          <w:szCs w:val="14"/>
          <w:b w:val="1"/>
          <w:bCs w:val="1"/>
          <w:color w:val="auto"/>
        </w:rPr>
        <w:t>Demand + Savings</w:t>
      </w:r>
      <w:r>
        <w:rPr>
          <w:rFonts w:ascii="Arial" w:cs="Arial" w:eastAsia="Arial" w:hAnsi="Arial"/>
          <w:sz w:val="14"/>
          <w:szCs w:val="14"/>
          <w:color w:val="auto"/>
        </w:rPr>
        <w:t>) in FC due to: i) an uptick in inflows, which were tied to government relief measures (release of funds from AFPs and CTS) and ii) keen interest in seeking refuge through a more stable currency (US$ Dollar). This growth was partially offset by a decrease in demand deposits in LC of 7.7%, which was attributable to amortizations of Reactiva loans.</w:t>
      </w:r>
    </w:p>
    <w:p>
      <w:pPr>
        <w:ind w:left="520" w:hanging="25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A drop of 49.5% in </w:t>
      </w:r>
      <w:r>
        <w:rPr>
          <w:rFonts w:ascii="Arial" w:cs="Arial" w:eastAsia="Arial" w:hAnsi="Arial"/>
          <w:sz w:val="14"/>
          <w:szCs w:val="14"/>
          <w:b w:val="1"/>
          <w:bCs w:val="1"/>
          <w:color w:val="auto"/>
        </w:rPr>
        <w:t>Severance Indemnity Deposits</w:t>
      </w:r>
      <w:r>
        <w:rPr>
          <w:rFonts w:ascii="Arial" w:cs="Arial" w:eastAsia="Arial" w:hAnsi="Arial"/>
          <w:sz w:val="14"/>
          <w:szCs w:val="14"/>
          <w:color w:val="auto"/>
        </w:rPr>
        <w:t xml:space="preserve"> after the government lifted restrictions to fund access in 2021.</w:t>
      </w:r>
    </w:p>
    <w:p>
      <w:pPr>
        <w:spacing w:after="0" w:line="1" w:lineRule="exact"/>
        <w:rPr>
          <w:rFonts w:ascii="Arial" w:cs="Arial" w:eastAsia="Arial" w:hAnsi="Arial"/>
          <w:sz w:val="14"/>
          <w:szCs w:val="14"/>
          <w:color w:val="auto"/>
        </w:rPr>
      </w:pPr>
    </w:p>
    <w:p>
      <w:pPr>
        <w:ind w:left="520" w:hanging="253"/>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3.5% reduction in </w:t>
      </w:r>
      <w:r>
        <w:rPr>
          <w:rFonts w:ascii="Arial" w:cs="Arial" w:eastAsia="Arial" w:hAnsi="Arial"/>
          <w:sz w:val="14"/>
          <w:szCs w:val="14"/>
          <w:b w:val="1"/>
          <w:bCs w:val="1"/>
          <w:color w:val="auto"/>
        </w:rPr>
        <w:t>Time Deposits.</w:t>
      </w:r>
      <w:r>
        <w:rPr>
          <w:rFonts w:ascii="Arial" w:cs="Arial" w:eastAsia="Arial" w:hAnsi="Arial"/>
          <w:sz w:val="14"/>
          <w:szCs w:val="14"/>
          <w:color w:val="auto"/>
        </w:rPr>
        <w:t xml:space="preserve"> This was associated by a decrease in FC deposits partially mitigated by an increase in LC.</w:t>
      </w:r>
    </w:p>
    <w:p>
      <w:pPr>
        <w:spacing w:after="0" w:line="310"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02.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Dollarization Level</w:t>
      </w:r>
    </w:p>
    <w:p>
      <w:pPr>
        <w:sectPr>
          <w:pgSz w:w="11900" w:h="16838" w:orient="portrait"/>
          <w:cols w:equalWidth="0" w:num="1">
            <w:col w:w="11280"/>
          </w:cols>
          <w:pgMar w:left="300" w:top="140" w:right="319" w:bottom="1440" w:gutter="0" w:footer="0" w:header="0"/>
        </w:sectPr>
      </w:pPr>
    </w:p>
    <w:p>
      <w:pPr>
        <w:spacing w:after="0" w:line="159" w:lineRule="exact"/>
        <w:rPr>
          <w:sz w:val="20"/>
          <w:szCs w:val="20"/>
          <w:color w:val="auto"/>
        </w:rPr>
      </w:pPr>
    </w:p>
    <w:p>
      <w:pPr>
        <w:jc w:val="center"/>
        <w:ind w:left="1700"/>
        <w:spacing w:after="0"/>
        <w:rPr>
          <w:sz w:val="20"/>
          <w:szCs w:val="20"/>
          <w:color w:val="auto"/>
        </w:rPr>
      </w:pPr>
      <w:r>
        <w:rPr>
          <w:rFonts w:ascii="Times New Roman" w:cs="Times New Roman" w:eastAsia="Times New Roman" w:hAnsi="Times New Roman"/>
          <w:sz w:val="17"/>
          <w:szCs w:val="17"/>
          <w:b w:val="1"/>
          <w:bCs w:val="1"/>
          <w:color w:val="auto"/>
        </w:rPr>
        <w:t>Total Deposits by Currency</w:t>
      </w:r>
    </w:p>
    <w:p>
      <w:pPr>
        <w:spacing w:after="0" w:line="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0"/>
          <w:szCs w:val="10"/>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-1270</wp:posOffset>
            </wp:positionV>
            <wp:extent cx="1678305" cy="9353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78305" cy="935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left="1540"/>
        <w:spacing w:after="0" w:line="269" w:lineRule="auto"/>
        <w:rPr>
          <w:sz w:val="20"/>
          <w:szCs w:val="20"/>
          <w:color w:val="auto"/>
        </w:rPr>
      </w:pPr>
      <w:r>
        <w:rPr>
          <w:rFonts w:ascii="Times New Roman" w:cs="Times New Roman" w:eastAsia="Times New Roman" w:hAnsi="Times New Roman"/>
          <w:sz w:val="14"/>
          <w:szCs w:val="14"/>
          <w:color w:val="auto"/>
        </w:rPr>
        <w:t>At the end of March 2022, the dollarization level of Total Deposits fell QoQ. This decrease was attributable to an appreciation in the exchange rate.</w:t>
      </w:r>
    </w:p>
    <w:p>
      <w:pPr>
        <w:spacing w:after="0" w:line="1" w:lineRule="exact"/>
        <w:rPr>
          <w:sz w:val="20"/>
          <w:szCs w:val="20"/>
          <w:color w:val="auto"/>
        </w:rPr>
      </w:pPr>
    </w:p>
    <w:p>
      <w:pPr>
        <w:jc w:val="both"/>
        <w:ind w:left="1540"/>
        <w:spacing w:after="0" w:line="267" w:lineRule="auto"/>
        <w:rPr>
          <w:sz w:val="20"/>
          <w:szCs w:val="20"/>
          <w:color w:val="auto"/>
        </w:rPr>
      </w:pPr>
      <w:r>
        <w:rPr>
          <w:rFonts w:ascii="Times New Roman" w:cs="Times New Roman" w:eastAsia="Times New Roman" w:hAnsi="Times New Roman"/>
          <w:sz w:val="14"/>
          <w:szCs w:val="14"/>
          <w:color w:val="auto"/>
        </w:rPr>
        <w:t>In the YoY analysis, the dollarization level rose. In FC deposits rose 5.8% (+7.5% at a constant exchange rate) mainly through Demand and Saving Deposits. The LC deposits fell 6.3% driven lower levels of Demand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300"/>
        <w:spacing w:after="0"/>
        <w:rPr>
          <w:sz w:val="20"/>
          <w:szCs w:val="20"/>
          <w:color w:val="auto"/>
        </w:rPr>
      </w:pPr>
      <w:r>
        <w:rPr>
          <w:rFonts w:ascii="Times New Roman" w:cs="Times New Roman" w:eastAsia="Times New Roman" w:hAnsi="Times New Roman"/>
          <w:sz w:val="17"/>
          <w:szCs w:val="17"/>
          <w:b w:val="1"/>
          <w:bCs w:val="1"/>
          <w:color w:val="auto"/>
        </w:rPr>
        <w:t>Total Deposits by type and currency</w:t>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0"/>
          <w:szCs w:val="10"/>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-1270</wp:posOffset>
            </wp:positionV>
            <wp:extent cx="4525645" cy="955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25645" cy="955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600"/>
            <w:col w:w="6960"/>
          </w:cols>
          <w:pgMar w:left="300" w:top="1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4"/>
          <w:szCs w:val="14"/>
          <w:b w:val="1"/>
          <w:bCs w:val="1"/>
          <w:i w:val="1"/>
          <w:iCs w:val="1"/>
          <w:color w:val="auto"/>
        </w:rPr>
        <w:t>Loan/Deposit ratio (L/D Ratio)</w:t>
      </w:r>
      <w:r>
        <w:rPr>
          <w:sz w:val="20"/>
          <w:szCs w:val="20"/>
          <w:color w:val="auto"/>
        </w:rPr>
        <w:tab/>
      </w:r>
      <w:r>
        <w:rPr>
          <w:rFonts w:ascii="Times New Roman" w:cs="Times New Roman" w:eastAsia="Times New Roman" w:hAnsi="Times New Roman"/>
          <w:sz w:val="14"/>
          <w:szCs w:val="14"/>
          <w:color w:val="auto"/>
        </w:rPr>
        <w:t>The L/D ratio increased 8.7 and 4.0 percentage points at BCP Stand-alone and 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609090" cy="1017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9090" cy="1017905"/>
                    </a:xfrm>
                    <a:prstGeom prst="rect">
                      <a:avLst/>
                    </a:prstGeom>
                    <a:noFill/>
                  </pic:spPr>
                </pic:pic>
              </a:graphicData>
            </a:graphic>
          </wp:anchor>
        </w:drawing>
      </w:r>
    </w:p>
    <w:p>
      <w:pPr>
        <w:spacing w:after="0" w:line="12" w:lineRule="exact"/>
        <w:rPr>
          <w:sz w:val="20"/>
          <w:szCs w:val="20"/>
          <w:color w:val="auto"/>
        </w:rPr>
      </w:pPr>
    </w:p>
    <w:p>
      <w:pPr>
        <w:ind w:left="5860"/>
        <w:spacing w:after="0" w:line="276" w:lineRule="auto"/>
        <w:rPr>
          <w:sz w:val="20"/>
          <w:szCs w:val="20"/>
          <w:color w:val="auto"/>
        </w:rPr>
      </w:pPr>
      <w:r>
        <w:rPr>
          <w:rFonts w:ascii="Times New Roman" w:cs="Times New Roman" w:eastAsia="Times New Roman" w:hAnsi="Times New Roman"/>
          <w:sz w:val="14"/>
          <w:szCs w:val="14"/>
          <w:color w:val="auto"/>
        </w:rPr>
        <w:t>respectively, which reflected strong origination volumes at both subsidiaries as a result of the economic reactivation. Thus, Credicorp loan to deposits ratio stood at 97.8%.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80"/>
        <w:spacing w:after="0"/>
        <w:tabs>
          <w:tab w:leader="none" w:pos="7800" w:val="left"/>
        </w:tabs>
        <w:rPr>
          <w:sz w:val="20"/>
          <w:szCs w:val="20"/>
          <w:color w:val="auto"/>
        </w:rPr>
      </w:pPr>
      <w:r>
        <w:rPr>
          <w:rFonts w:ascii="Times New Roman" w:cs="Times New Roman" w:eastAsia="Times New Roman" w:hAnsi="Times New Roman"/>
          <w:sz w:val="17"/>
          <w:szCs w:val="17"/>
          <w:b w:val="1"/>
          <w:bCs w:val="1"/>
          <w:color w:val="auto"/>
        </w:rPr>
        <w:t>L/D Foreign Currency</w:t>
      </w:r>
      <w:r>
        <w:rPr>
          <w:sz w:val="20"/>
          <w:szCs w:val="20"/>
          <w:color w:val="auto"/>
        </w:rPr>
        <w:tab/>
      </w:r>
      <w:r>
        <w:rPr>
          <w:rFonts w:ascii="Times New Roman" w:cs="Times New Roman" w:eastAsia="Times New Roman" w:hAnsi="Times New Roman"/>
          <w:sz w:val="17"/>
          <w:szCs w:val="17"/>
          <w:b w:val="1"/>
          <w:bCs w:val="1"/>
          <w:color w:val="auto"/>
        </w:rPr>
        <w:t>L/D Local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139065</wp:posOffset>
            </wp:positionV>
            <wp:extent cx="1905000" cy="983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05000" cy="9836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139065</wp:posOffset>
            </wp:positionV>
            <wp:extent cx="1918970" cy="1031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18970" cy="103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It is important to note that the L/D ratio in LC at Credicorp stood at 136.6% vs. 119.9% in the 1Q21. This YoY increase reflected the growth in loans in LC, which was accompanied by a decrease in deposits after funds migrated from LC deposits to FC deposits, mainly at BCP Stand-alone. The L/D ratio in FC at Credicorp stood at 60.7% with regard to 62.4% in March 2021. The associated decrease was driven by an uptick in FC deposits.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02.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of the Market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6985</wp:posOffset>
            </wp:positionV>
            <wp:extent cx="4601210" cy="1402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01210" cy="1402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At the end of February 2022, the MS of </w:t>
      </w:r>
      <w:r>
        <w:rPr>
          <w:rFonts w:ascii="Times New Roman" w:cs="Times New Roman" w:eastAsia="Times New Roman" w:hAnsi="Times New Roman"/>
          <w:sz w:val="14"/>
          <w:szCs w:val="14"/>
          <w:b w:val="1"/>
          <w:bCs w:val="1"/>
          <w:color w:val="auto"/>
        </w:rPr>
        <w:t>Total Deposits</w:t>
      </w:r>
      <w:r>
        <w:rPr>
          <w:rFonts w:ascii="Times New Roman" w:cs="Times New Roman" w:eastAsia="Times New Roman" w:hAnsi="Times New Roman"/>
          <w:sz w:val="14"/>
          <w:szCs w:val="14"/>
          <w:color w:val="auto"/>
        </w:rPr>
        <w:t xml:space="preserve"> at BCP Stand-alone and Mibanco in Peru was 33.5% and 2.3%, respectively. It is important to note that market share of Demand and Time Deposits increase, as well as the drop in market share of Severance Indemnity Deposits.</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35"/>
          <w:szCs w:val="35"/>
          <w:b w:val="1"/>
          <w:bCs w:val="1"/>
          <w:color w:val="E93CAC"/>
        </w:rPr>
        <w:t xml:space="preserve">03 </w:t>
      </w:r>
      <w:r>
        <w:rPr>
          <w:rFonts w:ascii="Times New Roman" w:cs="Times New Roman" w:eastAsia="Times New Roman" w:hAnsi="Times New Roman"/>
          <w:sz w:val="25"/>
          <w:szCs w:val="25"/>
          <w:color w:val="E93CAC"/>
        </w:rPr>
        <w:t>Interest-earning assets (“IEAs”)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59625" cy="708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708660"/>
                    </a:xfrm>
                    <a:prstGeom prst="rect">
                      <a:avLst/>
                    </a:prstGeom>
                    <a:noFill/>
                  </pic:spPr>
                </pic:pic>
              </a:graphicData>
            </a:graphic>
          </wp:anchor>
        </w:drawing>
      </w:r>
    </w:p>
    <w:p>
      <w:pPr>
        <w:spacing w:after="0" w:line="275" w:lineRule="exact"/>
        <w:rPr>
          <w:sz w:val="20"/>
          <w:szCs w:val="20"/>
          <w:color w:val="auto"/>
        </w:rPr>
      </w:pPr>
    </w:p>
    <w:p>
      <w:pPr>
        <w:ind w:left="120" w:right="120"/>
        <w:spacing w:after="0" w:line="286" w:lineRule="auto"/>
        <w:rPr>
          <w:sz w:val="20"/>
          <w:szCs w:val="20"/>
          <w:color w:val="auto"/>
        </w:rPr>
      </w:pPr>
      <w:r>
        <w:rPr>
          <w:rFonts w:ascii="Arial" w:cs="Arial" w:eastAsia="Arial" w:hAnsi="Arial"/>
          <w:sz w:val="14"/>
          <w:szCs w:val="14"/>
          <w:color w:val="FFFFFF"/>
        </w:rPr>
        <w:t>At the end of 1Q22, IEAs dropped 2.7% YoY due to a decrease in liquidity system-wide after clients amortized GP loans; this triggered a reduction in available funds in particular. It is important to note that structural loans grew 13.7%, driven by an uptick in economic activity as the pandemic waned and contention measures were lifted.</w:t>
      </w:r>
    </w:p>
    <w:p>
      <w:pPr>
        <w:spacing w:after="0" w:line="104" w:lineRule="exact"/>
        <w:rPr>
          <w:sz w:val="20"/>
          <w:szCs w:val="20"/>
          <w:color w:val="auto"/>
        </w:rPr>
      </w:pPr>
    </w:p>
    <w:p>
      <w:pPr>
        <w:ind w:left="120" w:right="120"/>
        <w:spacing w:after="0" w:line="286" w:lineRule="auto"/>
        <w:rPr>
          <w:sz w:val="20"/>
          <w:szCs w:val="20"/>
          <w:color w:val="auto"/>
        </w:rPr>
      </w:pPr>
      <w:r>
        <w:rPr>
          <w:rFonts w:ascii="Arial" w:cs="Arial" w:eastAsia="Arial" w:hAnsi="Arial"/>
          <w:sz w:val="14"/>
          <w:szCs w:val="14"/>
          <w:color w:val="FFFFFF"/>
        </w:rPr>
        <w:t>Funding decrease 4.1% YoY, which was attributable to repayments of GP loans funding and the consequent drop in liquidity. Notwithstanding, it is important to note that low-cost deposits in the Individuals segment registered growth.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3.1. IEAs</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6240" w:type="dxa"/>
            <w:vAlign w:val="bottom"/>
            <w:tcBorders>
              <w:top w:val="single" w:sz="8" w:color="auto"/>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Interest Earning Assets</w:t>
            </w:r>
          </w:p>
        </w:tc>
        <w:tc>
          <w:tcPr>
            <w:tcW w:w="1100" w:type="dxa"/>
            <w:vAlign w:val="bottom"/>
            <w:tcBorders>
              <w:top w:val="single" w:sz="8" w:color="auto"/>
            </w:tcBorders>
            <w:shd w:val="clear" w:color="auto" w:fill="2AD2C9"/>
          </w:tcPr>
          <w:p>
            <w:pPr>
              <w:spacing w:after="0"/>
              <w:rPr>
                <w:sz w:val="12"/>
                <w:szCs w:val="12"/>
                <w:color w:val="auto"/>
              </w:rPr>
            </w:pPr>
          </w:p>
        </w:tc>
        <w:tc>
          <w:tcPr>
            <w:tcW w:w="1000" w:type="dxa"/>
            <w:vAlign w:val="bottom"/>
            <w:tcBorders>
              <w:top w:val="single" w:sz="8" w:color="auto"/>
            </w:tcBorders>
            <w:vMerge w:val="restart"/>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As of</w:t>
            </w:r>
          </w:p>
        </w:tc>
        <w:tc>
          <w:tcPr>
            <w:tcW w:w="920" w:type="dxa"/>
            <w:vAlign w:val="bottom"/>
            <w:tcBorders>
              <w:top w:val="single" w:sz="8" w:color="auto"/>
              <w:right w:val="single" w:sz="8" w:color="auto"/>
            </w:tcBorders>
            <w:shd w:val="clear" w:color="auto" w:fill="2AD2C9"/>
          </w:tcPr>
          <w:p>
            <w:pPr>
              <w:spacing w:after="0"/>
              <w:rPr>
                <w:sz w:val="12"/>
                <w:szCs w:val="12"/>
                <w:color w:val="auto"/>
              </w:rPr>
            </w:pPr>
          </w:p>
        </w:tc>
        <w:tc>
          <w:tcPr>
            <w:tcW w:w="1360" w:type="dxa"/>
            <w:vAlign w:val="bottom"/>
            <w:tcBorders>
              <w:top w:val="single" w:sz="8" w:color="auto"/>
            </w:tcBorders>
            <w:vMerge w:val="restart"/>
            <w:shd w:val="clear" w:color="auto" w:fill="2AD2C9"/>
          </w:tcPr>
          <w:p>
            <w:pPr>
              <w:jc w:val="right"/>
              <w:spacing w:after="0"/>
              <w:rPr>
                <w:sz w:val="20"/>
                <w:szCs w:val="20"/>
                <w:color w:val="auto"/>
              </w:rPr>
            </w:pPr>
            <w:r>
              <w:rPr>
                <w:rFonts w:ascii="Arial" w:cs="Arial" w:eastAsia="Arial" w:hAnsi="Arial"/>
                <w:sz w:val="14"/>
                <w:szCs w:val="14"/>
                <w:b w:val="1"/>
                <w:bCs w:val="1"/>
                <w:color w:val="FFFFFF"/>
              </w:rPr>
              <w:t>% change</w:t>
            </w:r>
          </w:p>
        </w:tc>
        <w:tc>
          <w:tcPr>
            <w:tcW w:w="680" w:type="dxa"/>
            <w:vAlign w:val="bottom"/>
            <w:tcBorders>
              <w:top w:val="single" w:sz="8" w:color="auto"/>
              <w:right w:val="single" w:sz="8" w:color="auto"/>
            </w:tcBorders>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624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100" w:type="dxa"/>
            <w:vAlign w:val="bottom"/>
            <w:shd w:val="clear" w:color="auto" w:fill="2AD2C9"/>
          </w:tcPr>
          <w:p>
            <w:pPr>
              <w:spacing w:after="0"/>
              <w:rPr>
                <w:sz w:val="9"/>
                <w:szCs w:val="9"/>
                <w:color w:val="auto"/>
              </w:rPr>
            </w:pPr>
          </w:p>
        </w:tc>
        <w:tc>
          <w:tcPr>
            <w:tcW w:w="1000" w:type="dxa"/>
            <w:vAlign w:val="bottom"/>
            <w:vMerge w:val="continue"/>
            <w:shd w:val="clear" w:color="auto" w:fill="2AD2C9"/>
          </w:tcPr>
          <w:p>
            <w:pPr>
              <w:spacing w:after="0"/>
              <w:rPr>
                <w:sz w:val="9"/>
                <w:szCs w:val="9"/>
                <w:color w:val="auto"/>
              </w:rPr>
            </w:pPr>
          </w:p>
        </w:tc>
        <w:tc>
          <w:tcPr>
            <w:tcW w:w="920" w:type="dxa"/>
            <w:vAlign w:val="bottom"/>
            <w:tcBorders>
              <w:right w:val="single" w:sz="8" w:color="auto"/>
            </w:tcBorders>
            <w:shd w:val="clear" w:color="auto" w:fill="2AD2C9"/>
          </w:tcPr>
          <w:p>
            <w:pPr>
              <w:spacing w:after="0"/>
              <w:rPr>
                <w:sz w:val="9"/>
                <w:szCs w:val="9"/>
                <w:color w:val="auto"/>
              </w:rPr>
            </w:pPr>
          </w:p>
        </w:tc>
        <w:tc>
          <w:tcPr>
            <w:tcW w:w="1360" w:type="dxa"/>
            <w:vAlign w:val="bottom"/>
            <w:vMerge w:val="continue"/>
            <w:shd w:val="clear" w:color="auto" w:fill="2AD2C9"/>
          </w:tcPr>
          <w:p>
            <w:pPr>
              <w:spacing w:after="0"/>
              <w:rPr>
                <w:sz w:val="9"/>
                <w:szCs w:val="9"/>
                <w:color w:val="auto"/>
              </w:rPr>
            </w:pPr>
          </w:p>
        </w:tc>
        <w:tc>
          <w:tcPr>
            <w:tcW w:w="68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24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1100" w:type="dxa"/>
            <w:vAlign w:val="bottom"/>
            <w:vMerge w:val="restart"/>
            <w:shd w:val="clear" w:color="auto" w:fill="2AD2C9"/>
          </w:tcPr>
          <w:p>
            <w:pPr>
              <w:jc w:val="right"/>
              <w:ind w:right="308"/>
              <w:spacing w:after="0"/>
              <w:rPr>
                <w:sz w:val="20"/>
                <w:szCs w:val="20"/>
                <w:color w:val="auto"/>
              </w:rPr>
            </w:pPr>
            <w:r>
              <w:rPr>
                <w:rFonts w:ascii="Arial" w:cs="Arial" w:eastAsia="Arial" w:hAnsi="Arial"/>
                <w:sz w:val="14"/>
                <w:szCs w:val="14"/>
                <w:b w:val="1"/>
                <w:bCs w:val="1"/>
                <w:color w:val="FFFFFF"/>
              </w:rPr>
              <w:t>Mar 21</w:t>
            </w:r>
          </w:p>
        </w:tc>
        <w:tc>
          <w:tcPr>
            <w:tcW w:w="1000" w:type="dxa"/>
            <w:vAlign w:val="bottom"/>
            <w:vMerge w:val="restart"/>
            <w:shd w:val="clear" w:color="auto" w:fill="2AD2C9"/>
          </w:tcPr>
          <w:p>
            <w:pPr>
              <w:jc w:val="right"/>
              <w:ind w:right="308"/>
              <w:spacing w:after="0"/>
              <w:rPr>
                <w:sz w:val="20"/>
                <w:szCs w:val="20"/>
                <w:color w:val="auto"/>
              </w:rPr>
            </w:pPr>
            <w:r>
              <w:rPr>
                <w:rFonts w:ascii="Arial" w:cs="Arial" w:eastAsia="Arial" w:hAnsi="Arial"/>
                <w:sz w:val="14"/>
                <w:szCs w:val="14"/>
                <w:b w:val="1"/>
                <w:bCs w:val="1"/>
                <w:color w:val="FFFFFF"/>
              </w:rPr>
              <w:t>Dec 21</w:t>
            </w:r>
          </w:p>
        </w:tc>
        <w:tc>
          <w:tcPr>
            <w:tcW w:w="920" w:type="dxa"/>
            <w:vAlign w:val="bottom"/>
            <w:tcBorders>
              <w:right w:val="single" w:sz="8" w:color="auto"/>
            </w:tcBorders>
            <w:vMerge w:val="restart"/>
            <w:shd w:val="clear" w:color="auto" w:fill="2AD2C9"/>
          </w:tcPr>
          <w:p>
            <w:pPr>
              <w:jc w:val="right"/>
              <w:ind w:right="208"/>
              <w:spacing w:after="0"/>
              <w:rPr>
                <w:sz w:val="20"/>
                <w:szCs w:val="20"/>
                <w:color w:val="auto"/>
              </w:rPr>
            </w:pPr>
            <w:r>
              <w:rPr>
                <w:rFonts w:ascii="Arial" w:cs="Arial" w:eastAsia="Arial" w:hAnsi="Arial"/>
                <w:sz w:val="14"/>
                <w:szCs w:val="14"/>
                <w:b w:val="1"/>
                <w:bCs w:val="1"/>
                <w:color w:val="FFFFFF"/>
              </w:rPr>
              <w:t>Mar 22</w:t>
            </w:r>
          </w:p>
        </w:tc>
        <w:tc>
          <w:tcPr>
            <w:tcW w:w="1360" w:type="dxa"/>
            <w:vAlign w:val="bottom"/>
            <w:vMerge w:val="restart"/>
            <w:shd w:val="clear" w:color="auto" w:fill="2AD2C9"/>
          </w:tcPr>
          <w:p>
            <w:pPr>
              <w:jc w:val="right"/>
              <w:ind w:right="628"/>
              <w:spacing w:after="0"/>
              <w:rPr>
                <w:sz w:val="20"/>
                <w:szCs w:val="20"/>
                <w:color w:val="auto"/>
              </w:rPr>
            </w:pPr>
            <w:r>
              <w:rPr>
                <w:rFonts w:ascii="Arial" w:cs="Arial" w:eastAsia="Arial" w:hAnsi="Arial"/>
                <w:sz w:val="14"/>
                <w:szCs w:val="14"/>
                <w:b w:val="1"/>
                <w:bCs w:val="1"/>
                <w:color w:val="FFFFFF"/>
              </w:rPr>
              <w:t>QoQ</w:t>
            </w:r>
          </w:p>
        </w:tc>
        <w:tc>
          <w:tcPr>
            <w:tcW w:w="680" w:type="dxa"/>
            <w:vAlign w:val="bottom"/>
            <w:tcBorders>
              <w:right w:val="single" w:sz="8" w:color="auto"/>
            </w:tcBorders>
            <w:vMerge w:val="restart"/>
            <w:shd w:val="clear" w:color="auto" w:fill="2AD2C9"/>
          </w:tcPr>
          <w:p>
            <w:pPr>
              <w:jc w:val="right"/>
              <w:ind w:right="328"/>
              <w:spacing w:after="0"/>
              <w:rPr>
                <w:sz w:val="20"/>
                <w:szCs w:val="20"/>
                <w:color w:val="auto"/>
              </w:rPr>
            </w:pPr>
            <w:r>
              <w:rPr>
                <w:rFonts w:ascii="Arial" w:cs="Arial" w:eastAsia="Arial" w:hAnsi="Arial"/>
                <w:sz w:val="14"/>
                <w:szCs w:val="14"/>
                <w:b w:val="1"/>
                <w:bCs w:val="1"/>
                <w:color w:val="FFFFFF"/>
                <w:w w:val="95"/>
              </w:rPr>
              <w:t>YoY</w:t>
            </w:r>
          </w:p>
        </w:tc>
        <w:tc>
          <w:tcPr>
            <w:tcW w:w="0" w:type="dxa"/>
            <w:vAlign w:val="bottom"/>
          </w:tcPr>
          <w:p>
            <w:pPr>
              <w:spacing w:after="0"/>
              <w:rPr>
                <w:sz w:val="1"/>
                <w:szCs w:val="1"/>
                <w:color w:val="auto"/>
              </w:rPr>
            </w:pPr>
          </w:p>
        </w:tc>
      </w:tr>
      <w:tr>
        <w:trPr>
          <w:trHeight w:val="141"/>
        </w:trPr>
        <w:tc>
          <w:tcPr>
            <w:tcW w:w="62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100" w:type="dxa"/>
            <w:vAlign w:val="bottom"/>
            <w:tcBorders>
              <w:bottom w:val="single" w:sz="8" w:color="auto"/>
            </w:tcBorders>
            <w:vMerge w:val="continue"/>
            <w:shd w:val="clear" w:color="auto" w:fill="2AD2C9"/>
          </w:tcPr>
          <w:p>
            <w:pPr>
              <w:spacing w:after="0"/>
              <w:rPr>
                <w:sz w:val="12"/>
                <w:szCs w:val="12"/>
                <w:color w:val="auto"/>
              </w:rPr>
            </w:pPr>
          </w:p>
        </w:tc>
        <w:tc>
          <w:tcPr>
            <w:tcW w:w="1000" w:type="dxa"/>
            <w:vAlign w:val="bottom"/>
            <w:tcBorders>
              <w:bottom w:val="single" w:sz="8" w:color="auto"/>
            </w:tcBorders>
            <w:vMerge w:val="continue"/>
            <w:shd w:val="clear" w:color="auto" w:fill="2AD2C9"/>
          </w:tcPr>
          <w:p>
            <w:pPr>
              <w:spacing w:after="0"/>
              <w:rPr>
                <w:sz w:val="12"/>
                <w:szCs w:val="12"/>
                <w:color w:val="auto"/>
              </w:rPr>
            </w:pPr>
          </w:p>
        </w:tc>
        <w:tc>
          <w:tcPr>
            <w:tcW w:w="92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1360" w:type="dxa"/>
            <w:vAlign w:val="bottom"/>
            <w:tcBorders>
              <w:bottom w:val="single" w:sz="8" w:color="auto"/>
            </w:tcBorders>
            <w:vMerge w:val="continue"/>
            <w:shd w:val="clear" w:color="auto" w:fill="2AD2C9"/>
          </w:tcPr>
          <w:p>
            <w:pPr>
              <w:spacing w:after="0"/>
              <w:rPr>
                <w:sz w:val="12"/>
                <w:szCs w:val="12"/>
                <w:color w:val="auto"/>
              </w:rPr>
            </w:pPr>
          </w:p>
        </w:tc>
        <w:tc>
          <w:tcPr>
            <w:tcW w:w="68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4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Cash and due from banks</w:t>
            </w:r>
          </w:p>
        </w:tc>
        <w:tc>
          <w:tcPr>
            <w:tcW w:w="11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31,831,948</w:t>
            </w:r>
          </w:p>
        </w:tc>
        <w:tc>
          <w:tcPr>
            <w:tcW w:w="10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32,392,465</w:t>
            </w:r>
          </w:p>
        </w:tc>
        <w:tc>
          <w:tcPr>
            <w:tcW w:w="92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29,560,067</w:t>
            </w:r>
          </w:p>
        </w:tc>
        <w:tc>
          <w:tcPr>
            <w:tcW w:w="1360" w:type="dxa"/>
            <w:vAlign w:val="bottom"/>
          </w:tcPr>
          <w:p>
            <w:pPr>
              <w:jc w:val="right"/>
              <w:ind w:right="288"/>
              <w:spacing w:after="0" w:line="139" w:lineRule="exact"/>
              <w:rPr>
                <w:sz w:val="20"/>
                <w:szCs w:val="20"/>
                <w:color w:val="auto"/>
              </w:rPr>
            </w:pPr>
            <w:r>
              <w:rPr>
                <w:rFonts w:ascii="Arial" w:cs="Arial" w:eastAsia="Arial" w:hAnsi="Arial"/>
                <w:sz w:val="14"/>
                <w:szCs w:val="14"/>
                <w:color w:val="auto"/>
              </w:rPr>
              <w:t>-8.7%</w:t>
            </w:r>
          </w:p>
        </w:tc>
        <w:tc>
          <w:tcPr>
            <w:tcW w:w="68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Interbank funds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63,301</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2,943</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3,445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17.1%</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investments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59,412,732</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48,952,499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48,145,429</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-1.6%</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Cash collateral, reverse repurchase agreements and securities borrowing</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1,769,690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1,766,948</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1,516,855</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-14.2%</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Financial assets designated at fair value through profit or loss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888,420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974,664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856,337</w:t>
            </w:r>
          </w:p>
        </w:tc>
        <w:tc>
          <w:tcPr>
            <w:tcW w:w="1360" w:type="dxa"/>
            <w:vAlign w:val="bottom"/>
          </w:tcPr>
          <w:p>
            <w:pPr>
              <w:jc w:val="right"/>
              <w:ind w:right="288"/>
              <w:spacing w:after="0"/>
              <w:rPr>
                <w:sz w:val="20"/>
                <w:szCs w:val="20"/>
                <w:color w:val="auto"/>
              </w:rPr>
            </w:pPr>
            <w:r>
              <w:rPr>
                <w:rFonts w:ascii="Arial" w:cs="Arial" w:eastAsia="Arial" w:hAnsi="Arial"/>
                <w:sz w:val="14"/>
                <w:szCs w:val="14"/>
                <w:color w:val="auto"/>
              </w:rPr>
              <w:t>-12.1%</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77"/>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loans</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137,031,239</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147,597,412</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144,621,513</w:t>
            </w: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3"/>
        </w:trPr>
        <w:tc>
          <w:tcPr>
            <w:tcW w:w="624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interest earning assets</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230,997,330</w:t>
            </w:r>
          </w:p>
        </w:tc>
        <w:tc>
          <w:tcPr>
            <w:tcW w:w="10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231,686,931</w:t>
            </w:r>
          </w:p>
        </w:tc>
        <w:tc>
          <w:tcPr>
            <w:tcW w:w="92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224,703,646</w:t>
            </w:r>
          </w:p>
        </w:tc>
        <w:tc>
          <w:tcPr>
            <w:tcW w:w="1360" w:type="dxa"/>
            <w:vAlign w:val="bottom"/>
            <w:tcBorders>
              <w:bottom w:val="single" w:sz="8" w:color="auto"/>
            </w:tcBorders>
          </w:tcPr>
          <w:p>
            <w:pPr>
              <w:jc w:val="right"/>
              <w:ind w:right="288"/>
              <w:spacing w:after="0" w:line="153" w:lineRule="exact"/>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-755650</wp:posOffset>
            </wp:positionV>
            <wp:extent cx="2540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QoQ, IEAs fell 3.0%. This was due primarily to a decrease in liquid asset balances (available funds and investments) and loan balances.</w:t>
      </w:r>
    </w:p>
    <w:p>
      <w:pPr>
        <w:spacing w:after="0" w:line="2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decline in liquid assets was attributable to (i) an exchange rate effect due to the depreciation of the US Dollar, given that a significant portion of liquid assets is in FC; and (ii) a decrease in liquidity levels in the financial system due to amortizations of GP loans and the consequent decrease in our available funds. The QoQ drop was also attributable the base effect generated by statutory bonus payments in 4Q21, which were subsequently withdrawn and used by clients in 1Q22.</w:t>
      </w:r>
    </w:p>
    <w:p>
      <w:pPr>
        <w:spacing w:after="0" w:line="1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Loans fell 2.0%, driven primarily by amortizations of GP loans and, to a lesser extent, by the exchange rate effect. If we exclude the variation in government programs and the exchange rate effect, structural loans grew 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YoY, IEAs fell 2.7% due to a decrease in the investment portfolio and in available funds, which was partially offset by loan growth.</w:t>
      </w:r>
    </w:p>
    <w:p>
      <w:pPr>
        <w:spacing w:after="0" w:line="20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Investments fell due to (i) expirations of certificates of deposit that were not renewed due to a decrease in the level of excess liquidity and (ii) sales to reduce the portfolio’s exposure to interest rate movements. Amortizations of GP loans, which reduce the system’s liquidity, also led to a drop in available funds. Structural loans grew 13.7% during the period while GP loans fell 32.5%.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3.2. Funding</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6240" w:type="dxa"/>
            <w:vAlign w:val="bottom"/>
            <w:tcBorders>
              <w:top w:val="single" w:sz="8" w:color="auto"/>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Funding</w:t>
            </w:r>
          </w:p>
        </w:tc>
        <w:tc>
          <w:tcPr>
            <w:tcW w:w="1100" w:type="dxa"/>
            <w:vAlign w:val="bottom"/>
            <w:tcBorders>
              <w:top w:val="single" w:sz="8" w:color="auto"/>
            </w:tcBorders>
            <w:shd w:val="clear" w:color="auto" w:fill="2AD2C9"/>
          </w:tcPr>
          <w:p>
            <w:pPr>
              <w:spacing w:after="0"/>
              <w:rPr>
                <w:sz w:val="12"/>
                <w:szCs w:val="12"/>
                <w:color w:val="auto"/>
              </w:rPr>
            </w:pPr>
          </w:p>
        </w:tc>
        <w:tc>
          <w:tcPr>
            <w:tcW w:w="1000" w:type="dxa"/>
            <w:vAlign w:val="bottom"/>
            <w:tcBorders>
              <w:top w:val="single" w:sz="8" w:color="auto"/>
            </w:tcBorders>
            <w:vMerge w:val="restart"/>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As of</w:t>
            </w:r>
          </w:p>
        </w:tc>
        <w:tc>
          <w:tcPr>
            <w:tcW w:w="920" w:type="dxa"/>
            <w:vAlign w:val="bottom"/>
            <w:tcBorders>
              <w:top w:val="single" w:sz="8" w:color="auto"/>
              <w:right w:val="single" w:sz="8" w:color="auto"/>
            </w:tcBorders>
            <w:shd w:val="clear" w:color="auto" w:fill="2AD2C9"/>
          </w:tcPr>
          <w:p>
            <w:pPr>
              <w:spacing w:after="0"/>
              <w:rPr>
                <w:sz w:val="12"/>
                <w:szCs w:val="12"/>
                <w:color w:val="auto"/>
              </w:rPr>
            </w:pPr>
          </w:p>
        </w:tc>
        <w:tc>
          <w:tcPr>
            <w:tcW w:w="2040" w:type="dxa"/>
            <w:vAlign w:val="bottom"/>
            <w:tcBorders>
              <w:top w:val="single" w:sz="8" w:color="auto"/>
              <w:right w:val="single" w:sz="8" w:color="auto"/>
            </w:tcBorders>
            <w:gridSpan w:val="2"/>
            <w:vMerge w:val="restart"/>
            <w:shd w:val="clear" w:color="auto" w:fill="2AD2C9"/>
          </w:tcPr>
          <w:p>
            <w:pPr>
              <w:ind w:left="660"/>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12"/>
        </w:trPr>
        <w:tc>
          <w:tcPr>
            <w:tcW w:w="624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100" w:type="dxa"/>
            <w:vAlign w:val="bottom"/>
            <w:shd w:val="clear" w:color="auto" w:fill="2AD2C9"/>
          </w:tcPr>
          <w:p>
            <w:pPr>
              <w:spacing w:after="0"/>
              <w:rPr>
                <w:sz w:val="9"/>
                <w:szCs w:val="9"/>
                <w:color w:val="auto"/>
              </w:rPr>
            </w:pPr>
          </w:p>
        </w:tc>
        <w:tc>
          <w:tcPr>
            <w:tcW w:w="1000" w:type="dxa"/>
            <w:vAlign w:val="bottom"/>
            <w:vMerge w:val="continue"/>
            <w:shd w:val="clear" w:color="auto" w:fill="2AD2C9"/>
          </w:tcPr>
          <w:p>
            <w:pPr>
              <w:spacing w:after="0"/>
              <w:rPr>
                <w:sz w:val="9"/>
                <w:szCs w:val="9"/>
                <w:color w:val="auto"/>
              </w:rPr>
            </w:pPr>
          </w:p>
        </w:tc>
        <w:tc>
          <w:tcPr>
            <w:tcW w:w="920" w:type="dxa"/>
            <w:vAlign w:val="bottom"/>
            <w:tcBorders>
              <w:right w:val="single" w:sz="8" w:color="auto"/>
            </w:tcBorders>
            <w:shd w:val="clear" w:color="auto" w:fill="2AD2C9"/>
          </w:tcPr>
          <w:p>
            <w:pPr>
              <w:spacing w:after="0"/>
              <w:rPr>
                <w:sz w:val="9"/>
                <w:szCs w:val="9"/>
                <w:color w:val="auto"/>
              </w:rPr>
            </w:pPr>
          </w:p>
        </w:tc>
        <w:tc>
          <w:tcPr>
            <w:tcW w:w="2040" w:type="dxa"/>
            <w:vAlign w:val="bottom"/>
            <w:tcBorders>
              <w:right w:val="single" w:sz="8" w:color="auto"/>
            </w:tcBorders>
            <w:gridSpan w:val="2"/>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24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1100" w:type="dxa"/>
            <w:vAlign w:val="bottom"/>
            <w:vMerge w:val="restart"/>
            <w:shd w:val="clear" w:color="auto" w:fill="2AD2C9"/>
          </w:tcPr>
          <w:p>
            <w:pPr>
              <w:jc w:val="right"/>
              <w:ind w:right="308"/>
              <w:spacing w:after="0"/>
              <w:rPr>
                <w:sz w:val="20"/>
                <w:szCs w:val="20"/>
                <w:color w:val="auto"/>
              </w:rPr>
            </w:pPr>
            <w:r>
              <w:rPr>
                <w:rFonts w:ascii="Arial" w:cs="Arial" w:eastAsia="Arial" w:hAnsi="Arial"/>
                <w:sz w:val="14"/>
                <w:szCs w:val="14"/>
                <w:b w:val="1"/>
                <w:bCs w:val="1"/>
                <w:color w:val="FFFFFF"/>
              </w:rPr>
              <w:t>Mar 21</w:t>
            </w:r>
          </w:p>
        </w:tc>
        <w:tc>
          <w:tcPr>
            <w:tcW w:w="1000" w:type="dxa"/>
            <w:vAlign w:val="bottom"/>
            <w:vMerge w:val="restart"/>
            <w:shd w:val="clear" w:color="auto" w:fill="2AD2C9"/>
          </w:tcPr>
          <w:p>
            <w:pPr>
              <w:jc w:val="right"/>
              <w:ind w:right="308"/>
              <w:spacing w:after="0"/>
              <w:rPr>
                <w:sz w:val="20"/>
                <w:szCs w:val="20"/>
                <w:color w:val="auto"/>
              </w:rPr>
            </w:pPr>
            <w:r>
              <w:rPr>
                <w:rFonts w:ascii="Arial" w:cs="Arial" w:eastAsia="Arial" w:hAnsi="Arial"/>
                <w:sz w:val="14"/>
                <w:szCs w:val="14"/>
                <w:b w:val="1"/>
                <w:bCs w:val="1"/>
                <w:color w:val="FFFFFF"/>
              </w:rPr>
              <w:t>Dec 21</w:t>
            </w:r>
          </w:p>
        </w:tc>
        <w:tc>
          <w:tcPr>
            <w:tcW w:w="920" w:type="dxa"/>
            <w:vAlign w:val="bottom"/>
            <w:tcBorders>
              <w:right w:val="single" w:sz="8" w:color="auto"/>
            </w:tcBorders>
            <w:vMerge w:val="restart"/>
            <w:shd w:val="clear" w:color="auto" w:fill="2AD2C9"/>
          </w:tcPr>
          <w:p>
            <w:pPr>
              <w:jc w:val="right"/>
              <w:ind w:right="208"/>
              <w:spacing w:after="0"/>
              <w:rPr>
                <w:sz w:val="20"/>
                <w:szCs w:val="20"/>
                <w:color w:val="auto"/>
              </w:rPr>
            </w:pPr>
            <w:r>
              <w:rPr>
                <w:rFonts w:ascii="Arial" w:cs="Arial" w:eastAsia="Arial" w:hAnsi="Arial"/>
                <w:sz w:val="14"/>
                <w:szCs w:val="14"/>
                <w:b w:val="1"/>
                <w:bCs w:val="1"/>
                <w:color w:val="FFFFFF"/>
              </w:rPr>
              <w:t>Mar 22</w:t>
            </w:r>
          </w:p>
        </w:tc>
        <w:tc>
          <w:tcPr>
            <w:tcW w:w="1000" w:type="dxa"/>
            <w:vAlign w:val="bottom"/>
            <w:vMerge w:val="restart"/>
            <w:shd w:val="clear" w:color="auto" w:fill="2AD2C9"/>
          </w:tcPr>
          <w:p>
            <w:pPr>
              <w:ind w:left="340"/>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right w:val="single" w:sz="8" w:color="auto"/>
            </w:tcBorders>
            <w:vMerge w:val="restart"/>
            <w:shd w:val="clear" w:color="auto" w:fill="2AD2C9"/>
          </w:tcPr>
          <w:p>
            <w:pPr>
              <w:ind w:left="360"/>
              <w:spacing w:after="0"/>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41"/>
        </w:trPr>
        <w:tc>
          <w:tcPr>
            <w:tcW w:w="624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100" w:type="dxa"/>
            <w:vAlign w:val="bottom"/>
            <w:tcBorders>
              <w:bottom w:val="single" w:sz="8" w:color="auto"/>
            </w:tcBorders>
            <w:vMerge w:val="continue"/>
            <w:shd w:val="clear" w:color="auto" w:fill="2AD2C9"/>
          </w:tcPr>
          <w:p>
            <w:pPr>
              <w:spacing w:after="0"/>
              <w:rPr>
                <w:sz w:val="12"/>
                <w:szCs w:val="12"/>
                <w:color w:val="auto"/>
              </w:rPr>
            </w:pPr>
          </w:p>
        </w:tc>
        <w:tc>
          <w:tcPr>
            <w:tcW w:w="1000" w:type="dxa"/>
            <w:vAlign w:val="bottom"/>
            <w:tcBorders>
              <w:bottom w:val="single" w:sz="8" w:color="auto"/>
            </w:tcBorders>
            <w:vMerge w:val="continue"/>
            <w:shd w:val="clear" w:color="auto" w:fill="2AD2C9"/>
          </w:tcPr>
          <w:p>
            <w:pPr>
              <w:spacing w:after="0"/>
              <w:rPr>
                <w:sz w:val="12"/>
                <w:szCs w:val="12"/>
                <w:color w:val="auto"/>
              </w:rPr>
            </w:pPr>
          </w:p>
        </w:tc>
        <w:tc>
          <w:tcPr>
            <w:tcW w:w="92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1000" w:type="dxa"/>
            <w:vAlign w:val="bottom"/>
            <w:tcBorders>
              <w:bottom w:val="single" w:sz="8" w:color="auto"/>
            </w:tcBorders>
            <w:vMerge w:val="continue"/>
            <w:shd w:val="clear" w:color="auto" w:fill="2AD2C9"/>
          </w:tcPr>
          <w:p>
            <w:pPr>
              <w:spacing w:after="0"/>
              <w:rPr>
                <w:sz w:val="12"/>
                <w:szCs w:val="12"/>
                <w:color w:val="auto"/>
              </w:rPr>
            </w:pPr>
          </w:p>
        </w:tc>
        <w:tc>
          <w:tcPr>
            <w:tcW w:w="104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24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Deposits and obligations</w:t>
            </w:r>
          </w:p>
        </w:tc>
        <w:tc>
          <w:tcPr>
            <w:tcW w:w="11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148,626,339</w:t>
            </w:r>
          </w:p>
        </w:tc>
        <w:tc>
          <w:tcPr>
            <w:tcW w:w="10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150,340,862</w:t>
            </w:r>
          </w:p>
        </w:tc>
        <w:tc>
          <w:tcPr>
            <w:tcW w:w="92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147,915,964</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-1.6%</w:t>
            </w: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Due to banks and correspondents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5,305,933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7,212,946</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6,362,990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-11.8%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BCRP instruments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24,303,193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19,692,474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17,532,350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-11.0%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Repurchase agreements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1,159,587</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1,296,277</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1,218,028</w:t>
            </w:r>
          </w:p>
        </w:tc>
        <w:tc>
          <w:tcPr>
            <w:tcW w:w="1000" w:type="dxa"/>
            <w:vAlign w:val="bottom"/>
          </w:tcPr>
          <w:p>
            <w:pPr>
              <w:jc w:val="center"/>
              <w:spacing w:after="0"/>
              <w:rPr>
                <w:sz w:val="20"/>
                <w:szCs w:val="20"/>
                <w:color w:val="auto"/>
              </w:rPr>
            </w:pPr>
            <w:r>
              <w:rPr>
                <w:rFonts w:ascii="Arial" w:cs="Arial" w:eastAsia="Arial" w:hAnsi="Arial"/>
                <w:sz w:val="14"/>
                <w:szCs w:val="14"/>
                <w:color w:val="auto"/>
              </w:rPr>
              <w:t>-6.0%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7"/>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Bonds and notes issued</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17,863,198</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17,078,829</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16,044,671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53"/>
        </w:trPr>
        <w:tc>
          <w:tcPr>
            <w:tcW w:w="624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funding</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197,258,250</w:t>
            </w:r>
          </w:p>
        </w:tc>
        <w:tc>
          <w:tcPr>
            <w:tcW w:w="10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195,621,388</w:t>
            </w:r>
          </w:p>
        </w:tc>
        <w:tc>
          <w:tcPr>
            <w:tcW w:w="92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189,074,003</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-3.3%</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-652780</wp:posOffset>
            </wp:positionV>
            <wp:extent cx="2540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QoQ, funding fell 3.3% due to the exchange rate effect and to a decrease in BCRP instruments due to amortizations of GP loans.</w:t>
      </w:r>
    </w:p>
    <w:p>
      <w:pPr>
        <w:spacing w:after="0" w:line="207"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YoY, funding fell 4.1%. This was primarily due to a drop in the system’s liquidity due to a decrease in GP loan balances, which spurred a reduction in the balances of BCRP instruments and in deposits and obligations.</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04 </w:t>
      </w:r>
      <w:r>
        <w:rPr>
          <w:rFonts w:ascii="Times New Roman" w:cs="Times New Roman" w:eastAsia="Times New Roman" w:hAnsi="Times New Roman"/>
          <w:sz w:val="25"/>
          <w:szCs w:val="25"/>
          <w:b w:val="1"/>
          <w:bCs w:val="1"/>
          <w:color w:val="E93C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227330</wp:posOffset>
            </wp:positionV>
            <wp:extent cx="7159625" cy="811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8115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20" w:right="140"/>
        <w:spacing w:after="0" w:line="264" w:lineRule="auto"/>
        <w:rPr>
          <w:sz w:val="20"/>
          <w:szCs w:val="20"/>
          <w:color w:val="auto"/>
        </w:rPr>
      </w:pPr>
      <w:r>
        <w:rPr>
          <w:rFonts w:ascii="Arial" w:cs="Arial" w:eastAsia="Arial" w:hAnsi="Arial"/>
          <w:sz w:val="14"/>
          <w:szCs w:val="14"/>
          <w:color w:val="FFFFFF"/>
        </w:rPr>
        <w:t>In 1Q22, Net Interest Income continued to recover. Growth was attributable to higher interest rates, which impacted liquid assets in particular. This was accompanied by an increase in the volume of structural loans, our most profitable asset; the pace of growth of these loans has accelerated over the last 3 months. Additionally, given that 60% of the funding base is comprised of low-cost deposits, financial expenses remained under control in an environment marked by rising interest rates.</w:t>
      </w:r>
    </w:p>
    <w:p>
      <w:pPr>
        <w:spacing w:after="0" w:line="119" w:lineRule="exact"/>
        <w:rPr>
          <w:sz w:val="20"/>
          <w:szCs w:val="20"/>
          <w:color w:val="auto"/>
        </w:rPr>
      </w:pPr>
    </w:p>
    <w:p>
      <w:pPr>
        <w:ind w:left="120" w:right="200"/>
        <w:spacing w:after="0" w:line="286" w:lineRule="auto"/>
        <w:rPr>
          <w:sz w:val="20"/>
          <w:szCs w:val="20"/>
          <w:color w:val="auto"/>
        </w:rPr>
      </w:pPr>
      <w:r>
        <w:rPr>
          <w:rFonts w:ascii="Arial" w:cs="Arial" w:eastAsia="Arial" w:hAnsi="Arial"/>
          <w:sz w:val="14"/>
          <w:szCs w:val="14"/>
          <w:color w:val="FFFFFF"/>
        </w:rPr>
        <w:t>In this context, in 1Q22, the Net Interest Margin registered an uptick in recovery and stood at 4.44% (vs. 4.25% last quarter) while the structural Net Interest Margin stood at 4.72% (vs. 4.54% last quarter).</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624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Net Interest Income / Margin</w:t>
            </w:r>
          </w:p>
        </w:tc>
        <w:tc>
          <w:tcPr>
            <w:tcW w:w="1100" w:type="dxa"/>
            <w:vAlign w:val="bottom"/>
            <w:tcBorders>
              <w:top w:val="single" w:sz="8" w:color="auto"/>
            </w:tcBorders>
            <w:shd w:val="clear" w:color="auto" w:fill="2AD2C9"/>
          </w:tcPr>
          <w:p>
            <w:pPr>
              <w:spacing w:after="0"/>
              <w:rPr>
                <w:sz w:val="13"/>
                <w:szCs w:val="13"/>
                <w:color w:val="auto"/>
              </w:rPr>
            </w:pPr>
          </w:p>
        </w:tc>
        <w:tc>
          <w:tcPr>
            <w:tcW w:w="1020" w:type="dxa"/>
            <w:vAlign w:val="bottom"/>
            <w:tcBorders>
              <w:top w:val="single" w:sz="8" w:color="auto"/>
            </w:tcBorders>
            <w:shd w:val="clear" w:color="auto" w:fill="2AD2C9"/>
          </w:tcPr>
          <w:p>
            <w:pPr>
              <w:jc w:val="right"/>
              <w:ind w:right="288"/>
              <w:spacing w:after="0" w:line="159" w:lineRule="exact"/>
              <w:rPr>
                <w:sz w:val="20"/>
                <w:szCs w:val="20"/>
                <w:color w:val="auto"/>
              </w:rPr>
            </w:pPr>
            <w:r>
              <w:rPr>
                <w:rFonts w:ascii="Arial" w:cs="Arial" w:eastAsia="Arial" w:hAnsi="Arial"/>
                <w:sz w:val="14"/>
                <w:szCs w:val="14"/>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3"/>
                <w:szCs w:val="13"/>
                <w:color w:val="auto"/>
              </w:rPr>
            </w:pPr>
          </w:p>
        </w:tc>
        <w:tc>
          <w:tcPr>
            <w:tcW w:w="2020" w:type="dxa"/>
            <w:vAlign w:val="bottom"/>
            <w:tcBorders>
              <w:top w:val="single" w:sz="8" w:color="auto"/>
              <w:right w:val="single" w:sz="8" w:color="auto"/>
            </w:tcBorders>
            <w:gridSpan w:val="2"/>
            <w:shd w:val="clear" w:color="auto" w:fill="2AD2C9"/>
          </w:tcPr>
          <w:p>
            <w:pPr>
              <w:ind w:left="660"/>
              <w:spacing w:after="0" w:line="159" w:lineRule="exact"/>
              <w:rPr>
                <w:sz w:val="20"/>
                <w:szCs w:val="20"/>
                <w:color w:val="auto"/>
              </w:rPr>
            </w:pPr>
            <w:r>
              <w:rPr>
                <w:rFonts w:ascii="Arial" w:cs="Arial" w:eastAsia="Arial" w:hAnsi="Arial"/>
                <w:sz w:val="14"/>
                <w:szCs w:val="14"/>
                <w:b w:val="1"/>
                <w:bCs w:val="1"/>
                <w:color w:val="FFFFFF"/>
              </w:rPr>
              <w:t>% change</w:t>
            </w:r>
          </w:p>
        </w:tc>
      </w:tr>
      <w:tr>
        <w:trPr>
          <w:trHeight w:val="177"/>
        </w:trPr>
        <w:tc>
          <w:tcPr>
            <w:tcW w:w="62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100" w:type="dxa"/>
            <w:vAlign w:val="bottom"/>
            <w:tcBorders>
              <w:bottom w:val="single" w:sz="8" w:color="auto"/>
            </w:tcBorders>
            <w:shd w:val="clear" w:color="auto" w:fill="2AD2C9"/>
          </w:tcPr>
          <w:p>
            <w:pPr>
              <w:jc w:val="right"/>
              <w:ind w:right="368"/>
              <w:spacing w:after="0"/>
              <w:rPr>
                <w:sz w:val="20"/>
                <w:szCs w:val="20"/>
                <w:color w:val="auto"/>
              </w:rPr>
            </w:pPr>
            <w:r>
              <w:rPr>
                <w:rFonts w:ascii="Arial" w:cs="Arial" w:eastAsia="Arial" w:hAnsi="Arial"/>
                <w:sz w:val="14"/>
                <w:szCs w:val="14"/>
                <w:b w:val="1"/>
                <w:bCs w:val="1"/>
                <w:color w:val="FFFFFF"/>
              </w:rPr>
              <w:t>1Q21</w:t>
            </w:r>
          </w:p>
        </w:tc>
        <w:tc>
          <w:tcPr>
            <w:tcW w:w="1020" w:type="dxa"/>
            <w:vAlign w:val="bottom"/>
            <w:tcBorders>
              <w:bottom w:val="single" w:sz="8" w:color="auto"/>
            </w:tcBorders>
            <w:shd w:val="clear" w:color="auto" w:fill="2AD2C9"/>
          </w:tcPr>
          <w:p>
            <w:pPr>
              <w:jc w:val="right"/>
              <w:ind w:right="368"/>
              <w:spacing w:after="0"/>
              <w:rPr>
                <w:sz w:val="20"/>
                <w:szCs w:val="20"/>
                <w:color w:val="auto"/>
              </w:rPr>
            </w:pPr>
            <w:r>
              <w:rPr>
                <w:rFonts w:ascii="Arial" w:cs="Arial" w:eastAsia="Arial" w:hAnsi="Arial"/>
                <w:sz w:val="14"/>
                <w:szCs w:val="14"/>
                <w:b w:val="1"/>
                <w:bCs w:val="1"/>
                <w:color w:val="FFFFFF"/>
              </w:rPr>
              <w:t>4Q21</w:t>
            </w:r>
          </w:p>
        </w:tc>
        <w:tc>
          <w:tcPr>
            <w:tcW w:w="920" w:type="dxa"/>
            <w:vAlign w:val="bottom"/>
            <w:tcBorders>
              <w:bottom w:val="single" w:sz="8" w:color="auto"/>
              <w:right w:val="single" w:sz="8" w:color="auto"/>
            </w:tcBorders>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1Q22</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4"/>
                <w:szCs w:val="14"/>
                <w:b w:val="1"/>
                <w:bCs w:val="1"/>
                <w:color w:val="FFFFFF"/>
              </w:rPr>
              <w:t>YoY</w:t>
            </w:r>
          </w:p>
        </w:tc>
      </w:tr>
      <w:tr>
        <w:trPr>
          <w:trHeight w:val="139"/>
        </w:trPr>
        <w:tc>
          <w:tcPr>
            <w:tcW w:w="6240" w:type="dxa"/>
            <w:vAlign w:val="bottom"/>
            <w:tcBorders>
              <w:left w:val="single" w:sz="8" w:color="auto"/>
              <w:right w:val="single" w:sz="8" w:color="auto"/>
            </w:tcBorders>
          </w:tcPr>
          <w:p>
            <w:pPr>
              <w:ind w:left="140"/>
              <w:spacing w:after="0" w:line="139" w:lineRule="exact"/>
              <w:rPr>
                <w:sz w:val="20"/>
                <w:szCs w:val="20"/>
                <w:color w:val="auto"/>
              </w:rPr>
            </w:pPr>
            <w:r>
              <w:rPr>
                <w:rFonts w:ascii="Arial" w:cs="Arial" w:eastAsia="Arial" w:hAnsi="Arial"/>
                <w:sz w:val="14"/>
                <w:szCs w:val="14"/>
                <w:color w:val="auto"/>
              </w:rPr>
              <w:t>Interest Income</w:t>
            </w:r>
          </w:p>
        </w:tc>
        <w:tc>
          <w:tcPr>
            <w:tcW w:w="1100" w:type="dxa"/>
            <w:vAlign w:val="bottom"/>
          </w:tcPr>
          <w:p>
            <w:pPr>
              <w:jc w:val="right"/>
              <w:ind w:right="28"/>
              <w:spacing w:after="0" w:line="139" w:lineRule="exact"/>
              <w:rPr>
                <w:sz w:val="20"/>
                <w:szCs w:val="20"/>
                <w:color w:val="auto"/>
              </w:rPr>
            </w:pPr>
            <w:r>
              <w:rPr>
                <w:rFonts w:ascii="Arial" w:cs="Arial" w:eastAsia="Arial" w:hAnsi="Arial"/>
                <w:sz w:val="14"/>
                <w:szCs w:val="14"/>
                <w:color w:val="auto"/>
              </w:rPr>
              <w:t>2,816,073</w:t>
            </w:r>
          </w:p>
        </w:tc>
        <w:tc>
          <w:tcPr>
            <w:tcW w:w="10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3,091,754</w:t>
            </w:r>
          </w:p>
        </w:tc>
        <w:tc>
          <w:tcPr>
            <w:tcW w:w="92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3,172,346</w:t>
            </w:r>
          </w:p>
        </w:tc>
        <w:tc>
          <w:tcPr>
            <w:tcW w:w="980" w:type="dxa"/>
            <w:vAlign w:val="bottom"/>
          </w:tcPr>
          <w:p>
            <w:pPr>
              <w:jc w:val="center"/>
              <w:spacing w:after="0" w:line="139" w:lineRule="exact"/>
              <w:rPr>
                <w:sz w:val="20"/>
                <w:szCs w:val="20"/>
                <w:color w:val="auto"/>
              </w:rPr>
            </w:pPr>
            <w:r>
              <w:rPr>
                <w:rFonts w:ascii="Arial" w:cs="Arial" w:eastAsia="Arial" w:hAnsi="Arial"/>
                <w:sz w:val="14"/>
                <w:szCs w:val="14"/>
                <w:color w:val="auto"/>
              </w:rPr>
              <w:t>2.6%</w:t>
            </w: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12.7%</w:t>
            </w:r>
          </w:p>
        </w:tc>
      </w:tr>
      <w:tr>
        <w:trPr>
          <w:trHeight w:val="177"/>
        </w:trPr>
        <w:tc>
          <w:tcPr>
            <w:tcW w:w="6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Interest Expense</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692,690</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613,907</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638,256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-7.9%</w:t>
            </w:r>
          </w:p>
        </w:tc>
      </w:tr>
      <w:tr>
        <w:trPr>
          <w:trHeight w:val="189"/>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2,123,383</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2,477,847</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2,534,090</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19.3%</w:t>
            </w:r>
          </w:p>
        </w:tc>
      </w:tr>
      <w:tr>
        <w:trPr>
          <w:trHeight w:val="274"/>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Balances</w:t>
            </w:r>
          </w:p>
        </w:tc>
        <w:tc>
          <w:tcPr>
            <w:tcW w:w="1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r>
      <w:tr>
        <w:trPr>
          <w:trHeight w:val="162"/>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Average Interest Earning Assets (IEA)</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227,812,456</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233,016,342</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228,195,289</w:t>
            </w:r>
          </w:p>
        </w:tc>
        <w:tc>
          <w:tcPr>
            <w:tcW w:w="980" w:type="dxa"/>
            <w:vAlign w:val="bottom"/>
          </w:tcPr>
          <w:p>
            <w:pPr>
              <w:jc w:val="center"/>
              <w:spacing w:after="0"/>
              <w:rPr>
                <w:sz w:val="20"/>
                <w:szCs w:val="20"/>
                <w:color w:val="auto"/>
              </w:rPr>
            </w:pPr>
            <w:r>
              <w:rPr>
                <w:rFonts w:ascii="Arial" w:cs="Arial" w:eastAsia="Arial" w:hAnsi="Arial"/>
                <w:sz w:val="14"/>
                <w:szCs w:val="14"/>
                <w:color w:val="auto"/>
              </w:rPr>
              <w:t>-2.1%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w:t>
            </w:r>
          </w:p>
        </w:tc>
      </w:tr>
      <w:tr>
        <w:trPr>
          <w:trHeight w:val="191"/>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Average Funding</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194,364,649</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197,645,369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192,347,695</w:t>
            </w:r>
          </w:p>
        </w:tc>
        <w:tc>
          <w:tcPr>
            <w:tcW w:w="980" w:type="dxa"/>
            <w:vAlign w:val="bottom"/>
          </w:tcPr>
          <w:p>
            <w:pPr>
              <w:jc w:val="center"/>
              <w:spacing w:after="0"/>
              <w:rPr>
                <w:sz w:val="20"/>
                <w:szCs w:val="20"/>
                <w:color w:val="auto"/>
              </w:rPr>
            </w:pPr>
            <w:r>
              <w:rPr>
                <w:rFonts w:ascii="Arial" w:cs="Arial" w:eastAsia="Arial" w:hAnsi="Arial"/>
                <w:sz w:val="14"/>
                <w:szCs w:val="14"/>
                <w:color w:val="auto"/>
              </w:rPr>
              <w:t>-2.7%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w:t>
            </w:r>
          </w:p>
        </w:tc>
      </w:tr>
      <w:tr>
        <w:trPr>
          <w:trHeight w:val="297"/>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Yields</w:t>
            </w: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162"/>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Yield on IEAs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5.31%</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980" w:type="dxa"/>
            <w:vAlign w:val="bottom"/>
          </w:tcPr>
          <w:p>
            <w:pPr>
              <w:jc w:val="center"/>
              <w:spacing w:after="0"/>
              <w:rPr>
                <w:sz w:val="20"/>
                <w:szCs w:val="20"/>
                <w:color w:val="auto"/>
              </w:rPr>
            </w:pPr>
            <w:r>
              <w:rPr>
                <w:rFonts w:ascii="Arial" w:cs="Arial" w:eastAsia="Arial" w:hAnsi="Arial"/>
                <w:sz w:val="14"/>
                <w:szCs w:val="14"/>
                <w:color w:val="auto"/>
              </w:rPr>
              <w:t>25pbs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62pbs</w:t>
            </w:r>
          </w:p>
        </w:tc>
      </w:tr>
      <w:tr>
        <w:trPr>
          <w:trHeight w:val="162"/>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Cost of Funds</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980" w:type="dxa"/>
            <w:vAlign w:val="bottom"/>
          </w:tcPr>
          <w:p>
            <w:pPr>
              <w:jc w:val="center"/>
              <w:spacing w:after="0"/>
              <w:rPr>
                <w:sz w:val="20"/>
                <w:szCs w:val="20"/>
                <w:color w:val="auto"/>
              </w:rPr>
            </w:pPr>
            <w:r>
              <w:rPr>
                <w:rFonts w:ascii="Arial" w:cs="Arial" w:eastAsia="Arial" w:hAnsi="Arial"/>
                <w:sz w:val="14"/>
                <w:szCs w:val="14"/>
                <w:color w:val="auto"/>
              </w:rPr>
              <w:t>9pbs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-10pbs</w:t>
            </w:r>
          </w:p>
        </w:tc>
      </w:tr>
      <w:tr>
        <w:trPr>
          <w:trHeight w:val="162"/>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Net Interest Margin (MNI)</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3.73%</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4.25%</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4.44%</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19pbs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71pbs</w:t>
            </w:r>
          </w:p>
        </w:tc>
      </w:tr>
      <w:tr>
        <w:trPr>
          <w:trHeight w:val="162"/>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Risk-Adjusted Net Interest Margin</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2.75%</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4.04%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3.99%</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-5pbs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124pbs</w:t>
            </w:r>
          </w:p>
        </w:tc>
      </w:tr>
      <w:tr>
        <w:trPr>
          <w:trHeight w:val="162"/>
        </w:trPr>
        <w:tc>
          <w:tcPr>
            <w:tcW w:w="62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Peru's Reference Rate</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0.25%</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2.50%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4.00%</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150pbs</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375pbs</w:t>
            </w:r>
          </w:p>
        </w:tc>
      </w:tr>
      <w:tr>
        <w:trPr>
          <w:trHeight w:val="177"/>
        </w:trPr>
        <w:tc>
          <w:tcPr>
            <w:tcW w:w="62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FED funds rate</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0.25%</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0.25%</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0.50%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25pbs</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25pbs</w:t>
            </w:r>
          </w:p>
        </w:tc>
      </w:tr>
    </w:tbl>
    <w:p>
      <w:pPr>
        <w:spacing w:after="0" w:line="17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QoQ, </w:t>
      </w:r>
      <w:r>
        <w:rPr>
          <w:rFonts w:ascii="Times New Roman" w:cs="Times New Roman" w:eastAsia="Times New Roman" w:hAnsi="Times New Roman"/>
          <w:sz w:val="14"/>
          <w:szCs w:val="14"/>
          <w:b w:val="1"/>
          <w:bCs w:val="1"/>
          <w:color w:val="auto"/>
        </w:rPr>
        <w:t>Net Interest Income</w:t>
      </w:r>
      <w:r>
        <w:rPr>
          <w:rFonts w:ascii="Times New Roman" w:cs="Times New Roman" w:eastAsia="Times New Roman" w:hAnsi="Times New Roman"/>
          <w:sz w:val="14"/>
          <w:szCs w:val="14"/>
          <w:color w:val="auto"/>
        </w:rPr>
        <w:t xml:space="preserve"> grew 2.3%, which reflected the fact that growth in income outpaced the increase registered for expenses in a context of rising interest rates. Consequently, NIM rose 19bps and stood at 4.44% in 1Q22.</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 xml:space="preserve">YoY, </w:t>
      </w:r>
      <w:r>
        <w:rPr>
          <w:rFonts w:ascii="Times New Roman" w:cs="Times New Roman" w:eastAsia="Times New Roman" w:hAnsi="Times New Roman"/>
          <w:sz w:val="14"/>
          <w:szCs w:val="14"/>
          <w:b w:val="1"/>
          <w:bCs w:val="1"/>
          <w:color w:val="auto"/>
        </w:rPr>
        <w:t>Net Interest Income</w:t>
      </w:r>
      <w:r>
        <w:rPr>
          <w:rFonts w:ascii="Times New Roman" w:cs="Times New Roman" w:eastAsia="Times New Roman" w:hAnsi="Times New Roman"/>
          <w:sz w:val="14"/>
          <w:szCs w:val="14"/>
          <w:color w:val="auto"/>
        </w:rPr>
        <w:t xml:space="preserve"> grew 19.3%, which was primarily attributable to an increase in income, and to a lesser extent, to a drop in expenses. Income rose, driven by uptick in the volume and yields of IEAs, while expenses fell due to the fact that a non-recurring charge for liability management was reported at BCP last year. This dynamic translated into a 71bps increase in NIM. If we exclude non-recurring charges, Net Interest Income rose 16.7% YoY and NIM grew 63bps.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Net Interest Margin</w:t>
            </w:r>
          </w:p>
        </w:tc>
        <w:tc>
          <w:tcPr>
            <w:tcW w:w="100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For further information about interest income and expense by source, please review Annex</w:t>
            </w:r>
          </w:p>
        </w:tc>
      </w:tr>
      <w:tr>
        <w:trPr>
          <w:trHeight w:val="186"/>
        </w:trPr>
        <w:tc>
          <w:tcPr>
            <w:tcW w:w="1240" w:type="dxa"/>
            <w:vAlign w:val="bottom"/>
          </w:tcPr>
          <w:p>
            <w:pPr>
              <w:spacing w:after="0"/>
              <w:rPr>
                <w:sz w:val="16"/>
                <w:szCs w:val="16"/>
                <w:color w:val="auto"/>
              </w:rPr>
            </w:pPr>
          </w:p>
        </w:tc>
        <w:tc>
          <w:tcPr>
            <w:tcW w:w="100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12.3.</w:t>
            </w:r>
          </w:p>
        </w:tc>
      </w:tr>
      <w:tr>
        <w:trPr>
          <w:trHeight w:val="353"/>
        </w:trPr>
        <w:tc>
          <w:tcPr>
            <w:tcW w:w="1240" w:type="dxa"/>
            <w:vAlign w:val="bottom"/>
          </w:tcPr>
          <w:p>
            <w:pPr>
              <w:spacing w:after="0"/>
              <w:rPr>
                <w:sz w:val="24"/>
                <w:szCs w:val="24"/>
                <w:color w:val="auto"/>
              </w:rPr>
            </w:pPr>
          </w:p>
        </w:tc>
        <w:tc>
          <w:tcPr>
            <w:tcW w:w="100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To analyze the evolution of net interest income, it is important to differentiate between</w:t>
            </w:r>
          </w:p>
        </w:tc>
      </w:tr>
      <w:tr>
        <w:trPr>
          <w:trHeight w:val="173"/>
        </w:trPr>
        <w:tc>
          <w:tcPr>
            <w:tcW w:w="1240" w:type="dxa"/>
            <w:vAlign w:val="bottom"/>
          </w:tcPr>
          <w:p>
            <w:pPr>
              <w:spacing w:after="0"/>
              <w:rPr>
                <w:sz w:val="15"/>
                <w:szCs w:val="15"/>
                <w:color w:val="auto"/>
              </w:rPr>
            </w:pPr>
          </w:p>
        </w:tc>
        <w:tc>
          <w:tcPr>
            <w:tcW w:w="100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dynamics by currency type given that the trends in volumes and the variations in market rates</w:t>
            </w:r>
          </w:p>
        </w:tc>
      </w:tr>
      <w:tr>
        <w:trPr>
          <w:trHeight w:val="173"/>
        </w:trPr>
        <w:tc>
          <w:tcPr>
            <w:tcW w:w="1240" w:type="dxa"/>
            <w:vAlign w:val="bottom"/>
          </w:tcPr>
          <w:p>
            <w:pPr>
              <w:spacing w:after="0"/>
              <w:rPr>
                <w:sz w:val="15"/>
                <w:szCs w:val="15"/>
                <w:color w:val="auto"/>
              </w:rPr>
            </w:pPr>
          </w:p>
        </w:tc>
        <w:tc>
          <w:tcPr>
            <w:tcW w:w="100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are different for each. The reference rate in Peru (LC) increased 150bps QoQ and 375bps</w:t>
            </w:r>
          </w:p>
        </w:tc>
      </w:tr>
      <w:tr>
        <w:trPr>
          <w:trHeight w:val="189"/>
        </w:trPr>
        <w:tc>
          <w:tcPr>
            <w:tcW w:w="1240" w:type="dxa"/>
            <w:vAlign w:val="bottom"/>
          </w:tcPr>
          <w:p>
            <w:pPr>
              <w:spacing w:after="0"/>
              <w:rPr>
                <w:sz w:val="16"/>
                <w:szCs w:val="16"/>
                <w:color w:val="auto"/>
              </w:rPr>
            </w:pPr>
          </w:p>
        </w:tc>
        <w:tc>
          <w:tcPr>
            <w:tcW w:w="10040" w:type="dxa"/>
            <w:vAlign w:val="bottom"/>
          </w:tcPr>
          <w:p>
            <w:pPr>
              <w:ind w:left="4620"/>
              <w:spacing w:after="0"/>
              <w:rPr>
                <w:sz w:val="20"/>
                <w:szCs w:val="20"/>
                <w:color w:val="auto"/>
              </w:rPr>
            </w:pPr>
            <w:r>
              <w:rPr>
                <w:rFonts w:ascii="Times New Roman" w:cs="Times New Roman" w:eastAsia="Times New Roman" w:hAnsi="Times New Roman"/>
                <w:sz w:val="14"/>
                <w:szCs w:val="14"/>
                <w:color w:val="auto"/>
              </w:rPr>
              <w:t>YoY while the rate in FC (FED funds rate) increased 25bps both QoQ and YoY.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-549910</wp:posOffset>
            </wp:positionV>
            <wp:extent cx="2737485" cy="14166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37485" cy="1416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6" w:name="page27"/>
    <w:bookmarkEnd w:id="26"/>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04.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Dynamics of Net Interest Income by Currency</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218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Interest Income / IEA</w:t>
            </w:r>
          </w:p>
        </w:tc>
        <w:tc>
          <w:tcPr>
            <w:tcW w:w="1100" w:type="dxa"/>
            <w:vAlign w:val="bottom"/>
            <w:tcBorders>
              <w:top w:val="single" w:sz="8" w:color="auto"/>
            </w:tcBorders>
            <w:shd w:val="clear" w:color="auto" w:fill="2AD2C9"/>
          </w:tcPr>
          <w:p>
            <w:pPr>
              <w:spacing w:after="0"/>
              <w:rPr>
                <w:sz w:val="13"/>
                <w:szCs w:val="13"/>
                <w:color w:val="auto"/>
              </w:rPr>
            </w:pPr>
          </w:p>
        </w:tc>
        <w:tc>
          <w:tcPr>
            <w:tcW w:w="1060" w:type="dxa"/>
            <w:vAlign w:val="bottom"/>
            <w:tcBorders>
              <w:top w:val="single" w:sz="8" w:color="auto"/>
            </w:tcBorders>
            <w:shd w:val="clear" w:color="auto" w:fill="2AD2C9"/>
          </w:tcPr>
          <w:p>
            <w:pPr>
              <w:jc w:val="center"/>
              <w:ind w:right="188"/>
              <w:spacing w:after="0" w:line="159" w:lineRule="exact"/>
              <w:rPr>
                <w:sz w:val="20"/>
                <w:szCs w:val="20"/>
                <w:color w:val="auto"/>
              </w:rPr>
            </w:pPr>
            <w:r>
              <w:rPr>
                <w:rFonts w:ascii="Arial" w:cs="Arial" w:eastAsia="Arial" w:hAnsi="Arial"/>
                <w:sz w:val="14"/>
                <w:szCs w:val="14"/>
                <w:b w:val="1"/>
                <w:bCs w:val="1"/>
                <w:color w:val="FFFFFF"/>
              </w:rPr>
              <w:t>1Q21</w:t>
            </w:r>
          </w:p>
        </w:tc>
        <w:tc>
          <w:tcPr>
            <w:tcW w:w="880" w:type="dxa"/>
            <w:vAlign w:val="bottom"/>
            <w:tcBorders>
              <w:top w:val="single" w:sz="8" w:color="auto"/>
              <w:right w:val="single" w:sz="8" w:color="auto"/>
            </w:tcBorders>
            <w:shd w:val="clear" w:color="auto" w:fill="2AD2C9"/>
          </w:tcPr>
          <w:p>
            <w:pPr>
              <w:spacing w:after="0"/>
              <w:rPr>
                <w:sz w:val="13"/>
                <w:szCs w:val="13"/>
                <w:color w:val="auto"/>
              </w:rPr>
            </w:pPr>
          </w:p>
        </w:tc>
        <w:tc>
          <w:tcPr>
            <w:tcW w:w="1100" w:type="dxa"/>
            <w:vAlign w:val="bottom"/>
            <w:tcBorders>
              <w:top w:val="single" w:sz="8" w:color="auto"/>
            </w:tcBorders>
            <w:shd w:val="clear" w:color="auto" w:fill="2AD2C9"/>
          </w:tcPr>
          <w:p>
            <w:pPr>
              <w:spacing w:after="0"/>
              <w:rPr>
                <w:sz w:val="13"/>
                <w:szCs w:val="13"/>
                <w:color w:val="auto"/>
              </w:rPr>
            </w:pPr>
          </w:p>
        </w:tc>
        <w:tc>
          <w:tcPr>
            <w:tcW w:w="1060" w:type="dxa"/>
            <w:vAlign w:val="bottom"/>
            <w:tcBorders>
              <w:top w:val="single" w:sz="8" w:color="auto"/>
            </w:tcBorders>
            <w:shd w:val="clear" w:color="auto" w:fill="2AD2C9"/>
          </w:tcPr>
          <w:p>
            <w:pPr>
              <w:jc w:val="center"/>
              <w:ind w:right="168"/>
              <w:spacing w:after="0" w:line="159" w:lineRule="exact"/>
              <w:rPr>
                <w:sz w:val="20"/>
                <w:szCs w:val="20"/>
                <w:color w:val="auto"/>
              </w:rPr>
            </w:pPr>
            <w:r>
              <w:rPr>
                <w:rFonts w:ascii="Arial" w:cs="Arial" w:eastAsia="Arial" w:hAnsi="Arial"/>
                <w:sz w:val="14"/>
                <w:szCs w:val="14"/>
                <w:b w:val="1"/>
                <w:bCs w:val="1"/>
                <w:color w:val="FFFFFF"/>
                <w:w w:val="99"/>
              </w:rPr>
              <w:t>4Q21</w:t>
            </w:r>
          </w:p>
        </w:tc>
        <w:tc>
          <w:tcPr>
            <w:tcW w:w="880" w:type="dxa"/>
            <w:vAlign w:val="bottom"/>
            <w:tcBorders>
              <w:top w:val="single" w:sz="8" w:color="auto"/>
              <w:right w:val="single" w:sz="8" w:color="auto"/>
            </w:tcBorders>
            <w:shd w:val="clear" w:color="auto" w:fill="2AD2C9"/>
          </w:tcPr>
          <w:p>
            <w:pPr>
              <w:spacing w:after="0"/>
              <w:rPr>
                <w:sz w:val="13"/>
                <w:szCs w:val="13"/>
                <w:color w:val="auto"/>
              </w:rPr>
            </w:pPr>
          </w:p>
        </w:tc>
        <w:tc>
          <w:tcPr>
            <w:tcW w:w="1100" w:type="dxa"/>
            <w:vAlign w:val="bottom"/>
            <w:tcBorders>
              <w:top w:val="single" w:sz="8" w:color="auto"/>
            </w:tcBorders>
            <w:shd w:val="clear" w:color="auto" w:fill="2AD2C9"/>
          </w:tcPr>
          <w:p>
            <w:pPr>
              <w:spacing w:after="0"/>
              <w:rPr>
                <w:sz w:val="13"/>
                <w:szCs w:val="13"/>
                <w:color w:val="auto"/>
              </w:rPr>
            </w:pPr>
          </w:p>
        </w:tc>
        <w:tc>
          <w:tcPr>
            <w:tcW w:w="1060" w:type="dxa"/>
            <w:vAlign w:val="bottom"/>
            <w:tcBorders>
              <w:top w:val="single" w:sz="8" w:color="auto"/>
            </w:tcBorders>
            <w:shd w:val="clear" w:color="auto" w:fill="2AD2C9"/>
          </w:tcPr>
          <w:p>
            <w:pPr>
              <w:jc w:val="center"/>
              <w:ind w:right="188"/>
              <w:spacing w:after="0" w:line="159" w:lineRule="exact"/>
              <w:rPr>
                <w:sz w:val="20"/>
                <w:szCs w:val="20"/>
                <w:color w:val="auto"/>
              </w:rPr>
            </w:pPr>
            <w:r>
              <w:rPr>
                <w:rFonts w:ascii="Arial" w:cs="Arial" w:eastAsia="Arial" w:hAnsi="Arial"/>
                <w:sz w:val="14"/>
                <w:szCs w:val="14"/>
                <w:b w:val="1"/>
                <w:bCs w:val="1"/>
                <w:color w:val="FFFFFF"/>
              </w:rPr>
              <w:t>1Q22</w:t>
            </w:r>
          </w:p>
        </w:tc>
        <w:tc>
          <w:tcPr>
            <w:tcW w:w="880" w:type="dxa"/>
            <w:vAlign w:val="bottom"/>
            <w:tcBorders>
              <w:top w:val="single" w:sz="8" w:color="auto"/>
              <w:right w:val="single" w:sz="8" w:color="auto"/>
            </w:tcBorders>
            <w:shd w:val="clear" w:color="auto" w:fill="2AD2C9"/>
          </w:tcPr>
          <w:p>
            <w:pPr>
              <w:spacing w:after="0"/>
              <w:rPr>
                <w:sz w:val="13"/>
                <w:szCs w:val="13"/>
                <w:color w:val="auto"/>
              </w:rPr>
            </w:pPr>
          </w:p>
        </w:tc>
      </w:tr>
      <w:tr>
        <w:trPr>
          <w:trHeight w:val="162"/>
        </w:trPr>
        <w:tc>
          <w:tcPr>
            <w:tcW w:w="218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millions</w:t>
            </w:r>
          </w:p>
        </w:tc>
        <w:tc>
          <w:tcPr>
            <w:tcW w:w="1100" w:type="dxa"/>
            <w:vAlign w:val="bottom"/>
            <w:shd w:val="clear" w:color="auto" w:fill="2AD2C9"/>
          </w:tcPr>
          <w:p>
            <w:pPr>
              <w:jc w:val="right"/>
              <w:ind w:right="26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2AD2C9"/>
          </w:tcPr>
          <w:p>
            <w:pPr>
              <w:spacing w:after="0"/>
              <w:rPr>
                <w:sz w:val="14"/>
                <w:szCs w:val="14"/>
                <w:color w:val="auto"/>
              </w:rPr>
            </w:pPr>
          </w:p>
        </w:tc>
        <w:tc>
          <w:tcPr>
            <w:tcW w:w="880" w:type="dxa"/>
            <w:vAlign w:val="bottom"/>
            <w:tcBorders>
              <w:right w:val="single" w:sz="8" w:color="auto"/>
            </w:tcBorders>
            <w:shd w:val="clear" w:color="auto" w:fill="2AD2C9"/>
          </w:tcPr>
          <w:p>
            <w:pPr>
              <w:spacing w:after="0"/>
              <w:rPr>
                <w:sz w:val="14"/>
                <w:szCs w:val="14"/>
                <w:color w:val="auto"/>
              </w:rPr>
            </w:pP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2AD2C9"/>
          </w:tcPr>
          <w:p>
            <w:pPr>
              <w:spacing w:after="0"/>
              <w:rPr>
                <w:sz w:val="14"/>
                <w:szCs w:val="14"/>
                <w:color w:val="auto"/>
              </w:rPr>
            </w:pPr>
          </w:p>
        </w:tc>
        <w:tc>
          <w:tcPr>
            <w:tcW w:w="880" w:type="dxa"/>
            <w:vAlign w:val="bottom"/>
            <w:tcBorders>
              <w:right w:val="single" w:sz="8" w:color="auto"/>
            </w:tcBorders>
            <w:shd w:val="clear" w:color="auto" w:fill="2AD2C9"/>
          </w:tcPr>
          <w:p>
            <w:pPr>
              <w:spacing w:after="0"/>
              <w:rPr>
                <w:sz w:val="14"/>
                <w:szCs w:val="14"/>
                <w:color w:val="auto"/>
              </w:rPr>
            </w:pP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2AD2C9"/>
          </w:tcPr>
          <w:p>
            <w:pPr>
              <w:spacing w:after="0"/>
              <w:rPr>
                <w:sz w:val="14"/>
                <w:szCs w:val="14"/>
                <w:color w:val="auto"/>
              </w:rPr>
            </w:pPr>
          </w:p>
        </w:tc>
        <w:tc>
          <w:tcPr>
            <w:tcW w:w="880" w:type="dxa"/>
            <w:vAlign w:val="bottom"/>
            <w:tcBorders>
              <w:right w:val="single" w:sz="8" w:color="auto"/>
            </w:tcBorders>
            <w:shd w:val="clear" w:color="auto" w:fill="2AD2C9"/>
          </w:tcPr>
          <w:p>
            <w:pPr>
              <w:spacing w:after="0"/>
              <w:rPr>
                <w:sz w:val="14"/>
                <w:szCs w:val="14"/>
                <w:color w:val="auto"/>
              </w:rPr>
            </w:pPr>
          </w:p>
        </w:tc>
      </w:tr>
      <w:tr>
        <w:trPr>
          <w:trHeight w:val="177"/>
        </w:trPr>
        <w:tc>
          <w:tcPr>
            <w:tcW w:w="2180" w:type="dxa"/>
            <w:vAlign w:val="bottom"/>
            <w:tcBorders>
              <w:left w:val="single" w:sz="8" w:color="auto"/>
              <w:right w:val="single" w:sz="8" w:color="auto"/>
            </w:tcBorders>
            <w:shd w:val="clear" w:color="auto" w:fill="2AD2C9"/>
          </w:tcPr>
          <w:p>
            <w:pPr>
              <w:spacing w:after="0"/>
              <w:rPr>
                <w:sz w:val="15"/>
                <w:szCs w:val="15"/>
                <w:color w:val="auto"/>
              </w:rPr>
            </w:pPr>
          </w:p>
        </w:tc>
        <w:tc>
          <w:tcPr>
            <w:tcW w:w="1100" w:type="dxa"/>
            <w:vAlign w:val="bottom"/>
            <w:shd w:val="clear" w:color="auto" w:fill="2AD2C9"/>
          </w:tcPr>
          <w:p>
            <w:pPr>
              <w:jc w:val="right"/>
              <w:ind w:right="268"/>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2AD2C9"/>
          </w:tcPr>
          <w:p>
            <w:pPr>
              <w:jc w:val="center"/>
              <w:ind w:right="188"/>
              <w:spacing w:after="0"/>
              <w:rPr>
                <w:sz w:val="20"/>
                <w:szCs w:val="20"/>
                <w:color w:val="auto"/>
              </w:rPr>
            </w:pPr>
            <w:r>
              <w:rPr>
                <w:rFonts w:ascii="Arial" w:cs="Arial" w:eastAsia="Arial" w:hAnsi="Arial"/>
                <w:sz w:val="14"/>
                <w:szCs w:val="14"/>
                <w:b w:val="1"/>
                <w:bCs w:val="1"/>
                <w:color w:val="FFFFFF"/>
              </w:rPr>
              <w:t>Income</w:t>
            </w:r>
          </w:p>
        </w:tc>
        <w:tc>
          <w:tcPr>
            <w:tcW w:w="880" w:type="dxa"/>
            <w:vAlign w:val="bottom"/>
            <w:tcBorders>
              <w:right w:val="single" w:sz="8" w:color="auto"/>
            </w:tcBorders>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Yields</w:t>
            </w: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2AD2C9"/>
          </w:tcPr>
          <w:p>
            <w:pPr>
              <w:jc w:val="center"/>
              <w:ind w:right="168"/>
              <w:spacing w:after="0"/>
              <w:rPr>
                <w:sz w:val="20"/>
                <w:szCs w:val="20"/>
                <w:color w:val="auto"/>
              </w:rPr>
            </w:pPr>
            <w:r>
              <w:rPr>
                <w:rFonts w:ascii="Arial" w:cs="Arial" w:eastAsia="Arial" w:hAnsi="Arial"/>
                <w:sz w:val="14"/>
                <w:szCs w:val="14"/>
                <w:b w:val="1"/>
                <w:bCs w:val="1"/>
                <w:color w:val="FFFFFF"/>
              </w:rPr>
              <w:t>Income</w:t>
            </w:r>
          </w:p>
        </w:tc>
        <w:tc>
          <w:tcPr>
            <w:tcW w:w="880" w:type="dxa"/>
            <w:vAlign w:val="bottom"/>
            <w:tcBorders>
              <w:right w:val="single" w:sz="8" w:color="auto"/>
            </w:tcBorders>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Yields</w:t>
            </w: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2AD2C9"/>
          </w:tcPr>
          <w:p>
            <w:pPr>
              <w:jc w:val="center"/>
              <w:ind w:right="188"/>
              <w:spacing w:after="0"/>
              <w:rPr>
                <w:sz w:val="20"/>
                <w:szCs w:val="20"/>
                <w:color w:val="auto"/>
              </w:rPr>
            </w:pPr>
            <w:r>
              <w:rPr>
                <w:rFonts w:ascii="Arial" w:cs="Arial" w:eastAsia="Arial" w:hAnsi="Arial"/>
                <w:sz w:val="14"/>
                <w:szCs w:val="14"/>
                <w:b w:val="1"/>
                <w:bCs w:val="1"/>
                <w:color w:val="FFFFFF"/>
              </w:rPr>
              <w:t>Income</w:t>
            </w:r>
          </w:p>
        </w:tc>
        <w:tc>
          <w:tcPr>
            <w:tcW w:w="880" w:type="dxa"/>
            <w:vAlign w:val="bottom"/>
            <w:tcBorders>
              <w:right w:val="single" w:sz="8" w:color="auto"/>
            </w:tcBorders>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Yields</w:t>
            </w:r>
          </w:p>
        </w:tc>
      </w:tr>
      <w:tr>
        <w:trPr>
          <w:trHeight w:val="148"/>
        </w:trPr>
        <w:tc>
          <w:tcPr>
            <w:tcW w:w="218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Cash and equivalents</w:t>
            </w:r>
          </w:p>
        </w:tc>
        <w:tc>
          <w:tcPr>
            <w:tcW w:w="1100" w:type="dxa"/>
            <w:vAlign w:val="bottom"/>
          </w:tcPr>
          <w:p>
            <w:pPr>
              <w:jc w:val="right"/>
              <w:ind w:right="48"/>
              <w:spacing w:after="0" w:line="148" w:lineRule="exact"/>
              <w:rPr>
                <w:sz w:val="20"/>
                <w:szCs w:val="20"/>
                <w:color w:val="auto"/>
              </w:rPr>
            </w:pPr>
            <w:r>
              <w:rPr>
                <w:rFonts w:ascii="Arial" w:cs="Arial" w:eastAsia="Arial" w:hAnsi="Arial"/>
                <w:sz w:val="14"/>
                <w:szCs w:val="14"/>
                <w:color w:val="auto"/>
              </w:rPr>
              <w:t>30,236</w:t>
            </w:r>
          </w:p>
        </w:tc>
        <w:tc>
          <w:tcPr>
            <w:tcW w:w="1060" w:type="dxa"/>
            <w:vAlign w:val="bottom"/>
          </w:tcPr>
          <w:p>
            <w:pPr>
              <w:jc w:val="right"/>
              <w:ind w:right="88"/>
              <w:spacing w:after="0" w:line="148" w:lineRule="exact"/>
              <w:rPr>
                <w:sz w:val="20"/>
                <w:szCs w:val="20"/>
                <w:color w:val="auto"/>
              </w:rPr>
            </w:pPr>
            <w:r>
              <w:rPr>
                <w:rFonts w:ascii="Arial" w:cs="Arial" w:eastAsia="Arial" w:hAnsi="Arial"/>
                <w:sz w:val="14"/>
                <w:szCs w:val="14"/>
                <w:color w:val="auto"/>
              </w:rPr>
              <w:t>8</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0.1%</w:t>
            </w:r>
          </w:p>
        </w:tc>
        <w:tc>
          <w:tcPr>
            <w:tcW w:w="11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34,271</w:t>
            </w:r>
          </w:p>
        </w:tc>
        <w:tc>
          <w:tcPr>
            <w:tcW w:w="1060" w:type="dxa"/>
            <w:vAlign w:val="bottom"/>
          </w:tcPr>
          <w:p>
            <w:pPr>
              <w:jc w:val="right"/>
              <w:ind w:right="68"/>
              <w:spacing w:after="0" w:line="148" w:lineRule="exact"/>
              <w:rPr>
                <w:sz w:val="20"/>
                <w:szCs w:val="20"/>
                <w:color w:val="auto"/>
              </w:rPr>
            </w:pPr>
            <w:r>
              <w:rPr>
                <w:rFonts w:ascii="Arial" w:cs="Arial" w:eastAsia="Arial" w:hAnsi="Arial"/>
                <w:sz w:val="14"/>
                <w:szCs w:val="14"/>
                <w:color w:val="auto"/>
              </w:rPr>
              <w:t>23</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0.3%</w:t>
            </w:r>
          </w:p>
        </w:tc>
        <w:tc>
          <w:tcPr>
            <w:tcW w:w="11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30,979</w:t>
            </w:r>
          </w:p>
        </w:tc>
        <w:tc>
          <w:tcPr>
            <w:tcW w:w="1060" w:type="dxa"/>
            <w:vAlign w:val="bottom"/>
          </w:tcPr>
          <w:p>
            <w:pPr>
              <w:jc w:val="right"/>
              <w:ind w:right="88"/>
              <w:spacing w:after="0" w:line="148" w:lineRule="exact"/>
              <w:rPr>
                <w:sz w:val="20"/>
                <w:szCs w:val="20"/>
                <w:color w:val="auto"/>
              </w:rPr>
            </w:pPr>
            <w:r>
              <w:rPr>
                <w:rFonts w:ascii="Arial" w:cs="Arial" w:eastAsia="Arial" w:hAnsi="Arial"/>
                <w:sz w:val="14"/>
                <w:szCs w:val="14"/>
                <w:color w:val="auto"/>
              </w:rPr>
              <w:t>35</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0.5%</w:t>
            </w:r>
          </w:p>
        </w:tc>
      </w:tr>
      <w:tr>
        <w:trPr>
          <w:trHeight w:val="162"/>
        </w:trPr>
        <w:tc>
          <w:tcPr>
            <w:tcW w:w="2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IEA</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2,938</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3,139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2,557</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62"/>
        </w:trPr>
        <w:tc>
          <w:tcPr>
            <w:tcW w:w="2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Investments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57,293</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366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48,531</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48,549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433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162"/>
        </w:trPr>
        <w:tc>
          <w:tcPr>
            <w:tcW w:w="2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Loans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137,346</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2,433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7.09%</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147,074</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2,654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146,109</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2,686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162"/>
        </w:trPr>
        <w:tc>
          <w:tcPr>
            <w:tcW w:w="21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Structural</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112,900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2,347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127,228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2,582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128,590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2,619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8.1%</w:t>
            </w:r>
          </w:p>
        </w:tc>
      </w:tr>
      <w:tr>
        <w:trPr>
          <w:trHeight w:val="177"/>
        </w:trPr>
        <w:tc>
          <w:tcPr>
            <w:tcW w:w="218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Government Programs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24,445</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19,846</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17,520</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67</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IEA</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227,812</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2,816</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4.9%</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233,016</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3,092</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5.3%</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228,195</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3,172</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5.6%</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IEA (LC)</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61.3%</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76.1%</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6.1%</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56.2%</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76.5%</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7.2%</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57.8%</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78.8%</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7.6%</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IEA (FC)</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38.7%</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23.9%</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3.1%</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43.8%</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23.5%</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2.8%</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42.2%</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21.2%</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2.8%</w:t>
            </w:r>
          </w:p>
        </w:tc>
      </w:tr>
      <w:tr>
        <w:trPr>
          <w:trHeight w:val="186"/>
        </w:trPr>
        <w:tc>
          <w:tcPr>
            <w:tcW w:w="2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39"/>
        </w:trPr>
        <w:tc>
          <w:tcPr>
            <w:tcW w:w="2180" w:type="dxa"/>
            <w:vAlign w:val="bottom"/>
            <w:tcBorders>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Interest Expense / Funding</w:t>
            </w:r>
          </w:p>
        </w:tc>
        <w:tc>
          <w:tcPr>
            <w:tcW w:w="1100" w:type="dxa"/>
            <w:vAlign w:val="bottom"/>
            <w:shd w:val="clear" w:color="auto" w:fill="2AD2C9"/>
          </w:tcPr>
          <w:p>
            <w:pPr>
              <w:spacing w:after="0"/>
              <w:rPr>
                <w:sz w:val="12"/>
                <w:szCs w:val="12"/>
                <w:color w:val="auto"/>
              </w:rPr>
            </w:pPr>
          </w:p>
        </w:tc>
        <w:tc>
          <w:tcPr>
            <w:tcW w:w="1060" w:type="dxa"/>
            <w:vAlign w:val="bottom"/>
            <w:shd w:val="clear" w:color="auto" w:fill="2AD2C9"/>
          </w:tcPr>
          <w:p>
            <w:pPr>
              <w:jc w:val="center"/>
              <w:ind w:right="188"/>
              <w:spacing w:after="0" w:line="139" w:lineRule="exact"/>
              <w:rPr>
                <w:sz w:val="20"/>
                <w:szCs w:val="20"/>
                <w:color w:val="auto"/>
              </w:rPr>
            </w:pPr>
            <w:r>
              <w:rPr>
                <w:rFonts w:ascii="Arial" w:cs="Arial" w:eastAsia="Arial" w:hAnsi="Arial"/>
                <w:sz w:val="14"/>
                <w:szCs w:val="14"/>
                <w:b w:val="1"/>
                <w:bCs w:val="1"/>
                <w:color w:val="FFFFFF"/>
              </w:rPr>
              <w:t>1Q21</w:t>
            </w:r>
          </w:p>
        </w:tc>
        <w:tc>
          <w:tcPr>
            <w:tcW w:w="880" w:type="dxa"/>
            <w:vAlign w:val="bottom"/>
            <w:tcBorders>
              <w:right w:val="single" w:sz="8" w:color="auto"/>
            </w:tcBorders>
            <w:shd w:val="clear" w:color="auto" w:fill="2AD2C9"/>
          </w:tcPr>
          <w:p>
            <w:pPr>
              <w:spacing w:after="0"/>
              <w:rPr>
                <w:sz w:val="12"/>
                <w:szCs w:val="12"/>
                <w:color w:val="auto"/>
              </w:rPr>
            </w:pPr>
          </w:p>
        </w:tc>
        <w:tc>
          <w:tcPr>
            <w:tcW w:w="1100" w:type="dxa"/>
            <w:vAlign w:val="bottom"/>
            <w:shd w:val="clear" w:color="auto" w:fill="2AD2C9"/>
          </w:tcPr>
          <w:p>
            <w:pPr>
              <w:spacing w:after="0"/>
              <w:rPr>
                <w:sz w:val="12"/>
                <w:szCs w:val="12"/>
                <w:color w:val="auto"/>
              </w:rPr>
            </w:pPr>
          </w:p>
        </w:tc>
        <w:tc>
          <w:tcPr>
            <w:tcW w:w="1060" w:type="dxa"/>
            <w:vAlign w:val="bottom"/>
            <w:shd w:val="clear" w:color="auto" w:fill="2AD2C9"/>
          </w:tcPr>
          <w:p>
            <w:pPr>
              <w:jc w:val="center"/>
              <w:ind w:right="168"/>
              <w:spacing w:after="0" w:line="139" w:lineRule="exact"/>
              <w:rPr>
                <w:sz w:val="20"/>
                <w:szCs w:val="20"/>
                <w:color w:val="auto"/>
              </w:rPr>
            </w:pPr>
            <w:r>
              <w:rPr>
                <w:rFonts w:ascii="Arial" w:cs="Arial" w:eastAsia="Arial" w:hAnsi="Arial"/>
                <w:sz w:val="14"/>
                <w:szCs w:val="14"/>
                <w:b w:val="1"/>
                <w:bCs w:val="1"/>
                <w:color w:val="FFFFFF"/>
                <w:w w:val="99"/>
              </w:rPr>
              <w:t>4Q21</w:t>
            </w:r>
          </w:p>
        </w:tc>
        <w:tc>
          <w:tcPr>
            <w:tcW w:w="880" w:type="dxa"/>
            <w:vAlign w:val="bottom"/>
            <w:tcBorders>
              <w:right w:val="single" w:sz="8" w:color="auto"/>
            </w:tcBorders>
            <w:shd w:val="clear" w:color="auto" w:fill="2AD2C9"/>
          </w:tcPr>
          <w:p>
            <w:pPr>
              <w:spacing w:after="0"/>
              <w:rPr>
                <w:sz w:val="12"/>
                <w:szCs w:val="12"/>
                <w:color w:val="auto"/>
              </w:rPr>
            </w:pPr>
          </w:p>
        </w:tc>
        <w:tc>
          <w:tcPr>
            <w:tcW w:w="1100" w:type="dxa"/>
            <w:vAlign w:val="bottom"/>
            <w:shd w:val="clear" w:color="auto" w:fill="2AD2C9"/>
          </w:tcPr>
          <w:p>
            <w:pPr>
              <w:spacing w:after="0"/>
              <w:rPr>
                <w:sz w:val="12"/>
                <w:szCs w:val="12"/>
                <w:color w:val="auto"/>
              </w:rPr>
            </w:pPr>
          </w:p>
        </w:tc>
        <w:tc>
          <w:tcPr>
            <w:tcW w:w="1060" w:type="dxa"/>
            <w:vAlign w:val="bottom"/>
            <w:shd w:val="clear" w:color="auto" w:fill="2AD2C9"/>
          </w:tcPr>
          <w:p>
            <w:pPr>
              <w:jc w:val="center"/>
              <w:ind w:right="188"/>
              <w:spacing w:after="0" w:line="139" w:lineRule="exact"/>
              <w:rPr>
                <w:sz w:val="20"/>
                <w:szCs w:val="20"/>
                <w:color w:val="auto"/>
              </w:rPr>
            </w:pPr>
            <w:r>
              <w:rPr>
                <w:rFonts w:ascii="Arial" w:cs="Arial" w:eastAsia="Arial" w:hAnsi="Arial"/>
                <w:sz w:val="14"/>
                <w:szCs w:val="14"/>
                <w:b w:val="1"/>
                <w:bCs w:val="1"/>
                <w:color w:val="FFFFFF"/>
              </w:rPr>
              <w:t>1Q22</w:t>
            </w:r>
          </w:p>
        </w:tc>
        <w:tc>
          <w:tcPr>
            <w:tcW w:w="880" w:type="dxa"/>
            <w:vAlign w:val="bottom"/>
            <w:tcBorders>
              <w:right w:val="single" w:sz="8" w:color="auto"/>
            </w:tcBorders>
            <w:shd w:val="clear" w:color="auto" w:fill="2AD2C9"/>
          </w:tcPr>
          <w:p>
            <w:pPr>
              <w:spacing w:after="0"/>
              <w:rPr>
                <w:sz w:val="12"/>
                <w:szCs w:val="12"/>
                <w:color w:val="auto"/>
              </w:rPr>
            </w:pPr>
          </w:p>
        </w:tc>
      </w:tr>
      <w:tr>
        <w:trPr>
          <w:trHeight w:val="162"/>
        </w:trPr>
        <w:tc>
          <w:tcPr>
            <w:tcW w:w="218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millions</w:t>
            </w:r>
          </w:p>
        </w:tc>
        <w:tc>
          <w:tcPr>
            <w:tcW w:w="1100" w:type="dxa"/>
            <w:vAlign w:val="bottom"/>
            <w:shd w:val="clear" w:color="auto" w:fill="2AD2C9"/>
          </w:tcPr>
          <w:p>
            <w:pPr>
              <w:jc w:val="right"/>
              <w:ind w:right="26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2AD2C9"/>
          </w:tcPr>
          <w:p>
            <w:pPr>
              <w:spacing w:after="0"/>
              <w:rPr>
                <w:sz w:val="14"/>
                <w:szCs w:val="14"/>
                <w:color w:val="auto"/>
              </w:rPr>
            </w:pPr>
          </w:p>
        </w:tc>
        <w:tc>
          <w:tcPr>
            <w:tcW w:w="880" w:type="dxa"/>
            <w:vAlign w:val="bottom"/>
            <w:tcBorders>
              <w:right w:val="single" w:sz="8" w:color="auto"/>
            </w:tcBorders>
            <w:shd w:val="clear" w:color="auto" w:fill="2AD2C9"/>
          </w:tcPr>
          <w:p>
            <w:pPr>
              <w:spacing w:after="0"/>
              <w:rPr>
                <w:sz w:val="14"/>
                <w:szCs w:val="14"/>
                <w:color w:val="auto"/>
              </w:rPr>
            </w:pP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2AD2C9"/>
          </w:tcPr>
          <w:p>
            <w:pPr>
              <w:spacing w:after="0"/>
              <w:rPr>
                <w:sz w:val="14"/>
                <w:szCs w:val="14"/>
                <w:color w:val="auto"/>
              </w:rPr>
            </w:pPr>
          </w:p>
        </w:tc>
        <w:tc>
          <w:tcPr>
            <w:tcW w:w="880" w:type="dxa"/>
            <w:vAlign w:val="bottom"/>
            <w:tcBorders>
              <w:right w:val="single" w:sz="8" w:color="auto"/>
            </w:tcBorders>
            <w:shd w:val="clear" w:color="auto" w:fill="2AD2C9"/>
          </w:tcPr>
          <w:p>
            <w:pPr>
              <w:spacing w:after="0"/>
              <w:rPr>
                <w:sz w:val="14"/>
                <w:szCs w:val="14"/>
                <w:color w:val="auto"/>
              </w:rPr>
            </w:pP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2AD2C9"/>
          </w:tcPr>
          <w:p>
            <w:pPr>
              <w:spacing w:after="0"/>
              <w:rPr>
                <w:sz w:val="14"/>
                <w:szCs w:val="14"/>
                <w:color w:val="auto"/>
              </w:rPr>
            </w:pPr>
          </w:p>
        </w:tc>
        <w:tc>
          <w:tcPr>
            <w:tcW w:w="880" w:type="dxa"/>
            <w:vAlign w:val="bottom"/>
            <w:tcBorders>
              <w:right w:val="single" w:sz="8" w:color="auto"/>
            </w:tcBorders>
            <w:shd w:val="clear" w:color="auto" w:fill="2AD2C9"/>
          </w:tcPr>
          <w:p>
            <w:pPr>
              <w:spacing w:after="0"/>
              <w:rPr>
                <w:sz w:val="14"/>
                <w:szCs w:val="14"/>
                <w:color w:val="auto"/>
              </w:rPr>
            </w:pPr>
          </w:p>
        </w:tc>
      </w:tr>
      <w:tr>
        <w:trPr>
          <w:trHeight w:val="177"/>
        </w:trPr>
        <w:tc>
          <w:tcPr>
            <w:tcW w:w="2180" w:type="dxa"/>
            <w:vAlign w:val="bottom"/>
            <w:tcBorders>
              <w:left w:val="single" w:sz="8" w:color="auto"/>
              <w:right w:val="single" w:sz="8" w:color="auto"/>
            </w:tcBorders>
            <w:shd w:val="clear" w:color="auto" w:fill="2AD2C9"/>
          </w:tcPr>
          <w:p>
            <w:pPr>
              <w:spacing w:after="0"/>
              <w:rPr>
                <w:sz w:val="15"/>
                <w:szCs w:val="15"/>
                <w:color w:val="auto"/>
              </w:rPr>
            </w:pPr>
          </w:p>
        </w:tc>
        <w:tc>
          <w:tcPr>
            <w:tcW w:w="1100" w:type="dxa"/>
            <w:vAlign w:val="bottom"/>
            <w:shd w:val="clear" w:color="auto" w:fill="2AD2C9"/>
          </w:tcPr>
          <w:p>
            <w:pPr>
              <w:jc w:val="right"/>
              <w:ind w:right="268"/>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2AD2C9"/>
          </w:tcPr>
          <w:p>
            <w:pPr>
              <w:jc w:val="center"/>
              <w:ind w:right="188"/>
              <w:spacing w:after="0"/>
              <w:rPr>
                <w:sz w:val="20"/>
                <w:szCs w:val="20"/>
                <w:color w:val="auto"/>
              </w:rPr>
            </w:pPr>
            <w:r>
              <w:rPr>
                <w:rFonts w:ascii="Arial" w:cs="Arial" w:eastAsia="Arial" w:hAnsi="Arial"/>
                <w:sz w:val="14"/>
                <w:szCs w:val="14"/>
                <w:b w:val="1"/>
                <w:bCs w:val="1"/>
                <w:color w:val="FFFFFF"/>
              </w:rPr>
              <w:t>Expense</w:t>
            </w:r>
          </w:p>
        </w:tc>
        <w:tc>
          <w:tcPr>
            <w:tcW w:w="880" w:type="dxa"/>
            <w:vAlign w:val="bottom"/>
            <w:tcBorders>
              <w:right w:val="single" w:sz="8" w:color="auto"/>
            </w:tcBorders>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Yields</w:t>
            </w: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2AD2C9"/>
          </w:tcPr>
          <w:p>
            <w:pPr>
              <w:jc w:val="center"/>
              <w:ind w:right="168"/>
              <w:spacing w:after="0"/>
              <w:rPr>
                <w:sz w:val="20"/>
                <w:szCs w:val="20"/>
                <w:color w:val="auto"/>
              </w:rPr>
            </w:pPr>
            <w:r>
              <w:rPr>
                <w:rFonts w:ascii="Arial" w:cs="Arial" w:eastAsia="Arial" w:hAnsi="Arial"/>
                <w:sz w:val="14"/>
                <w:szCs w:val="14"/>
                <w:b w:val="1"/>
                <w:bCs w:val="1"/>
                <w:color w:val="FFFFFF"/>
              </w:rPr>
              <w:t>Expense</w:t>
            </w:r>
          </w:p>
        </w:tc>
        <w:tc>
          <w:tcPr>
            <w:tcW w:w="880" w:type="dxa"/>
            <w:vAlign w:val="bottom"/>
            <w:tcBorders>
              <w:right w:val="single" w:sz="8" w:color="auto"/>
            </w:tcBorders>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Yields</w:t>
            </w:r>
          </w:p>
        </w:tc>
        <w:tc>
          <w:tcPr>
            <w:tcW w:w="1100" w:type="dxa"/>
            <w:vAlign w:val="bottom"/>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Balance</w:t>
            </w:r>
          </w:p>
        </w:tc>
        <w:tc>
          <w:tcPr>
            <w:tcW w:w="1060" w:type="dxa"/>
            <w:vAlign w:val="bottom"/>
            <w:shd w:val="clear" w:color="auto" w:fill="2AD2C9"/>
          </w:tcPr>
          <w:p>
            <w:pPr>
              <w:jc w:val="center"/>
              <w:ind w:right="188"/>
              <w:spacing w:after="0"/>
              <w:rPr>
                <w:sz w:val="20"/>
                <w:szCs w:val="20"/>
                <w:color w:val="auto"/>
              </w:rPr>
            </w:pPr>
            <w:r>
              <w:rPr>
                <w:rFonts w:ascii="Arial" w:cs="Arial" w:eastAsia="Arial" w:hAnsi="Arial"/>
                <w:sz w:val="14"/>
                <w:szCs w:val="14"/>
                <w:b w:val="1"/>
                <w:bCs w:val="1"/>
                <w:color w:val="FFFFFF"/>
              </w:rPr>
              <w:t>Expense</w:t>
            </w:r>
          </w:p>
        </w:tc>
        <w:tc>
          <w:tcPr>
            <w:tcW w:w="880" w:type="dxa"/>
            <w:vAlign w:val="bottom"/>
            <w:tcBorders>
              <w:right w:val="single" w:sz="8" w:color="auto"/>
            </w:tcBorders>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Yields</w:t>
            </w:r>
          </w:p>
        </w:tc>
      </w:tr>
      <w:tr>
        <w:trPr>
          <w:trHeight w:val="148"/>
        </w:trPr>
        <w:tc>
          <w:tcPr>
            <w:tcW w:w="218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Deposits</w:t>
            </w:r>
          </w:p>
        </w:tc>
        <w:tc>
          <w:tcPr>
            <w:tcW w:w="1100" w:type="dxa"/>
            <w:vAlign w:val="bottom"/>
          </w:tcPr>
          <w:p>
            <w:pPr>
              <w:jc w:val="right"/>
              <w:ind w:right="48"/>
              <w:spacing w:after="0" w:line="148" w:lineRule="exact"/>
              <w:rPr>
                <w:sz w:val="20"/>
                <w:szCs w:val="20"/>
                <w:color w:val="auto"/>
              </w:rPr>
            </w:pPr>
            <w:r>
              <w:rPr>
                <w:rFonts w:ascii="Arial" w:cs="Arial" w:eastAsia="Arial" w:hAnsi="Arial"/>
                <w:sz w:val="14"/>
                <w:szCs w:val="14"/>
                <w:color w:val="auto"/>
              </w:rPr>
              <w:t>145,496</w:t>
            </w:r>
          </w:p>
        </w:tc>
        <w:tc>
          <w:tcPr>
            <w:tcW w:w="1060" w:type="dxa"/>
            <w:vAlign w:val="bottom"/>
          </w:tcPr>
          <w:p>
            <w:pPr>
              <w:jc w:val="right"/>
              <w:ind w:right="88"/>
              <w:spacing w:after="0" w:line="148" w:lineRule="exact"/>
              <w:rPr>
                <w:sz w:val="20"/>
                <w:szCs w:val="20"/>
                <w:color w:val="auto"/>
              </w:rPr>
            </w:pPr>
            <w:r>
              <w:rPr>
                <w:rFonts w:ascii="Arial" w:cs="Arial" w:eastAsia="Arial" w:hAnsi="Arial"/>
                <w:sz w:val="14"/>
                <w:szCs w:val="14"/>
                <w:color w:val="auto"/>
              </w:rPr>
              <w:t>223</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0.6%</w:t>
            </w:r>
          </w:p>
        </w:tc>
        <w:tc>
          <w:tcPr>
            <w:tcW w:w="11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151,445</w:t>
            </w:r>
          </w:p>
        </w:tc>
        <w:tc>
          <w:tcPr>
            <w:tcW w:w="1060" w:type="dxa"/>
            <w:vAlign w:val="bottom"/>
          </w:tcPr>
          <w:p>
            <w:pPr>
              <w:jc w:val="right"/>
              <w:ind w:right="68"/>
              <w:spacing w:after="0" w:line="148" w:lineRule="exact"/>
              <w:rPr>
                <w:sz w:val="20"/>
                <w:szCs w:val="20"/>
                <w:color w:val="auto"/>
              </w:rPr>
            </w:pPr>
            <w:r>
              <w:rPr>
                <w:rFonts w:ascii="Arial" w:cs="Arial" w:eastAsia="Arial" w:hAnsi="Arial"/>
                <w:sz w:val="14"/>
                <w:szCs w:val="14"/>
                <w:color w:val="auto"/>
              </w:rPr>
              <w:t>223</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0.6%</w:t>
            </w:r>
          </w:p>
        </w:tc>
        <w:tc>
          <w:tcPr>
            <w:tcW w:w="1100" w:type="dxa"/>
            <w:vAlign w:val="bottom"/>
          </w:tcPr>
          <w:p>
            <w:pPr>
              <w:jc w:val="right"/>
              <w:ind w:right="28"/>
              <w:spacing w:after="0" w:line="148" w:lineRule="exact"/>
              <w:rPr>
                <w:sz w:val="20"/>
                <w:szCs w:val="20"/>
                <w:color w:val="auto"/>
              </w:rPr>
            </w:pPr>
            <w:r>
              <w:rPr>
                <w:rFonts w:ascii="Arial" w:cs="Arial" w:eastAsia="Arial" w:hAnsi="Arial"/>
                <w:sz w:val="14"/>
                <w:szCs w:val="14"/>
                <w:color w:val="auto"/>
              </w:rPr>
              <w:t>149,128</w:t>
            </w:r>
          </w:p>
        </w:tc>
        <w:tc>
          <w:tcPr>
            <w:tcW w:w="1060" w:type="dxa"/>
            <w:vAlign w:val="bottom"/>
          </w:tcPr>
          <w:p>
            <w:pPr>
              <w:jc w:val="right"/>
              <w:ind w:right="88"/>
              <w:spacing w:after="0" w:line="148" w:lineRule="exact"/>
              <w:rPr>
                <w:sz w:val="20"/>
                <w:szCs w:val="20"/>
                <w:color w:val="auto"/>
              </w:rPr>
            </w:pPr>
            <w:r>
              <w:rPr>
                <w:rFonts w:ascii="Arial" w:cs="Arial" w:eastAsia="Arial" w:hAnsi="Arial"/>
                <w:sz w:val="14"/>
                <w:szCs w:val="14"/>
                <w:color w:val="auto"/>
              </w:rPr>
              <w:t>259</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0.7%</w:t>
            </w:r>
          </w:p>
        </w:tc>
      </w:tr>
      <w:tr>
        <w:trPr>
          <w:trHeight w:val="162"/>
        </w:trPr>
        <w:tc>
          <w:tcPr>
            <w:tcW w:w="2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BCRP + Due to Banks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30,661</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27,559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25,400</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62"/>
        </w:trPr>
        <w:tc>
          <w:tcPr>
            <w:tcW w:w="21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Bonds and Notes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17,091</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267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17,328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176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16,562</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165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177"/>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Others</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1,116</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1,314</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1,257</w:t>
            </w: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31.1%</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Funding</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194,365</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693</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1.4%</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197,645</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614</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1.2%</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192,348</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638</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1.3%</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Funding (LC)</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56.4%</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42.8%</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1.1%</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51.5%</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49.6%</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1.2%</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51.4%</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53.6%</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1.4%</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Funding (FC)</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43.6%</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57.2%</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1.9%</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48.5%</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50.4%</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1.3%</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48.6%</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46.4%</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1.3%</w:t>
            </w:r>
          </w:p>
        </w:tc>
      </w:tr>
      <w:tr>
        <w:trPr>
          <w:trHeight w:val="153"/>
        </w:trPr>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NIM</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b w:val="1"/>
                <w:bCs w:val="1"/>
                <w:color w:val="auto"/>
              </w:rPr>
              <w:t>227,812</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2,123</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3.7%</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233,016</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2,478</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4.3%</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228,195</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2,534</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4.4%</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NIM (LC)</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61.3%</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86.9%</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5.3%</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56.2%</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83.2%</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6.3%</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57.8%</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85.1%</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6.5%</w:t>
            </w:r>
          </w:p>
        </w:tc>
      </w:tr>
      <w:tr>
        <w:trPr>
          <w:trHeight w:val="153"/>
        </w:trPr>
        <w:tc>
          <w:tcPr>
            <w:tcW w:w="21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NIM (FC)</w:t>
            </w:r>
          </w:p>
        </w:tc>
        <w:tc>
          <w:tcPr>
            <w:tcW w:w="110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38.7%</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13.1%</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1.3%</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43.8%</w:t>
            </w:r>
          </w:p>
        </w:tc>
        <w:tc>
          <w:tcPr>
            <w:tcW w:w="10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color w:val="auto"/>
              </w:rPr>
              <w:t>16.8%</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1.6%</w:t>
            </w:r>
          </w:p>
        </w:tc>
        <w:tc>
          <w:tcPr>
            <w:tcW w:w="110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color w:val="auto"/>
              </w:rPr>
              <w:t>42.2%</w:t>
            </w:r>
          </w:p>
        </w:tc>
        <w:tc>
          <w:tcPr>
            <w:tcW w:w="106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14.9%</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1.6%</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QoQ Analysis</w:t>
      </w:r>
    </w:p>
    <w:p>
      <w:pPr>
        <w:spacing w:after="0" w:line="20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 xml:space="preserve">QoQ, </w:t>
      </w:r>
      <w:r>
        <w:rPr>
          <w:rFonts w:ascii="Times New Roman" w:cs="Times New Roman" w:eastAsia="Times New Roman" w:hAnsi="Times New Roman"/>
          <w:sz w:val="14"/>
          <w:szCs w:val="14"/>
          <w:b w:val="1"/>
          <w:bCs w:val="1"/>
          <w:color w:val="auto"/>
        </w:rPr>
        <w:t>Net Interest Income</w:t>
      </w:r>
      <w:r>
        <w:rPr>
          <w:rFonts w:ascii="Times New Roman" w:cs="Times New Roman" w:eastAsia="Times New Roman" w:hAnsi="Times New Roman"/>
          <w:sz w:val="14"/>
          <w:szCs w:val="14"/>
          <w:color w:val="auto"/>
        </w:rPr>
        <w:t xml:space="preserve"> rose 2.3%, which was mainly driven by an increase in Peru’s reference rate and by the dynamic of IEAs in LC, which represent 58% of total IEAs and 85% of the Net Interest Margin generated in 1Q22.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Dynamics in Local Currency (LC)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14"/>
          <w:szCs w:val="14"/>
          <w:color w:val="auto"/>
        </w:rPr>
        <w:t>in LC rose 4.7%, which was attributable to the following dynamics:</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Average IEAs in LC increased slightly and registered mixed variations at the component level. Average structural loans and investments in LC (the most profitable assets) rose 4.7% and 4.5% respectively. This growth was offset by a contraction in available funds and in GP loans (less profitable assets), which have fallen over the past few quarters due to a system-wide reduction in liquidity levels in LC. The movements in these accounts generated a more profitable IEA mix in LC.</w:t>
      </w:r>
    </w:p>
    <w:p>
      <w:pPr>
        <w:spacing w:after="0" w:line="1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The yields on the components of IEA increased, in particular for assets with shorter maturities (available funds and short-term investments), which reflects the reference rate increase in Peru. The yield on IEA in LC rose from 7.2% in 4Q21 to 7.6% in 1Q22. In this sense, the key factors that contributed to the 5.7% increase in Interest Income were mix and price.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funding in LC dropped 2.9% due to a decrease in Deposits and BCRP instruments, which was mainly attributable to amortizations of GP loans.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funding cost in LC increased, which was driven primarily by higher time deposits yields after the reference rate hike. The funding cost in LC rose from 1.2% in 4Q21 to 1.4% in 1Q22.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Expenses in LC increased 12.5% due to a price effect.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dynamics (FC)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14"/>
          <w:szCs w:val="14"/>
          <w:color w:val="auto"/>
        </w:rPr>
        <w:t>in FC fell 9.7% due to the following dynamics:</w:t>
      </w:r>
    </w:p>
    <w:p>
      <w:pPr>
        <w:spacing w:after="0" w:line="19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Average IEA fell 5.6%, in line with a decrease in all components of the mix due to an exchange rate effect. In the case of the loan portfolio, retail loans (more profitable loans) fell while wholesale loans (less profitable loans) grew, which generated a less profitable mix. The decrease in volume, coupled with a negative mix effect, led interest income in FC to drop 7.4%.</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04. Net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238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123825"/>
                    </a:xfrm>
                    <a:prstGeom prst="rect">
                      <a:avLst/>
                    </a:prstGeom>
                    <a:noFill/>
                  </pic:spPr>
                </pic:pic>
              </a:graphicData>
            </a:graphic>
          </wp:anchor>
        </w:drawing>
      </w:r>
    </w:p>
    <w:p>
      <w:pPr>
        <w:spacing w:after="0" w:line="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Average funding in FC decreased 2.5% due to the exchange rate effect. More expensive deposits, such as time and severance indemnity deposits, registered a drop in their share of total deposits, which positively impacted the funding cost. The drop in volume and in the funding cost led interest expenses in FC to fall 4.4%.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YoY Analysis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YoY, </w:t>
      </w:r>
      <w:r>
        <w:rPr>
          <w:rFonts w:ascii="Times New Roman" w:cs="Times New Roman" w:eastAsia="Times New Roman" w:hAnsi="Times New Roman"/>
          <w:sz w:val="14"/>
          <w:szCs w:val="14"/>
          <w:b w:val="1"/>
          <w:bCs w:val="1"/>
          <w:color w:val="auto"/>
        </w:rPr>
        <w:t>Net Interest Income</w:t>
      </w:r>
      <w:r>
        <w:rPr>
          <w:rFonts w:ascii="Times New Roman" w:cs="Times New Roman" w:eastAsia="Times New Roman" w:hAnsi="Times New Roman"/>
          <w:sz w:val="14"/>
          <w:szCs w:val="14"/>
          <w:color w:val="auto"/>
        </w:rPr>
        <w:t xml:space="preserve"> rose 19.3%, which was primarily attributable to rate dynamics and the evolution of IEAs in 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Dynamics in Local Currency (LC)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14"/>
          <w:szCs w:val="14"/>
          <w:color w:val="auto"/>
        </w:rPr>
        <w:t>in LC rose 16.9% due to the following dynamics: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IEA in LC fell -5.6%. The following was noteworthy:</w:t>
      </w:r>
    </w:p>
    <w:p>
      <w:pPr>
        <w:spacing w:after="0" w:line="26" w:lineRule="exact"/>
        <w:rPr>
          <w:sz w:val="20"/>
          <w:szCs w:val="20"/>
          <w:color w:val="auto"/>
        </w:rPr>
      </w:pPr>
    </w:p>
    <w:p>
      <w:pPr>
        <w:ind w:left="260" w:hanging="253"/>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structural loans grew 18.3% after disbursements began to bounce back due to an ebb in the pandemic and in related restrictions;</w:t>
      </w:r>
    </w:p>
    <w:p>
      <w:pPr>
        <w:spacing w:after="0" w:line="1" w:lineRule="exact"/>
        <w:rPr>
          <w:rFonts w:ascii="Arial" w:cs="Arial" w:eastAsia="Arial" w:hAnsi="Arial"/>
          <w:sz w:val="14"/>
          <w:szCs w:val="14"/>
          <w:color w:val="auto"/>
        </w:rPr>
      </w:pPr>
    </w:p>
    <w:p>
      <w:pPr>
        <w:ind w:left="260" w:hanging="253"/>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balances of GP loans fell 28.3%, which reflected client amortizations;</w:t>
      </w:r>
    </w:p>
    <w:p>
      <w:pPr>
        <w:spacing w:after="0" w:line="1" w:lineRule="exact"/>
        <w:rPr>
          <w:rFonts w:ascii="Arial" w:cs="Arial" w:eastAsia="Arial" w:hAnsi="Arial"/>
          <w:sz w:val="14"/>
          <w:szCs w:val="14"/>
          <w:color w:val="auto"/>
        </w:rPr>
      </w:pPr>
    </w:p>
    <w:p>
      <w:pPr>
        <w:ind w:left="260" w:hanging="253"/>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Investments fell after certificates of deposit were not renewed in a context marked by excess liquidity and sales to reduce the portfolio’s duration; and</w:t>
      </w:r>
    </w:p>
    <w:p>
      <w:pPr>
        <w:spacing w:after="0" w:line="1" w:lineRule="exact"/>
        <w:rPr>
          <w:rFonts w:ascii="Arial" w:cs="Arial" w:eastAsia="Arial" w:hAnsi="Arial"/>
          <w:sz w:val="14"/>
          <w:szCs w:val="14"/>
          <w:color w:val="auto"/>
        </w:rPr>
      </w:pPr>
    </w:p>
    <w:p>
      <w:pPr>
        <w:ind w:left="260" w:hanging="253"/>
        <w:spacing w:after="0"/>
        <w:tabs>
          <w:tab w:leader="none" w:pos="2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Available funds fell due to a drop in the system’s liquidity and the migration of deposits to FC.</w:t>
      </w:r>
    </w:p>
    <w:p>
      <w:pPr>
        <w:spacing w:after="0" w:line="18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movements in these accounts led to a more profitable IEA mix in LC. Yields on shorter-duration assets (mainly available funds and short-term investments) increased due to reference rate hikes and to the consequent increase in market rates in LC. Combined, these effects spurred an increase in the yield of IEA in LC, which rose from 6.1% in 1Q21 to 7.6% in 1Q22. In this context LC income grew 16.7%, driven by an increase in structural loans and a positive rate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Average funding in LC fell 9.7% due to:</w:t>
      </w:r>
    </w:p>
    <w:p>
      <w:pPr>
        <w:spacing w:after="0" w:line="207" w:lineRule="exact"/>
        <w:rPr>
          <w:sz w:val="20"/>
          <w:szCs w:val="20"/>
          <w:color w:val="auto"/>
        </w:rPr>
      </w:pPr>
    </w:p>
    <w:p>
      <w:pPr>
        <w:ind w:left="260" w:hanging="253"/>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Amortizations of GP loans, which reduced the balances of low-cost BCRP instruments; and</w:t>
      </w:r>
    </w:p>
    <w:p>
      <w:pPr>
        <w:spacing w:after="0" w:line="15" w:lineRule="exact"/>
        <w:rPr>
          <w:rFonts w:ascii="Arial" w:cs="Arial" w:eastAsia="Arial" w:hAnsi="Arial"/>
          <w:sz w:val="14"/>
          <w:szCs w:val="14"/>
          <w:color w:val="auto"/>
        </w:rPr>
      </w:pPr>
    </w:p>
    <w:p>
      <w:pPr>
        <w:ind w:left="260" w:hanging="253"/>
        <w:spacing w:after="0"/>
        <w:tabs>
          <w:tab w:leader="none" w:pos="2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decrease in deposits in LC, particularly in Demand Deposits, in line with client amortizations of Reactiva loans. This was boosted by the migration of deposits to FC.</w:t>
      </w:r>
    </w:p>
    <w:p>
      <w:pPr>
        <w:spacing w:after="0" w:line="18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Rates in LC increased, in particular for interest-bearing deposits and BCRP instruments, which rose in tandem with the reference rate hike. The cost of funding rose from 1.1% in 1Q21 to 1.4% in 1Q22. Due to this price effect, interest expenses in LC rose 15.3%.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Dynamics in Foreign Currency (FC)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14"/>
          <w:szCs w:val="14"/>
          <w:color w:val="auto"/>
        </w:rPr>
        <w:t>in FC increased 35.6%, driven by the following dynamics:</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Average IEA in FC rose 9.2%; this evolution was primarily attributable to an increase in the volume of available funds and, to a lesser extent, to growth in loans and investments. Growth in available funds in FC was fueled by a material increase in the balance of FC deposits. Additionally, corporate loans (with lower interest rates) increased while retail loans decreased. Growth in the share of less profitable assets generated a mix effect that negatively impacted IEA yields.</w:t>
      </w:r>
    </w:p>
    <w:p>
      <w:pPr>
        <w:spacing w:after="0" w:line="1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The yield of IEA in FC fell from 3.1% in 1Q21 to 2.8% in 1Q22 due to the mix effect described in the previous paragraph. In this context, the positive volume effect, which was offset by a negative mix effect, led income in FC to drop 0.2%.</w:t>
      </w:r>
    </w:p>
    <w:p>
      <w:pPr>
        <w:spacing w:after="0" w:line="1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Average funding in FC grew 10.1%, which was attributable to growth in savings deposits in FC after clients sought refuge in a context marked by a depreciation in LC. Growth in low-cost deposits within funding generated a mix effect that positively impacted the funding cost. Interest Expenses in FC fell 25.3% due to (i) the base effect generated by a non-recurring liability management transaction in 1Q21, and (ii) the mix effect on the funding cost in FC. In this scenario, the funding cost fell from 1.9% in 1Q21 to 1.3% in 1Q22.</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05 </w:t>
      </w:r>
      <w:r>
        <w:rPr>
          <w:rFonts w:ascii="Times New Roman" w:cs="Times New Roman" w:eastAsia="Times New Roman" w:hAnsi="Times New Roman"/>
          <w:sz w:val="25"/>
          <w:szCs w:val="25"/>
          <w:b w:val="1"/>
          <w:bCs w:val="1"/>
          <w:color w:val="E93CAC"/>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59625" cy="804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804545"/>
                    </a:xfrm>
                    <a:prstGeom prst="rect">
                      <a:avLst/>
                    </a:prstGeom>
                    <a:noFill/>
                  </pic:spPr>
                </pic:pic>
              </a:graphicData>
            </a:graphic>
          </wp:anchor>
        </w:drawing>
      </w:r>
    </w:p>
    <w:p>
      <w:pPr>
        <w:spacing w:after="0" w:line="280" w:lineRule="exact"/>
        <w:rPr>
          <w:sz w:val="20"/>
          <w:szCs w:val="20"/>
          <w:color w:val="auto"/>
        </w:rPr>
      </w:pPr>
    </w:p>
    <w:p>
      <w:pPr>
        <w:jc w:val="both"/>
        <w:ind w:left="120" w:right="100"/>
        <w:spacing w:after="0" w:line="264" w:lineRule="auto"/>
        <w:rPr>
          <w:sz w:val="20"/>
          <w:szCs w:val="20"/>
          <w:color w:val="auto"/>
        </w:rPr>
      </w:pPr>
      <w:r>
        <w:rPr>
          <w:rFonts w:ascii="Arial" w:cs="Arial" w:eastAsia="Arial" w:hAnsi="Arial"/>
          <w:sz w:val="14"/>
          <w:szCs w:val="14"/>
          <w:color w:val="FFFFFF"/>
        </w:rPr>
        <w:t>Although Provisions remain below pre-pandemic levels, they rose 250.2% QoQ given that Provisions hit a record low in 4Q21, where the base effect was driven primarily by the evolution of SME-Pyme and Mibanco. YoY, Provisions fell 53.2%, which was mainly attributable to an improvement in payment behavior among Retail Banking clients at BCP Stand-alone, which reflected the fact that economic growth outpaced expectations.</w:t>
      </w:r>
    </w:p>
    <w:p>
      <w:pPr>
        <w:spacing w:after="0" w:line="108"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4"/>
          <w:szCs w:val="14"/>
          <w:color w:val="FFFFFF"/>
        </w:rPr>
        <w:t>The Structural Cost of Risk (CoR) stood at 0.79% in 1Q22 compared to 0.22% in 4Q21, which reflected an increase in Provisions and a drop in Loans. YoY, an improvement in client risk profiles was complemented by an uptick in Loans, which led the CoR to reduce 113bps.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and Cost of Risk (CoR)</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4"/>
          <w:szCs w:val="14"/>
          <w:b w:val="1"/>
          <w:bCs w:val="1"/>
          <w:color w:val="auto"/>
        </w:rPr>
        <w:t xml:space="preserve"> of the Structural Portfolio</w:t>
      </w:r>
      <w:r>
        <w:rPr>
          <w:rFonts w:ascii="Times New Roman" w:cs="Times New Roman" w:eastAsia="Times New Roman" w:hAnsi="Times New Roman"/>
          <w:sz w:val="24"/>
          <w:szCs w:val="24"/>
          <w:b w:val="1"/>
          <w:bCs w:val="1"/>
          <w:color w:val="auto"/>
          <w:vertAlign w:val="superscript"/>
        </w:rPr>
        <w:t>(2)</w:t>
      </w:r>
    </w:p>
    <w:tbl>
      <w:tblPr>
        <w:tblLayout w:type="fixed"/>
        <w:tblInd w:w="10" w:type="dxa"/>
        <w:tblCellMar>
          <w:top w:w="0" w:type="dxa"/>
          <w:left w:w="0" w:type="dxa"/>
          <w:bottom w:w="0" w:type="dxa"/>
          <w:right w:w="0" w:type="dxa"/>
        </w:tblCellMar>
      </w:tblPr>
      <w:tr>
        <w:trPr>
          <w:trHeight w:val="139"/>
        </w:trPr>
        <w:tc>
          <w:tcPr>
            <w:tcW w:w="6240" w:type="dxa"/>
            <w:vAlign w:val="bottom"/>
            <w:tcBorders>
              <w:top w:val="single" w:sz="8" w:color="auto"/>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Structural Loan Portfolio Provisions</w:t>
            </w:r>
          </w:p>
        </w:tc>
        <w:tc>
          <w:tcPr>
            <w:tcW w:w="1000" w:type="dxa"/>
            <w:vAlign w:val="bottom"/>
            <w:tcBorders>
              <w:top w:val="single" w:sz="8" w:color="auto"/>
            </w:tcBorders>
            <w:shd w:val="clear" w:color="auto" w:fill="2AD2C9"/>
          </w:tcPr>
          <w:p>
            <w:pPr>
              <w:spacing w:after="0"/>
              <w:rPr>
                <w:sz w:val="12"/>
                <w:szCs w:val="12"/>
                <w:color w:val="auto"/>
              </w:rPr>
            </w:pPr>
          </w:p>
        </w:tc>
        <w:tc>
          <w:tcPr>
            <w:tcW w:w="1000" w:type="dxa"/>
            <w:vAlign w:val="bottom"/>
            <w:tcBorders>
              <w:top w:val="single" w:sz="8" w:color="auto"/>
            </w:tcBorders>
            <w:shd w:val="clear" w:color="auto" w:fill="2AD2C9"/>
          </w:tcPr>
          <w:p>
            <w:pPr>
              <w:ind w:left="240"/>
              <w:spacing w:after="0" w:line="139" w:lineRule="exact"/>
              <w:rPr>
                <w:sz w:val="20"/>
                <w:szCs w:val="20"/>
                <w:color w:val="auto"/>
              </w:rPr>
            </w:pPr>
            <w:r>
              <w:rPr>
                <w:rFonts w:ascii="Arial" w:cs="Arial" w:eastAsia="Arial" w:hAnsi="Arial"/>
                <w:sz w:val="14"/>
                <w:szCs w:val="14"/>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2"/>
                <w:szCs w:val="12"/>
                <w:color w:val="auto"/>
              </w:rPr>
            </w:pPr>
          </w:p>
        </w:tc>
        <w:tc>
          <w:tcPr>
            <w:tcW w:w="2020" w:type="dxa"/>
            <w:vAlign w:val="bottom"/>
            <w:tcBorders>
              <w:top w:val="single" w:sz="8" w:color="auto"/>
              <w:right w:val="single" w:sz="8" w:color="auto"/>
            </w:tcBorders>
            <w:gridSpan w:val="2"/>
            <w:shd w:val="clear" w:color="auto" w:fill="2AD2C9"/>
          </w:tcPr>
          <w:p>
            <w:pPr>
              <w:ind w:left="660"/>
              <w:spacing w:after="0" w:line="139" w:lineRule="exact"/>
              <w:rPr>
                <w:sz w:val="20"/>
                <w:szCs w:val="20"/>
                <w:color w:val="auto"/>
              </w:rPr>
            </w:pPr>
            <w:r>
              <w:rPr>
                <w:rFonts w:ascii="Arial" w:cs="Arial" w:eastAsia="Arial" w:hAnsi="Arial"/>
                <w:sz w:val="14"/>
                <w:szCs w:val="14"/>
                <w:b w:val="1"/>
                <w:bCs w:val="1"/>
                <w:color w:val="FFFFFF"/>
              </w:rPr>
              <w:t>% change</w:t>
            </w:r>
          </w:p>
        </w:tc>
      </w:tr>
      <w:tr>
        <w:trPr>
          <w:trHeight w:val="177"/>
        </w:trPr>
        <w:tc>
          <w:tcPr>
            <w:tcW w:w="624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00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1Q21</w:t>
            </w:r>
          </w:p>
        </w:tc>
        <w:tc>
          <w:tcPr>
            <w:tcW w:w="100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4Q21</w:t>
            </w:r>
          </w:p>
        </w:tc>
        <w:tc>
          <w:tcPr>
            <w:tcW w:w="1040" w:type="dxa"/>
            <w:vAlign w:val="bottom"/>
            <w:tcBorders>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1Q22</w:t>
            </w:r>
          </w:p>
        </w:tc>
        <w:tc>
          <w:tcPr>
            <w:tcW w:w="98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r>
      <w:tr>
        <w:trPr>
          <w:trHeight w:val="148"/>
        </w:trPr>
        <w:tc>
          <w:tcPr>
            <w:tcW w:w="62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Gross provision for credit losses on loan portfolio</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(607,001)</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(175,482)</w:t>
            </w: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(346,809)</w:t>
            </w:r>
          </w:p>
        </w:tc>
        <w:tc>
          <w:tcPr>
            <w:tcW w:w="980" w:type="dxa"/>
            <w:vAlign w:val="bottom"/>
          </w:tcPr>
          <w:p>
            <w:pPr>
              <w:jc w:val="center"/>
              <w:spacing w:after="0" w:line="148" w:lineRule="exact"/>
              <w:rPr>
                <w:sz w:val="20"/>
                <w:szCs w:val="20"/>
                <w:color w:val="auto"/>
              </w:rPr>
            </w:pPr>
            <w:r>
              <w:rPr>
                <w:rFonts w:ascii="Arial" w:cs="Arial" w:eastAsia="Arial" w:hAnsi="Arial"/>
                <w:sz w:val="14"/>
                <w:szCs w:val="14"/>
                <w:color w:val="auto"/>
              </w:rPr>
              <w:t>97.6%</w:t>
            </w: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-42.9%</w:t>
            </w:r>
          </w:p>
        </w:tc>
      </w:tr>
      <w:tr>
        <w:trPr>
          <w:trHeight w:val="162"/>
        </w:trPr>
        <w:tc>
          <w:tcPr>
            <w:tcW w:w="6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Recoveries of written-off loans</w:t>
            </w:r>
          </w:p>
        </w:tc>
        <w:tc>
          <w:tcPr>
            <w:tcW w:w="1000" w:type="dxa"/>
            <w:vAlign w:val="bottom"/>
          </w:tcPr>
          <w:p>
            <w:pPr>
              <w:jc w:val="center"/>
              <w:spacing w:after="0"/>
              <w:rPr>
                <w:sz w:val="20"/>
                <w:szCs w:val="20"/>
                <w:color w:val="auto"/>
              </w:rPr>
            </w:pPr>
            <w:r>
              <w:rPr>
                <w:rFonts w:ascii="Arial" w:cs="Arial" w:eastAsia="Arial" w:hAnsi="Arial"/>
                <w:sz w:val="14"/>
                <w:szCs w:val="14"/>
                <w:color w:val="auto"/>
              </w:rPr>
              <w:t>65,335</w:t>
            </w:r>
          </w:p>
        </w:tc>
        <w:tc>
          <w:tcPr>
            <w:tcW w:w="1000" w:type="dxa"/>
            <w:vAlign w:val="bottom"/>
          </w:tcPr>
          <w:p>
            <w:pPr>
              <w:jc w:val="center"/>
              <w:spacing w:after="0"/>
              <w:rPr>
                <w:sz w:val="20"/>
                <w:szCs w:val="20"/>
                <w:color w:val="auto"/>
              </w:rPr>
            </w:pPr>
            <w:r>
              <w:rPr>
                <w:rFonts w:ascii="Arial" w:cs="Arial" w:eastAsia="Arial" w:hAnsi="Arial"/>
                <w:sz w:val="14"/>
                <w:szCs w:val="14"/>
                <w:color w:val="auto"/>
              </w:rPr>
              <w:t>103,022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93,091</w:t>
            </w:r>
          </w:p>
        </w:tc>
        <w:tc>
          <w:tcPr>
            <w:tcW w:w="980" w:type="dxa"/>
            <w:vAlign w:val="bottom"/>
          </w:tcPr>
          <w:p>
            <w:pPr>
              <w:jc w:val="center"/>
              <w:spacing w:after="0"/>
              <w:rPr>
                <w:sz w:val="20"/>
                <w:szCs w:val="20"/>
                <w:color w:val="auto"/>
              </w:rPr>
            </w:pPr>
            <w:r>
              <w:rPr>
                <w:rFonts w:ascii="Arial" w:cs="Arial" w:eastAsia="Arial" w:hAnsi="Arial"/>
                <w:sz w:val="14"/>
                <w:szCs w:val="14"/>
                <w:color w:val="auto"/>
              </w:rPr>
              <w:t>-9.6%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42.5%</w:t>
            </w:r>
          </w:p>
        </w:tc>
      </w:tr>
      <w:tr>
        <w:trPr>
          <w:trHeight w:val="177"/>
        </w:trPr>
        <w:tc>
          <w:tcPr>
            <w:tcW w:w="6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Provision for credit losses on loan portfolio, net of  recoveries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(541,666)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(72,460)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(253,718)</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250.2%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-53.2%</w:t>
            </w:r>
          </w:p>
        </w:tc>
      </w:tr>
      <w:tr>
        <w:trPr>
          <w:trHeight w:val="153"/>
        </w:trPr>
        <w:tc>
          <w:tcPr>
            <w:tcW w:w="6240" w:type="dxa"/>
            <w:vAlign w:val="bottom"/>
            <w:tcBorders>
              <w:left w:val="single" w:sz="8" w:color="auto"/>
              <w:bottom w:val="single" w:sz="8" w:color="auto"/>
              <w:right w:val="single" w:sz="8" w:color="auto"/>
            </w:tcBorders>
          </w:tcPr>
          <w:p>
            <w:pPr>
              <w:ind w:left="20"/>
              <w:spacing w:after="0" w:line="154" w:lineRule="exact"/>
              <w:rPr>
                <w:sz w:val="20"/>
                <w:szCs w:val="20"/>
                <w:color w:val="auto"/>
              </w:rPr>
            </w:pPr>
            <w:r>
              <w:rPr>
                <w:rFonts w:ascii="Arial" w:cs="Arial" w:eastAsia="Arial" w:hAnsi="Arial"/>
                <w:sz w:val="11"/>
                <w:szCs w:val="11"/>
                <w:color w:val="auto"/>
              </w:rPr>
              <w:t xml:space="preserve">Structural Cost of risk </w:t>
            </w:r>
            <w:r>
              <w:rPr>
                <w:rFonts w:ascii="Arial" w:cs="Arial" w:eastAsia="Arial" w:hAnsi="Arial"/>
                <w:sz w:val="17"/>
                <w:szCs w:val="17"/>
                <w:color w:val="auto"/>
                <w:vertAlign w:val="superscript"/>
              </w:rPr>
              <w:t>(1)</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1.92%</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0.22%</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rPr>
              <w:t>0.79%</w:t>
            </w:r>
          </w:p>
        </w:tc>
        <w:tc>
          <w:tcPr>
            <w:tcW w:w="9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color w:val="auto"/>
              </w:rPr>
              <w:t>57 bps</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color w:val="auto"/>
                <w:w w:val="99"/>
              </w:rPr>
              <w:t>-113 bps</w:t>
            </w:r>
          </w:p>
        </w:tc>
      </w:tr>
    </w:tbl>
    <w:p>
      <w:pPr>
        <w:spacing w:after="0" w:line="188" w:lineRule="exact"/>
        <w:rPr>
          <w:sz w:val="20"/>
          <w:szCs w:val="20"/>
          <w:color w:val="auto"/>
        </w:rPr>
      </w:pPr>
    </w:p>
    <w:p>
      <w:pPr>
        <w:ind w:left="140" w:hanging="133"/>
        <w:spacing w:after="0"/>
        <w:tabs>
          <w:tab w:leader="none" w:pos="1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Annualized Provision for credit losses on loan portfolio, net of recoveries / Total loans.</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Structural Cost of risk excludes the Provisions for credit losses on loan portfolio, net of recoveries and Total Loans from the Reactiva Peru and FAE Government Programs.</w:t>
      </w:r>
    </w:p>
    <w:p>
      <w:pPr>
        <w:spacing w:after="0" w:line="18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4"/>
          <w:szCs w:val="14"/>
          <w:b w:val="1"/>
          <w:bCs w:val="1"/>
          <w:color w:val="auto"/>
        </w:rPr>
        <w:t>QoQ</w:t>
      </w:r>
      <w:r>
        <w:rPr>
          <w:rFonts w:ascii="Times New Roman" w:cs="Times New Roman" w:eastAsia="Times New Roman" w:hAnsi="Times New Roman"/>
          <w:sz w:val="14"/>
          <w:szCs w:val="14"/>
          <w:color w:val="auto"/>
        </w:rPr>
        <w:t>, Provisions rose after having followed a downward trend for the last 6 months. Nonetheless, Provisions remain below pre-pandemic levels. In this context, the</w:t>
      </w:r>
      <w:r>
        <w:rPr>
          <w:rFonts w:ascii="Times New Roman" w:cs="Times New Roman" w:eastAsia="Times New Roman" w:hAnsi="Times New Roman"/>
          <w:sz w:val="14"/>
          <w:szCs w:val="14"/>
          <w:b w:val="1"/>
          <w:bCs w:val="1"/>
          <w:color w:val="auto"/>
        </w:rPr>
        <w:t xml:space="preserve"> structural CoR </w:t>
      </w:r>
      <w:r>
        <w:rPr>
          <w:rFonts w:ascii="Times New Roman" w:cs="Times New Roman" w:eastAsia="Times New Roman" w:hAnsi="Times New Roman"/>
          <w:sz w:val="14"/>
          <w:szCs w:val="14"/>
          <w:color w:val="auto"/>
        </w:rPr>
        <w:t>increased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57bps, which was primarily attributable to:</w:t>
      </w:r>
    </w:p>
    <w:p>
      <w:pPr>
        <w:spacing w:after="0" w:line="138" w:lineRule="exact"/>
        <w:rPr>
          <w:sz w:val="20"/>
          <w:szCs w:val="20"/>
          <w:color w:val="auto"/>
        </w:rPr>
      </w:pPr>
    </w:p>
    <w:p>
      <w:pPr>
        <w:jc w:val="both"/>
        <w:ind w:left="260" w:hanging="253"/>
        <w:spacing w:after="0" w:line="256"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 xml:space="preserve">SMEs: </w:t>
      </w:r>
      <w:r>
        <w:rPr>
          <w:rFonts w:ascii="Arial" w:cs="Arial" w:eastAsia="Arial" w:hAnsi="Arial"/>
          <w:sz w:val="14"/>
          <w:szCs w:val="14"/>
          <w:color w:val="auto"/>
        </w:rPr>
        <w:t>which was primarily due to a base effect in SME-Pyme due to lower risk levels in 4Q21. Additionally, growth in the CoR was associated with clients who have GP</w:t>
      </w:r>
      <w:r>
        <w:rPr>
          <w:rFonts w:ascii="Arial" w:cs="Arial" w:eastAsia="Arial" w:hAnsi="Arial"/>
          <w:sz w:val="14"/>
          <w:szCs w:val="14"/>
          <w:b w:val="1"/>
          <w:bCs w:val="1"/>
          <w:color w:val="auto"/>
        </w:rPr>
        <w:t xml:space="preserve"> </w:t>
      </w:r>
      <w:r>
        <w:rPr>
          <w:rFonts w:ascii="Arial" w:cs="Arial" w:eastAsia="Arial" w:hAnsi="Arial"/>
          <w:sz w:val="14"/>
          <w:szCs w:val="14"/>
          <w:color w:val="auto"/>
        </w:rPr>
        <w:t>loans but did not avail of reprogramming facilities and subsequently fell behind in their payments, which lowered their credit score. The uptick was also attributable to the strategy to selectively penetrate new, more profitable segments that nonetheless imply higher risk. It is important to note that these risk levels are within the parameters of Credicorp’s risk appetite; and</w:t>
      </w:r>
    </w:p>
    <w:p>
      <w:pPr>
        <w:spacing w:after="0" w:line="157" w:lineRule="exact"/>
        <w:rPr>
          <w:rFonts w:ascii="Arial" w:cs="Arial" w:eastAsia="Arial" w:hAnsi="Arial"/>
          <w:sz w:val="14"/>
          <w:szCs w:val="14"/>
          <w:color w:val="auto"/>
        </w:rPr>
      </w:pPr>
    </w:p>
    <w:p>
      <w:pPr>
        <w:ind w:left="260" w:hanging="253"/>
        <w:spacing w:after="0" w:line="286" w:lineRule="auto"/>
        <w:tabs>
          <w:tab w:leader="none" w:pos="260"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auto"/>
        </w:rPr>
        <w:t xml:space="preserve">Mibanco: </w:t>
      </w:r>
      <w:r>
        <w:rPr>
          <w:rFonts w:ascii="Arial" w:cs="Arial" w:eastAsia="Arial" w:hAnsi="Arial"/>
          <w:sz w:val="14"/>
          <w:szCs w:val="14"/>
          <w:color w:val="auto"/>
        </w:rPr>
        <w:t>due to a base effect, given that the level in 4Q21 represented a record low due to adjustments in the Probability of Default (PD) and Loss Given Default (LGD)</w:t>
      </w:r>
      <w:r>
        <w:rPr>
          <w:rFonts w:ascii="Arial" w:cs="Arial" w:eastAsia="Arial" w:hAnsi="Arial"/>
          <w:sz w:val="14"/>
          <w:szCs w:val="14"/>
          <w:b w:val="1"/>
          <w:bCs w:val="1"/>
          <w:color w:val="auto"/>
        </w:rPr>
        <w:t xml:space="preserve"> </w:t>
      </w:r>
      <w:r>
        <w:rPr>
          <w:rFonts w:ascii="Arial" w:cs="Arial" w:eastAsia="Arial" w:hAnsi="Arial"/>
          <w:sz w:val="14"/>
          <w:szCs w:val="14"/>
          <w:color w:val="auto"/>
        </w:rPr>
        <w:t>models. Provisions also increased due to growth in disbursements, standing at pre-pandemic levels.</w:t>
      </w:r>
    </w:p>
    <w:p>
      <w:pPr>
        <w:spacing w:after="0" w:line="136"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The aforementioned was partially attenuated by a drop in expenses in Individuals and Wholesale Banking at BCP Stand-alone due to an improvement in clients risk profiles and to the fact that Provisions levels were high in 4Q21, which reflected updates to the models’ macroeconomic variables.</w:t>
      </w:r>
    </w:p>
    <w:p>
      <w:pPr>
        <w:sectPr>
          <w:pgSz w:w="11900" w:h="16838" w:orient="portrait"/>
          <w:cols w:equalWidth="0" w:num="1">
            <w:col w:w="11280"/>
          </w:cols>
          <w:pgMar w:left="300" w:top="140" w:right="319" w:bottom="1440" w:gutter="0" w:footer="0" w:header="0"/>
        </w:sectPr>
      </w:pPr>
    </w:p>
    <w:p>
      <w:pPr>
        <w:spacing w:after="0" w:line="117" w:lineRule="exact"/>
        <w:rPr>
          <w:sz w:val="20"/>
          <w:szCs w:val="20"/>
          <w:color w:val="auto"/>
        </w:rPr>
      </w:pPr>
    </w:p>
    <w:p>
      <w:pPr>
        <w:jc w:val="both"/>
        <w:ind w:right="1520"/>
        <w:spacing w:after="0" w:line="273" w:lineRule="auto"/>
        <w:rPr>
          <w:sz w:val="20"/>
          <w:szCs w:val="20"/>
          <w:color w:val="auto"/>
        </w:rPr>
      </w:pPr>
      <w:r>
        <w:rPr>
          <w:rFonts w:ascii="Times New Roman" w:cs="Times New Roman" w:eastAsia="Times New Roman" w:hAnsi="Times New Roman"/>
          <w:sz w:val="14"/>
          <w:szCs w:val="14"/>
          <w:b w:val="1"/>
          <w:bCs w:val="1"/>
          <w:color w:val="auto"/>
        </w:rPr>
        <w:t>YoY</w:t>
      </w:r>
      <w:r>
        <w:rPr>
          <w:rFonts w:ascii="Times New Roman" w:cs="Times New Roman" w:eastAsia="Times New Roman" w:hAnsi="Times New Roman"/>
          <w:sz w:val="14"/>
          <w:szCs w:val="14"/>
          <w:color w:val="auto"/>
        </w:rPr>
        <w:t>, Provisions dropped due to better-than-expected economic growth and to an uptick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liquidity across the financial system. The improvement was seen in all the banking subsidiaries and is reflected in the 113bps drop in </w:t>
      </w:r>
      <w:r>
        <w:rPr>
          <w:rFonts w:ascii="Times New Roman" w:cs="Times New Roman" w:eastAsia="Times New Roman" w:hAnsi="Times New Roman"/>
          <w:sz w:val="14"/>
          <w:szCs w:val="14"/>
          <w:b w:val="1"/>
          <w:bCs w:val="1"/>
          <w:color w:val="auto"/>
        </w:rPr>
        <w:t>structural CoR</w:t>
      </w:r>
      <w:r>
        <w:rPr>
          <w:rFonts w:ascii="Times New Roman" w:cs="Times New Roman" w:eastAsia="Times New Roman" w:hAnsi="Times New Roman"/>
          <w:sz w:val="14"/>
          <w:szCs w:val="14"/>
          <w:color w:val="auto"/>
        </w:rPr>
        <w:t>. The following segments drove the majority of the reduction in this ratio:</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Structural CoR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-1138555</wp:posOffset>
            </wp:positionH>
            <wp:positionV relativeFrom="paragraph">
              <wp:posOffset>142240</wp:posOffset>
            </wp:positionV>
            <wp:extent cx="2489835" cy="129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89835" cy="1292860"/>
                    </a:xfrm>
                    <a:prstGeom prst="rect">
                      <a:avLst/>
                    </a:prstGeom>
                    <a:noFill/>
                  </pic:spPr>
                </pic:pic>
              </a:graphicData>
            </a:graphic>
          </wp:anchor>
        </w:drawing>
      </w:r>
    </w:p>
    <w:p>
      <w:pPr>
        <w:spacing w:after="0" w:line="729" w:lineRule="exact"/>
        <w:rPr>
          <w:sz w:val="20"/>
          <w:szCs w:val="20"/>
          <w:color w:val="auto"/>
        </w:rPr>
      </w:pPr>
    </w:p>
    <w:p>
      <w:pPr>
        <w:sectPr>
          <w:pgSz w:w="11900" w:h="16838" w:orient="portrait"/>
          <w:cols w:equalWidth="0" w:num="2">
            <w:col w:w="6940" w:space="720"/>
            <w:col w:w="3620"/>
          </w:cols>
          <w:pgMar w:left="300" w:top="140" w:right="319" w:bottom="1440" w:gutter="0" w:footer="0" w:header="0"/>
          <w:type w:val="continuous"/>
        </w:sectPr>
      </w:pPr>
    </w:p>
    <w:p>
      <w:pPr>
        <w:jc w:val="both"/>
        <w:ind w:left="260" w:right="5880" w:hanging="253"/>
        <w:spacing w:after="0" w:line="264" w:lineRule="auto"/>
        <w:tabs>
          <w:tab w:leader="none" w:pos="260" w:val="left"/>
        </w:tabs>
        <w:numPr>
          <w:ilvl w:val="0"/>
          <w:numId w:val="30"/>
        </w:numPr>
        <w:rPr>
          <w:rFonts w:ascii="Arial" w:cs="Arial" w:eastAsia="Arial" w:hAnsi="Arial"/>
          <w:sz w:val="14"/>
          <w:szCs w:val="14"/>
          <w:color w:val="auto"/>
        </w:rPr>
      </w:pPr>
      <w:r>
        <w:rPr>
          <w:rFonts w:ascii="Arial" w:cs="Arial" w:eastAsia="Arial" w:hAnsi="Arial"/>
          <w:sz w:val="14"/>
          <w:szCs w:val="14"/>
          <w:b w:val="1"/>
          <w:bCs w:val="1"/>
          <w:color w:val="auto"/>
        </w:rPr>
        <w:t xml:space="preserve">Individuals: </w:t>
      </w:r>
      <w:r>
        <w:rPr>
          <w:rFonts w:ascii="Arial" w:cs="Arial" w:eastAsia="Arial" w:hAnsi="Arial"/>
          <w:sz w:val="14"/>
          <w:szCs w:val="14"/>
          <w:color w:val="auto"/>
        </w:rPr>
        <w:t>a decrease in expenses in Consumer and Credit Cards, which was</w:t>
      </w:r>
      <w:r>
        <w:rPr>
          <w:rFonts w:ascii="Arial" w:cs="Arial" w:eastAsia="Arial" w:hAnsi="Arial"/>
          <w:sz w:val="14"/>
          <w:szCs w:val="14"/>
          <w:b w:val="1"/>
          <w:bCs w:val="1"/>
          <w:color w:val="auto"/>
        </w:rPr>
        <w:t xml:space="preserve"> </w:t>
      </w:r>
      <w:r>
        <w:rPr>
          <w:rFonts w:ascii="Arial" w:cs="Arial" w:eastAsia="Arial" w:hAnsi="Arial"/>
          <w:sz w:val="14"/>
          <w:szCs w:val="14"/>
          <w:color w:val="auto"/>
        </w:rPr>
        <w:t>driven by an uptick in client entries and a decrease in the volume of Refinanced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05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59625" cy="185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185420"/>
                    </a:xfrm>
                    <a:prstGeom prst="rect">
                      <a:avLst/>
                    </a:prstGeom>
                    <a:noFill/>
                  </pic:spPr>
                </pic:pic>
              </a:graphicData>
            </a:graphic>
          </wp:anchor>
        </w:drawing>
      </w:r>
    </w:p>
    <w:p>
      <w:pPr>
        <w:spacing w:after="0" w:line="93" w:lineRule="exact"/>
        <w:rPr>
          <w:sz w:val="20"/>
          <w:szCs w:val="20"/>
          <w:color w:val="auto"/>
        </w:rPr>
      </w:pPr>
    </w:p>
    <w:p>
      <w:pPr>
        <w:ind w:left="260" w:hanging="253"/>
        <w:spacing w:after="0"/>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 xml:space="preserve">SMEs: </w:t>
      </w:r>
      <w:r>
        <w:rPr>
          <w:rFonts w:ascii="Arial" w:cs="Arial" w:eastAsia="Arial" w:hAnsi="Arial"/>
          <w:sz w:val="14"/>
          <w:szCs w:val="14"/>
          <w:color w:val="auto"/>
        </w:rPr>
        <w:t>improvements in payment behavior and adjustments in models due to variations in macroeconomic risks; and</w:t>
      </w:r>
    </w:p>
    <w:p>
      <w:pPr>
        <w:spacing w:after="0" w:line="196" w:lineRule="exact"/>
        <w:rPr>
          <w:rFonts w:ascii="Arial" w:cs="Arial" w:eastAsia="Arial" w:hAnsi="Arial"/>
          <w:sz w:val="14"/>
          <w:szCs w:val="14"/>
          <w:color w:val="auto"/>
        </w:rPr>
      </w:pPr>
    </w:p>
    <w:p>
      <w:pPr>
        <w:ind w:left="260" w:hanging="253"/>
        <w:spacing w:after="0" w:line="286"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 xml:space="preserve">Mibanco: </w:t>
      </w:r>
      <w:r>
        <w:rPr>
          <w:rFonts w:ascii="Arial" w:cs="Arial" w:eastAsia="Arial" w:hAnsi="Arial"/>
          <w:sz w:val="14"/>
          <w:szCs w:val="14"/>
          <w:color w:val="auto"/>
        </w:rPr>
        <w:t>fruit of the hybrid model at Mibanco, where new disbursements carry lower levels of risk. Additionally, the bank registered a decrease in Loans that advanced to</w:t>
      </w:r>
      <w:r>
        <w:rPr>
          <w:rFonts w:ascii="Arial" w:cs="Arial" w:eastAsia="Arial" w:hAnsi="Arial"/>
          <w:sz w:val="14"/>
          <w:szCs w:val="14"/>
          <w:b w:val="1"/>
          <w:bCs w:val="1"/>
          <w:color w:val="auto"/>
        </w:rPr>
        <w:t xml:space="preserve"> </w:t>
      </w:r>
      <w:r>
        <w:rPr>
          <w:rFonts w:ascii="Arial" w:cs="Arial" w:eastAsia="Arial" w:hAnsi="Arial"/>
          <w:sz w:val="14"/>
          <w:szCs w:val="14"/>
          <w:color w:val="auto"/>
        </w:rPr>
        <w:t>Stage 3 delinquency and reported an increase in the Recoveries of written-off loans.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aforementioned was partially offset by an increase in Provisions in Wholesale Banking. This was mainly attributable to growth in the number of clients in the hydrocarbon and service industries that advanced to Stage 3, as well as updates to the model’s macroeconomic variables, which have a greater impact on corporate clients (variables related to political risk and market volatility due to the war in the Ukraine).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and CoR of the Government Program (GP) Loan Portfolio</w: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5660" w:type="dxa"/>
            <w:vAlign w:val="bottom"/>
            <w:tcBorders>
              <w:top w:val="single" w:sz="8" w:color="auto"/>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Structural Loan Portfolio Provisions</w:t>
            </w:r>
          </w:p>
        </w:tc>
        <w:tc>
          <w:tcPr>
            <w:tcW w:w="1120" w:type="dxa"/>
            <w:vAlign w:val="bottom"/>
            <w:tcBorders>
              <w:top w:val="single" w:sz="8" w:color="auto"/>
            </w:tcBorders>
            <w:shd w:val="clear" w:color="auto" w:fill="2AD2C9"/>
          </w:tcPr>
          <w:p>
            <w:pPr>
              <w:spacing w:after="0"/>
              <w:rPr>
                <w:sz w:val="12"/>
                <w:szCs w:val="12"/>
                <w:color w:val="auto"/>
              </w:rPr>
            </w:pPr>
          </w:p>
        </w:tc>
        <w:tc>
          <w:tcPr>
            <w:tcW w:w="1040" w:type="dxa"/>
            <w:vAlign w:val="bottom"/>
            <w:tcBorders>
              <w:top w:val="single" w:sz="8" w:color="auto"/>
            </w:tcBorders>
            <w:shd w:val="clear" w:color="auto" w:fill="2AD2C9"/>
          </w:tcPr>
          <w:p>
            <w:pPr>
              <w:jc w:val="right"/>
              <w:ind w:right="328"/>
              <w:spacing w:after="0" w:line="139" w:lineRule="exact"/>
              <w:rPr>
                <w:sz w:val="20"/>
                <w:szCs w:val="20"/>
                <w:color w:val="auto"/>
              </w:rPr>
            </w:pPr>
            <w:r>
              <w:rPr>
                <w:rFonts w:ascii="Arial" w:cs="Arial" w:eastAsia="Arial" w:hAnsi="Arial"/>
                <w:sz w:val="14"/>
                <w:szCs w:val="14"/>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2"/>
                <w:szCs w:val="12"/>
                <w:color w:val="auto"/>
              </w:rPr>
            </w:pPr>
          </w:p>
        </w:tc>
        <w:tc>
          <w:tcPr>
            <w:tcW w:w="1340" w:type="dxa"/>
            <w:vAlign w:val="bottom"/>
            <w:tcBorders>
              <w:top w:val="single" w:sz="8" w:color="auto"/>
            </w:tcBorders>
            <w:shd w:val="clear" w:color="auto" w:fill="2AD2C9"/>
          </w:tcPr>
          <w:p>
            <w:pPr>
              <w:jc w:val="right"/>
              <w:spacing w:after="0" w:line="139" w:lineRule="exact"/>
              <w:rPr>
                <w:sz w:val="20"/>
                <w:szCs w:val="20"/>
                <w:color w:val="auto"/>
              </w:rPr>
            </w:pPr>
            <w:r>
              <w:rPr>
                <w:rFonts w:ascii="Arial" w:cs="Arial" w:eastAsia="Arial" w:hAnsi="Arial"/>
                <w:sz w:val="14"/>
                <w:szCs w:val="14"/>
                <w:b w:val="1"/>
                <w:bCs w:val="1"/>
                <w:color w:val="FFFFFF"/>
              </w:rPr>
              <w:t>% change</w:t>
            </w:r>
          </w:p>
        </w:tc>
        <w:tc>
          <w:tcPr>
            <w:tcW w:w="680" w:type="dxa"/>
            <w:vAlign w:val="bottom"/>
            <w:tcBorders>
              <w:top w:val="single" w:sz="8" w:color="auto"/>
              <w:right w:val="single" w:sz="8" w:color="auto"/>
            </w:tcBorders>
            <w:shd w:val="clear" w:color="auto" w:fill="2AD2C9"/>
          </w:tcPr>
          <w:p>
            <w:pPr>
              <w:spacing w:after="0"/>
              <w:rPr>
                <w:sz w:val="12"/>
                <w:szCs w:val="12"/>
                <w:color w:val="auto"/>
              </w:rPr>
            </w:pPr>
          </w:p>
        </w:tc>
      </w:tr>
      <w:tr>
        <w:trPr>
          <w:trHeight w:val="177"/>
        </w:trPr>
        <w:tc>
          <w:tcPr>
            <w:tcW w:w="566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120" w:type="dxa"/>
            <w:vAlign w:val="bottom"/>
            <w:tcBorders>
              <w:bottom w:val="single" w:sz="8" w:color="auto"/>
            </w:tcBorders>
            <w:shd w:val="clear" w:color="auto" w:fill="2AD2C9"/>
          </w:tcPr>
          <w:p>
            <w:pPr>
              <w:jc w:val="right"/>
              <w:ind w:right="368"/>
              <w:spacing w:after="0"/>
              <w:rPr>
                <w:sz w:val="20"/>
                <w:szCs w:val="20"/>
                <w:color w:val="auto"/>
              </w:rPr>
            </w:pPr>
            <w:r>
              <w:rPr>
                <w:rFonts w:ascii="Arial" w:cs="Arial" w:eastAsia="Arial" w:hAnsi="Arial"/>
                <w:sz w:val="14"/>
                <w:szCs w:val="14"/>
                <w:b w:val="1"/>
                <w:bCs w:val="1"/>
                <w:color w:val="FFFFFF"/>
              </w:rPr>
              <w:t>1Q21</w:t>
            </w:r>
          </w:p>
        </w:tc>
        <w:tc>
          <w:tcPr>
            <w:tcW w:w="1040" w:type="dxa"/>
            <w:vAlign w:val="bottom"/>
            <w:tcBorders>
              <w:bottom w:val="single" w:sz="8" w:color="auto"/>
            </w:tcBorders>
            <w:shd w:val="clear" w:color="auto" w:fill="2AD2C9"/>
          </w:tcPr>
          <w:p>
            <w:pPr>
              <w:jc w:val="right"/>
              <w:ind w:right="408"/>
              <w:spacing w:after="0"/>
              <w:rPr>
                <w:sz w:val="20"/>
                <w:szCs w:val="20"/>
                <w:color w:val="auto"/>
              </w:rPr>
            </w:pPr>
            <w:r>
              <w:rPr>
                <w:rFonts w:ascii="Arial" w:cs="Arial" w:eastAsia="Arial" w:hAnsi="Arial"/>
                <w:sz w:val="14"/>
                <w:szCs w:val="14"/>
                <w:b w:val="1"/>
                <w:bCs w:val="1"/>
                <w:color w:val="FFFFFF"/>
              </w:rPr>
              <w:t>4Q21</w:t>
            </w:r>
          </w:p>
        </w:tc>
        <w:tc>
          <w:tcPr>
            <w:tcW w:w="880" w:type="dxa"/>
            <w:vAlign w:val="bottom"/>
            <w:tcBorders>
              <w:bottom w:val="single" w:sz="8" w:color="auto"/>
              <w:right w:val="single" w:sz="8" w:color="auto"/>
            </w:tcBorders>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1Q22</w:t>
            </w:r>
          </w:p>
        </w:tc>
        <w:tc>
          <w:tcPr>
            <w:tcW w:w="1340" w:type="dxa"/>
            <w:vAlign w:val="bottom"/>
            <w:tcBorders>
              <w:bottom w:val="single" w:sz="8" w:color="auto"/>
            </w:tcBorders>
            <w:shd w:val="clear" w:color="auto" w:fill="2AD2C9"/>
          </w:tcPr>
          <w:p>
            <w:pPr>
              <w:jc w:val="right"/>
              <w:ind w:right="628"/>
              <w:spacing w:after="0"/>
              <w:rPr>
                <w:sz w:val="20"/>
                <w:szCs w:val="20"/>
                <w:color w:val="auto"/>
              </w:rPr>
            </w:pPr>
            <w:r>
              <w:rPr>
                <w:rFonts w:ascii="Arial" w:cs="Arial" w:eastAsia="Arial" w:hAnsi="Arial"/>
                <w:sz w:val="14"/>
                <w:szCs w:val="14"/>
                <w:b w:val="1"/>
                <w:bCs w:val="1"/>
                <w:color w:val="FFFFFF"/>
              </w:rPr>
              <w:t>QoQ</w:t>
            </w:r>
          </w:p>
        </w:tc>
        <w:tc>
          <w:tcPr>
            <w:tcW w:w="680" w:type="dxa"/>
            <w:vAlign w:val="bottom"/>
            <w:tcBorders>
              <w:bottom w:val="single" w:sz="8" w:color="auto"/>
              <w:right w:val="single" w:sz="8" w:color="auto"/>
            </w:tcBorders>
            <w:shd w:val="clear" w:color="auto" w:fill="2AD2C9"/>
          </w:tcPr>
          <w:p>
            <w:pPr>
              <w:jc w:val="right"/>
              <w:ind w:right="328"/>
              <w:spacing w:after="0"/>
              <w:rPr>
                <w:sz w:val="20"/>
                <w:szCs w:val="20"/>
                <w:color w:val="auto"/>
              </w:rPr>
            </w:pPr>
            <w:r>
              <w:rPr>
                <w:rFonts w:ascii="Arial" w:cs="Arial" w:eastAsia="Arial" w:hAnsi="Arial"/>
                <w:sz w:val="14"/>
                <w:szCs w:val="14"/>
                <w:b w:val="1"/>
                <w:bCs w:val="1"/>
                <w:color w:val="FFFFFF"/>
                <w:w w:val="95"/>
              </w:rPr>
              <w:t>YoY</w:t>
            </w:r>
          </w:p>
        </w:tc>
      </w:tr>
      <w:tr>
        <w:trPr>
          <w:trHeight w:val="139"/>
        </w:trPr>
        <w:tc>
          <w:tcPr>
            <w:tcW w:w="566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Gross provision for credit losses on loan portfolio</w:t>
            </w:r>
          </w:p>
        </w:tc>
        <w:tc>
          <w:tcPr>
            <w:tcW w:w="11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(15,981)</w:t>
            </w:r>
          </w:p>
        </w:tc>
        <w:tc>
          <w:tcPr>
            <w:tcW w:w="1040" w:type="dxa"/>
            <w:vAlign w:val="bottom"/>
          </w:tcPr>
          <w:p>
            <w:pPr>
              <w:jc w:val="right"/>
              <w:ind w:right="88"/>
              <w:spacing w:after="0" w:line="139" w:lineRule="exact"/>
              <w:rPr>
                <w:sz w:val="20"/>
                <w:szCs w:val="20"/>
                <w:color w:val="auto"/>
              </w:rPr>
            </w:pPr>
            <w:r>
              <w:rPr>
                <w:rFonts w:ascii="Arial" w:cs="Arial" w:eastAsia="Arial" w:hAnsi="Arial"/>
                <w:sz w:val="14"/>
                <w:szCs w:val="14"/>
                <w:color w:val="auto"/>
              </w:rPr>
              <w:t>(54,322)</w:t>
            </w:r>
          </w:p>
        </w:tc>
        <w:tc>
          <w:tcPr>
            <w:tcW w:w="88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(3,872)</w:t>
            </w:r>
          </w:p>
        </w:tc>
        <w:tc>
          <w:tcPr>
            <w:tcW w:w="1340" w:type="dxa"/>
            <w:vAlign w:val="bottom"/>
          </w:tcPr>
          <w:p>
            <w:pPr>
              <w:jc w:val="right"/>
              <w:ind w:right="288"/>
              <w:spacing w:after="0" w:line="139" w:lineRule="exact"/>
              <w:rPr>
                <w:sz w:val="20"/>
                <w:szCs w:val="20"/>
                <w:color w:val="auto"/>
              </w:rPr>
            </w:pPr>
            <w:r>
              <w:rPr>
                <w:rFonts w:ascii="Arial" w:cs="Arial" w:eastAsia="Arial" w:hAnsi="Arial"/>
                <w:sz w:val="14"/>
                <w:szCs w:val="14"/>
                <w:color w:val="auto"/>
              </w:rPr>
              <w:t>-92.9%</w:t>
            </w:r>
          </w:p>
        </w:tc>
        <w:tc>
          <w:tcPr>
            <w:tcW w:w="680" w:type="dxa"/>
            <w:vAlign w:val="bottom"/>
            <w:tcBorders>
              <w:right w:val="single" w:sz="8" w:color="auto"/>
            </w:tcBorders>
          </w:tcPr>
          <w:p>
            <w:pPr>
              <w:jc w:val="right"/>
              <w:spacing w:after="0" w:line="139" w:lineRule="exact"/>
              <w:rPr>
                <w:sz w:val="20"/>
                <w:szCs w:val="20"/>
                <w:color w:val="auto"/>
              </w:rPr>
            </w:pPr>
            <w:r>
              <w:rPr>
                <w:rFonts w:ascii="Arial" w:cs="Arial" w:eastAsia="Arial" w:hAnsi="Arial"/>
                <w:sz w:val="14"/>
                <w:szCs w:val="14"/>
                <w:color w:val="auto"/>
              </w:rPr>
              <w:t>-75.8%</w:t>
            </w:r>
          </w:p>
        </w:tc>
      </w:tr>
      <w:tr>
        <w:trPr>
          <w:trHeight w:val="162"/>
        </w:trPr>
        <w:tc>
          <w:tcPr>
            <w:tcW w:w="5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Recoveries of written-off loans</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7"/>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Provision for credit losses on loan portfolio, net of  recoveries</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(15,981)</w:t>
            </w: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(54,322)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(3,872)</w:t>
            </w: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-92.9%</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-75.8%</w:t>
            </w:r>
          </w:p>
        </w:tc>
      </w:tr>
      <w:tr>
        <w:trPr>
          <w:trHeight w:val="153"/>
        </w:trPr>
        <w:tc>
          <w:tcPr>
            <w:tcW w:w="5660" w:type="dxa"/>
            <w:vAlign w:val="bottom"/>
            <w:tcBorders>
              <w:left w:val="single" w:sz="8" w:color="auto"/>
              <w:bottom w:val="single" w:sz="8" w:color="auto"/>
              <w:right w:val="single" w:sz="8" w:color="auto"/>
            </w:tcBorders>
          </w:tcPr>
          <w:p>
            <w:pPr>
              <w:ind w:left="20"/>
              <w:spacing w:after="0" w:line="154" w:lineRule="exact"/>
              <w:rPr>
                <w:sz w:val="20"/>
                <w:szCs w:val="20"/>
                <w:color w:val="auto"/>
              </w:rPr>
            </w:pPr>
            <w:r>
              <w:rPr>
                <w:rFonts w:ascii="Arial" w:cs="Arial" w:eastAsia="Arial" w:hAnsi="Arial"/>
                <w:sz w:val="11"/>
                <w:szCs w:val="11"/>
                <w:color w:val="auto"/>
              </w:rPr>
              <w:t xml:space="preserve">Structural Cost of risk </w:t>
            </w:r>
            <w:r>
              <w:rPr>
                <w:rFonts w:ascii="Arial" w:cs="Arial" w:eastAsia="Arial" w:hAnsi="Arial"/>
                <w:sz w:val="17"/>
                <w:szCs w:val="17"/>
                <w:color w:val="auto"/>
                <w:vertAlign w:val="superscript"/>
              </w:rPr>
              <w:t>(1)</w:t>
            </w:r>
          </w:p>
        </w:tc>
        <w:tc>
          <w:tcPr>
            <w:tcW w:w="1120" w:type="dxa"/>
            <w:vAlign w:val="bottom"/>
            <w:tcBorders>
              <w:bottom w:val="single" w:sz="8" w:color="auto"/>
            </w:tcBorders>
          </w:tcPr>
          <w:p>
            <w:pPr>
              <w:jc w:val="right"/>
              <w:ind w:right="48"/>
              <w:spacing w:after="0" w:line="153" w:lineRule="exact"/>
              <w:rPr>
                <w:sz w:val="20"/>
                <w:szCs w:val="20"/>
                <w:color w:val="auto"/>
              </w:rPr>
            </w:pPr>
            <w:r>
              <w:rPr>
                <w:rFonts w:ascii="Arial" w:cs="Arial" w:eastAsia="Arial" w:hAnsi="Arial"/>
                <w:sz w:val="14"/>
                <w:szCs w:val="14"/>
                <w:color w:val="auto"/>
              </w:rPr>
              <w:t>0.26%</w:t>
            </w:r>
          </w:p>
        </w:tc>
        <w:tc>
          <w:tcPr>
            <w:tcW w:w="104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color w:val="auto"/>
              </w:rPr>
              <w:t>1.17%</w:t>
            </w:r>
          </w:p>
        </w:tc>
        <w:tc>
          <w:tcPr>
            <w:tcW w:w="8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0.09%</w:t>
            </w:r>
          </w:p>
        </w:tc>
        <w:tc>
          <w:tcPr>
            <w:tcW w:w="1340" w:type="dxa"/>
            <w:vAlign w:val="bottom"/>
            <w:tcBorders>
              <w:bottom w:val="single" w:sz="8" w:color="auto"/>
            </w:tcBorders>
          </w:tcPr>
          <w:p>
            <w:pPr>
              <w:jc w:val="right"/>
              <w:ind w:right="288"/>
              <w:spacing w:after="0" w:line="153" w:lineRule="exact"/>
              <w:rPr>
                <w:sz w:val="20"/>
                <w:szCs w:val="20"/>
                <w:color w:val="auto"/>
              </w:rPr>
            </w:pPr>
            <w:r>
              <w:rPr>
                <w:rFonts w:ascii="Arial" w:cs="Arial" w:eastAsia="Arial" w:hAnsi="Arial"/>
                <w:sz w:val="14"/>
                <w:szCs w:val="14"/>
                <w:color w:val="auto"/>
              </w:rPr>
              <w:t>-108 bps</w:t>
            </w:r>
          </w:p>
        </w:tc>
        <w:tc>
          <w:tcPr>
            <w:tcW w:w="6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color w:val="auto"/>
              </w:rPr>
              <w:t>-17 bps</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The Structural Cost of risk excludes the Provisions for credit losses on loan portfolio, net of recoveries and Total Loans from the Reactiva Peru and FAE Government Programs.</w:t>
      </w:r>
    </w:p>
    <w:p>
      <w:pPr>
        <w:spacing w:after="0" w:line="192"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Provisions for GP loans fell QoQ, which was primarily attributable to a base effect in 4Q21, when expenses were impacted by adjustments to the levels of state-backed guarantees and to an increase in advances to default in SME-Pyme. YoY, the drop reflects growth in amortizations and successful honoring processes.</w:t>
      </w:r>
    </w:p>
    <w:p>
      <w:pPr>
        <w:spacing w:after="0" w:line="14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The GP Allowance balances represents 2% of the total Allowance at Credicorp. This volume reflects the breadth of state-backed guarantees, which cover between 80% and 98% of GP loans. For more information, see 1.2 Portfolio Quality – NPL loans in the GP portfolio.</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Provisions and CoR in the Total Portfolio</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5660" w:type="dxa"/>
            <w:vAlign w:val="bottom"/>
            <w:tcBorders>
              <w:top w:val="single" w:sz="8" w:color="auto"/>
              <w:left w:val="single" w:sz="8" w:color="auto"/>
              <w:right w:val="single" w:sz="8" w:color="auto"/>
            </w:tcBorders>
            <w:shd w:val="clear" w:color="auto" w:fill="33CCCC"/>
          </w:tcPr>
          <w:p>
            <w:pPr>
              <w:ind w:left="20"/>
              <w:spacing w:after="0" w:line="159" w:lineRule="exact"/>
              <w:rPr>
                <w:sz w:val="20"/>
                <w:szCs w:val="20"/>
                <w:color w:val="auto"/>
              </w:rPr>
            </w:pPr>
            <w:r>
              <w:rPr>
                <w:rFonts w:ascii="Arial" w:cs="Arial" w:eastAsia="Arial" w:hAnsi="Arial"/>
                <w:sz w:val="14"/>
                <w:szCs w:val="14"/>
                <w:b w:val="1"/>
                <w:bCs w:val="1"/>
                <w:color w:val="FFFFFF"/>
              </w:rPr>
              <w:t>Loan Portfolio Provisions</w:t>
            </w:r>
          </w:p>
        </w:tc>
        <w:tc>
          <w:tcPr>
            <w:tcW w:w="1280" w:type="dxa"/>
            <w:vAlign w:val="bottom"/>
            <w:tcBorders>
              <w:top w:val="single" w:sz="8" w:color="auto"/>
            </w:tcBorders>
            <w:shd w:val="clear" w:color="auto" w:fill="33CCCC"/>
          </w:tcPr>
          <w:p>
            <w:pPr>
              <w:jc w:val="right"/>
              <w:spacing w:after="0" w:line="159" w:lineRule="exact"/>
              <w:rPr>
                <w:sz w:val="20"/>
                <w:szCs w:val="20"/>
                <w:color w:val="auto"/>
              </w:rPr>
            </w:pPr>
            <w:r>
              <w:rPr>
                <w:rFonts w:ascii="Arial" w:cs="Arial" w:eastAsia="Arial" w:hAnsi="Arial"/>
                <w:sz w:val="14"/>
                <w:szCs w:val="14"/>
                <w:b w:val="1"/>
                <w:bCs w:val="1"/>
                <w:color w:val="FFFFFF"/>
              </w:rPr>
              <w:t>Quarter</w:t>
            </w:r>
          </w:p>
        </w:tc>
        <w:tc>
          <w:tcPr>
            <w:tcW w:w="840" w:type="dxa"/>
            <w:vAlign w:val="bottom"/>
            <w:tcBorders>
              <w:top w:val="single" w:sz="8" w:color="auto"/>
            </w:tcBorders>
            <w:shd w:val="clear" w:color="auto" w:fill="33CCCC"/>
          </w:tcPr>
          <w:p>
            <w:pPr>
              <w:spacing w:after="0"/>
              <w:rPr>
                <w:sz w:val="13"/>
                <w:szCs w:val="13"/>
                <w:color w:val="auto"/>
              </w:rPr>
            </w:pPr>
          </w:p>
        </w:tc>
        <w:tc>
          <w:tcPr>
            <w:tcW w:w="920" w:type="dxa"/>
            <w:vAlign w:val="bottom"/>
            <w:tcBorders>
              <w:top w:val="single" w:sz="8" w:color="auto"/>
              <w:right w:val="single" w:sz="8" w:color="auto"/>
            </w:tcBorders>
            <w:shd w:val="clear" w:color="auto" w:fill="33CCCC"/>
          </w:tcPr>
          <w:p>
            <w:pPr>
              <w:spacing w:after="0"/>
              <w:rPr>
                <w:sz w:val="13"/>
                <w:szCs w:val="13"/>
                <w:color w:val="auto"/>
              </w:rPr>
            </w:pPr>
          </w:p>
        </w:tc>
        <w:tc>
          <w:tcPr>
            <w:tcW w:w="1040" w:type="dxa"/>
            <w:vAlign w:val="bottom"/>
            <w:tcBorders>
              <w:top w:val="single" w:sz="8" w:color="auto"/>
            </w:tcBorders>
            <w:shd w:val="clear" w:color="auto" w:fill="33CCCC"/>
          </w:tcPr>
          <w:p>
            <w:pPr>
              <w:jc w:val="center"/>
              <w:ind w:right="8"/>
              <w:spacing w:after="0" w:line="159" w:lineRule="exact"/>
              <w:rPr>
                <w:sz w:val="20"/>
                <w:szCs w:val="20"/>
                <w:color w:val="auto"/>
              </w:rPr>
            </w:pPr>
            <w:r>
              <w:rPr>
                <w:rFonts w:ascii="Arial" w:cs="Arial" w:eastAsia="Arial" w:hAnsi="Arial"/>
                <w:sz w:val="14"/>
                <w:szCs w:val="14"/>
                <w:b w:val="1"/>
                <w:bCs w:val="1"/>
                <w:color w:val="FFFFFF"/>
              </w:rPr>
              <w:t>% change</w:t>
            </w:r>
          </w:p>
        </w:tc>
        <w:tc>
          <w:tcPr>
            <w:tcW w:w="980" w:type="dxa"/>
            <w:vAlign w:val="bottom"/>
            <w:tcBorders>
              <w:top w:val="single" w:sz="8" w:color="auto"/>
              <w:right w:val="single" w:sz="8" w:color="auto"/>
            </w:tcBorders>
            <w:shd w:val="clear" w:color="auto" w:fill="33CCCC"/>
          </w:tcPr>
          <w:p>
            <w:pPr>
              <w:spacing w:after="0"/>
              <w:rPr>
                <w:sz w:val="13"/>
                <w:szCs w:val="13"/>
                <w:color w:val="auto"/>
              </w:rPr>
            </w:pPr>
          </w:p>
        </w:tc>
      </w:tr>
      <w:tr>
        <w:trPr>
          <w:trHeight w:val="177"/>
        </w:trPr>
        <w:tc>
          <w:tcPr>
            <w:tcW w:w="566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4"/>
                <w:szCs w:val="14"/>
                <w:b w:val="1"/>
                <w:bCs w:val="1"/>
                <w:color w:val="FFFFFF"/>
              </w:rPr>
              <w:t>S/ 000</w:t>
            </w:r>
          </w:p>
        </w:tc>
        <w:tc>
          <w:tcPr>
            <w:tcW w:w="1280" w:type="dxa"/>
            <w:vAlign w:val="bottom"/>
            <w:tcBorders>
              <w:bottom w:val="single" w:sz="8" w:color="auto"/>
            </w:tcBorders>
            <w:shd w:val="clear" w:color="auto" w:fill="33CCCC"/>
          </w:tcPr>
          <w:p>
            <w:pPr>
              <w:jc w:val="center"/>
              <w:ind w:right="208"/>
              <w:spacing w:after="0"/>
              <w:rPr>
                <w:sz w:val="20"/>
                <w:szCs w:val="20"/>
                <w:color w:val="auto"/>
              </w:rPr>
            </w:pPr>
            <w:r>
              <w:rPr>
                <w:rFonts w:ascii="Arial" w:cs="Arial" w:eastAsia="Arial" w:hAnsi="Arial"/>
                <w:sz w:val="14"/>
                <w:szCs w:val="14"/>
                <w:b w:val="1"/>
                <w:bCs w:val="1"/>
                <w:color w:val="FFFFFF"/>
              </w:rPr>
              <w:t>1Q21</w:t>
            </w:r>
          </w:p>
        </w:tc>
        <w:tc>
          <w:tcPr>
            <w:tcW w:w="840" w:type="dxa"/>
            <w:vAlign w:val="bottom"/>
            <w:tcBorders>
              <w:bottom w:val="single" w:sz="8" w:color="auto"/>
            </w:tcBorders>
            <w:shd w:val="clear" w:color="auto" w:fill="33CCCC"/>
          </w:tcPr>
          <w:p>
            <w:pPr>
              <w:jc w:val="center"/>
              <w:ind w:right="328"/>
              <w:spacing w:after="0"/>
              <w:rPr>
                <w:sz w:val="20"/>
                <w:szCs w:val="20"/>
                <w:color w:val="auto"/>
              </w:rPr>
            </w:pPr>
            <w:r>
              <w:rPr>
                <w:rFonts w:ascii="Arial" w:cs="Arial" w:eastAsia="Arial" w:hAnsi="Arial"/>
                <w:sz w:val="14"/>
                <w:szCs w:val="14"/>
                <w:b w:val="1"/>
                <w:bCs w:val="1"/>
                <w:color w:val="FFFFFF"/>
              </w:rPr>
              <w:t>4Q21</w:t>
            </w:r>
          </w:p>
        </w:tc>
        <w:tc>
          <w:tcPr>
            <w:tcW w:w="920" w:type="dxa"/>
            <w:vAlign w:val="bottom"/>
            <w:tcBorders>
              <w:bottom w:val="single" w:sz="8" w:color="auto"/>
              <w:right w:val="single" w:sz="8" w:color="auto"/>
            </w:tcBorders>
            <w:shd w:val="clear" w:color="auto" w:fill="33CCCC"/>
          </w:tcPr>
          <w:p>
            <w:pPr>
              <w:jc w:val="center"/>
              <w:ind w:right="68"/>
              <w:spacing w:after="0"/>
              <w:rPr>
                <w:sz w:val="20"/>
                <w:szCs w:val="20"/>
                <w:color w:val="auto"/>
              </w:rPr>
            </w:pPr>
            <w:r>
              <w:rPr>
                <w:rFonts w:ascii="Arial" w:cs="Arial" w:eastAsia="Arial" w:hAnsi="Arial"/>
                <w:sz w:val="14"/>
                <w:szCs w:val="14"/>
                <w:b w:val="1"/>
                <w:bCs w:val="1"/>
                <w:color w:val="FFFFFF"/>
                <w:w w:val="99"/>
              </w:rPr>
              <w:t>1Q22</w:t>
            </w:r>
          </w:p>
        </w:tc>
        <w:tc>
          <w:tcPr>
            <w:tcW w:w="1040" w:type="dxa"/>
            <w:vAlign w:val="bottom"/>
            <w:tcBorders>
              <w:bottom w:val="single" w:sz="8" w:color="auto"/>
            </w:tcBorders>
            <w:shd w:val="clear" w:color="auto" w:fill="33CCCC"/>
          </w:tcPr>
          <w:p>
            <w:pPr>
              <w:jc w:val="center"/>
              <w:ind w:right="8"/>
              <w:spacing w:after="0"/>
              <w:rPr>
                <w:sz w:val="20"/>
                <w:szCs w:val="20"/>
                <w:color w:val="auto"/>
              </w:rPr>
            </w:pPr>
            <w:r>
              <w:rPr>
                <w:rFonts w:ascii="Arial" w:cs="Arial" w:eastAsia="Arial" w:hAnsi="Arial"/>
                <w:sz w:val="14"/>
                <w:szCs w:val="14"/>
                <w:b w:val="1"/>
                <w:bCs w:val="1"/>
                <w:color w:val="FFFFFF"/>
              </w:rPr>
              <w:t>QoQ</w:t>
            </w:r>
          </w:p>
        </w:tc>
        <w:tc>
          <w:tcPr>
            <w:tcW w:w="980" w:type="dxa"/>
            <w:vAlign w:val="bottom"/>
            <w:tcBorders>
              <w:bottom w:val="single" w:sz="8" w:color="auto"/>
              <w:right w:val="single" w:sz="8" w:color="auto"/>
            </w:tcBorders>
            <w:shd w:val="clear" w:color="auto" w:fill="33CCCC"/>
          </w:tcPr>
          <w:p>
            <w:pPr>
              <w:jc w:val="center"/>
              <w:ind w:right="8"/>
              <w:spacing w:after="0"/>
              <w:rPr>
                <w:sz w:val="20"/>
                <w:szCs w:val="20"/>
                <w:color w:val="auto"/>
              </w:rPr>
            </w:pPr>
            <w:r>
              <w:rPr>
                <w:rFonts w:ascii="Arial" w:cs="Arial" w:eastAsia="Arial" w:hAnsi="Arial"/>
                <w:sz w:val="14"/>
                <w:szCs w:val="14"/>
                <w:b w:val="1"/>
                <w:bCs w:val="1"/>
                <w:color w:val="FFFFFF"/>
                <w:w w:val="95"/>
              </w:rPr>
              <w:t>YoY</w:t>
            </w:r>
          </w:p>
        </w:tc>
      </w:tr>
      <w:tr>
        <w:trPr>
          <w:trHeight w:val="139"/>
        </w:trPr>
        <w:tc>
          <w:tcPr>
            <w:tcW w:w="566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Gross provision for credit losses on loan portfolio</w:t>
            </w:r>
          </w:p>
        </w:tc>
        <w:tc>
          <w:tcPr>
            <w:tcW w:w="1280" w:type="dxa"/>
            <w:vAlign w:val="bottom"/>
          </w:tcPr>
          <w:p>
            <w:pPr>
              <w:jc w:val="right"/>
              <w:ind w:right="288"/>
              <w:spacing w:after="0" w:line="139" w:lineRule="exact"/>
              <w:rPr>
                <w:sz w:val="20"/>
                <w:szCs w:val="20"/>
                <w:color w:val="auto"/>
              </w:rPr>
            </w:pPr>
            <w:r>
              <w:rPr>
                <w:rFonts w:ascii="Arial" w:cs="Arial" w:eastAsia="Arial" w:hAnsi="Arial"/>
                <w:sz w:val="14"/>
                <w:szCs w:val="14"/>
                <w:color w:val="auto"/>
              </w:rPr>
              <w:t>(622,982)</w:t>
            </w:r>
          </w:p>
        </w:tc>
        <w:tc>
          <w:tcPr>
            <w:tcW w:w="840" w:type="dxa"/>
            <w:vAlign w:val="bottom"/>
          </w:tcPr>
          <w:p>
            <w:pPr>
              <w:jc w:val="right"/>
              <w:ind w:right="128"/>
              <w:spacing w:after="0" w:line="139" w:lineRule="exact"/>
              <w:rPr>
                <w:sz w:val="20"/>
                <w:szCs w:val="20"/>
                <w:color w:val="auto"/>
              </w:rPr>
            </w:pPr>
            <w:r>
              <w:rPr>
                <w:rFonts w:ascii="Arial" w:cs="Arial" w:eastAsia="Arial" w:hAnsi="Arial"/>
                <w:sz w:val="14"/>
                <w:szCs w:val="14"/>
                <w:color w:val="auto"/>
              </w:rPr>
              <w:t>(229,804)</w:t>
            </w:r>
          </w:p>
        </w:tc>
        <w:tc>
          <w:tcPr>
            <w:tcW w:w="920" w:type="dxa"/>
            <w:vAlign w:val="bottom"/>
            <w:tcBorders>
              <w:right w:val="single" w:sz="8" w:color="auto"/>
            </w:tcBorders>
          </w:tcPr>
          <w:p>
            <w:pPr>
              <w:jc w:val="right"/>
              <w:ind w:right="28"/>
              <w:spacing w:after="0" w:line="139" w:lineRule="exact"/>
              <w:rPr>
                <w:sz w:val="20"/>
                <w:szCs w:val="20"/>
                <w:color w:val="auto"/>
              </w:rPr>
            </w:pPr>
            <w:r>
              <w:rPr>
                <w:rFonts w:ascii="Arial" w:cs="Arial" w:eastAsia="Arial" w:hAnsi="Arial"/>
                <w:sz w:val="14"/>
                <w:szCs w:val="14"/>
                <w:color w:val="auto"/>
              </w:rPr>
              <w:t>(350,681)</w:t>
            </w:r>
          </w:p>
        </w:tc>
        <w:tc>
          <w:tcPr>
            <w:tcW w:w="1040" w:type="dxa"/>
            <w:vAlign w:val="bottom"/>
          </w:tcPr>
          <w:p>
            <w:pPr>
              <w:jc w:val="center"/>
              <w:ind w:right="8"/>
              <w:spacing w:after="0" w:line="139" w:lineRule="exact"/>
              <w:rPr>
                <w:sz w:val="20"/>
                <w:szCs w:val="20"/>
                <w:color w:val="auto"/>
              </w:rPr>
            </w:pPr>
            <w:r>
              <w:rPr>
                <w:rFonts w:ascii="Arial" w:cs="Arial" w:eastAsia="Arial" w:hAnsi="Arial"/>
                <w:sz w:val="14"/>
                <w:szCs w:val="14"/>
                <w:color w:val="auto"/>
              </w:rPr>
              <w:t>52.6%</w:t>
            </w:r>
          </w:p>
        </w:tc>
        <w:tc>
          <w:tcPr>
            <w:tcW w:w="980" w:type="dxa"/>
            <w:vAlign w:val="bottom"/>
            <w:tcBorders>
              <w:right w:val="single" w:sz="8" w:color="auto"/>
            </w:tcBorders>
          </w:tcPr>
          <w:p>
            <w:pPr>
              <w:jc w:val="center"/>
              <w:ind w:right="8"/>
              <w:spacing w:after="0" w:line="139" w:lineRule="exact"/>
              <w:rPr>
                <w:sz w:val="20"/>
                <w:szCs w:val="20"/>
                <w:color w:val="auto"/>
              </w:rPr>
            </w:pPr>
            <w:r>
              <w:rPr>
                <w:rFonts w:ascii="Arial" w:cs="Arial" w:eastAsia="Arial" w:hAnsi="Arial"/>
                <w:sz w:val="14"/>
                <w:szCs w:val="14"/>
                <w:color w:val="auto"/>
              </w:rPr>
              <w:t>-43.7%</w:t>
            </w:r>
          </w:p>
        </w:tc>
      </w:tr>
      <w:tr>
        <w:trPr>
          <w:trHeight w:val="162"/>
        </w:trPr>
        <w:tc>
          <w:tcPr>
            <w:tcW w:w="5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Recoveries of written-off loans</w:t>
            </w:r>
          </w:p>
        </w:tc>
        <w:tc>
          <w:tcPr>
            <w:tcW w:w="1280" w:type="dxa"/>
            <w:vAlign w:val="bottom"/>
          </w:tcPr>
          <w:p>
            <w:pPr>
              <w:jc w:val="right"/>
              <w:ind w:right="268"/>
              <w:spacing w:after="0"/>
              <w:rPr>
                <w:sz w:val="20"/>
                <w:szCs w:val="20"/>
                <w:color w:val="auto"/>
              </w:rPr>
            </w:pPr>
            <w:r>
              <w:rPr>
                <w:rFonts w:ascii="Arial" w:cs="Arial" w:eastAsia="Arial" w:hAnsi="Arial"/>
                <w:sz w:val="14"/>
                <w:szCs w:val="14"/>
                <w:color w:val="auto"/>
              </w:rPr>
              <w:t>65,335</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103,022</w:t>
            </w:r>
          </w:p>
        </w:tc>
        <w:tc>
          <w:tcPr>
            <w:tcW w:w="92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93,091</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8"/>
              </w:rPr>
              <w:t>-9.6%</w:t>
            </w:r>
          </w:p>
        </w:tc>
        <w:tc>
          <w:tcPr>
            <w:tcW w:w="98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42.5%</w:t>
            </w:r>
          </w:p>
        </w:tc>
      </w:tr>
      <w:tr>
        <w:trPr>
          <w:trHeight w:val="177"/>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Provision for credit losses on loan portfolio, net of  recoveries</w:t>
            </w:r>
          </w:p>
        </w:tc>
        <w:tc>
          <w:tcPr>
            <w:tcW w:w="12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(557,647)</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(126,782)</w:t>
            </w:r>
          </w:p>
        </w:tc>
        <w:tc>
          <w:tcPr>
            <w:tcW w:w="9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(257,590)</w:t>
            </w:r>
          </w:p>
        </w:tc>
        <w:tc>
          <w:tcPr>
            <w:tcW w:w="10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103.2%</w:t>
            </w:r>
          </w:p>
        </w:tc>
        <w:tc>
          <w:tcPr>
            <w:tcW w:w="9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-53.8%</w:t>
            </w:r>
          </w:p>
        </w:tc>
      </w:tr>
      <w:tr>
        <w:trPr>
          <w:trHeight w:val="153"/>
        </w:trPr>
        <w:tc>
          <w:tcPr>
            <w:tcW w:w="5660" w:type="dxa"/>
            <w:vAlign w:val="bottom"/>
            <w:tcBorders>
              <w:left w:val="single" w:sz="8" w:color="auto"/>
              <w:bottom w:val="single" w:sz="8" w:color="auto"/>
              <w:right w:val="single" w:sz="8" w:color="auto"/>
            </w:tcBorders>
          </w:tcPr>
          <w:p>
            <w:pPr>
              <w:ind w:left="20"/>
              <w:spacing w:after="0" w:line="154" w:lineRule="exact"/>
              <w:rPr>
                <w:sz w:val="20"/>
                <w:szCs w:val="20"/>
                <w:color w:val="auto"/>
              </w:rPr>
            </w:pPr>
            <w:r>
              <w:rPr>
                <w:rFonts w:ascii="Arial" w:cs="Arial" w:eastAsia="Arial" w:hAnsi="Arial"/>
                <w:sz w:val="11"/>
                <w:szCs w:val="11"/>
                <w:color w:val="auto"/>
              </w:rPr>
              <w:t xml:space="preserve">Cost of risk </w:t>
            </w:r>
            <w:r>
              <w:rPr>
                <w:rFonts w:ascii="Arial" w:cs="Arial" w:eastAsia="Arial" w:hAnsi="Arial"/>
                <w:sz w:val="17"/>
                <w:szCs w:val="17"/>
                <w:color w:val="auto"/>
                <w:vertAlign w:val="superscript"/>
              </w:rPr>
              <w:t>(1)</w:t>
            </w:r>
          </w:p>
        </w:tc>
        <w:tc>
          <w:tcPr>
            <w:tcW w:w="1280" w:type="dxa"/>
            <w:vAlign w:val="bottom"/>
            <w:tcBorders>
              <w:bottom w:val="single" w:sz="8" w:color="auto"/>
            </w:tcBorders>
          </w:tcPr>
          <w:p>
            <w:pPr>
              <w:jc w:val="right"/>
              <w:ind w:right="508"/>
              <w:spacing w:after="0" w:line="153" w:lineRule="exact"/>
              <w:rPr>
                <w:sz w:val="20"/>
                <w:szCs w:val="20"/>
                <w:color w:val="auto"/>
              </w:rPr>
            </w:pPr>
            <w:r>
              <w:rPr>
                <w:rFonts w:ascii="Arial" w:cs="Arial" w:eastAsia="Arial" w:hAnsi="Arial"/>
                <w:sz w:val="14"/>
                <w:szCs w:val="14"/>
                <w:color w:val="auto"/>
              </w:rPr>
              <w:t>1.63%</w:t>
            </w:r>
          </w:p>
        </w:tc>
        <w:tc>
          <w:tcPr>
            <w:tcW w:w="840" w:type="dxa"/>
            <w:vAlign w:val="bottom"/>
            <w:tcBorders>
              <w:bottom w:val="single" w:sz="8" w:color="auto"/>
            </w:tcBorders>
          </w:tcPr>
          <w:p>
            <w:pPr>
              <w:jc w:val="right"/>
              <w:ind w:right="348"/>
              <w:spacing w:after="0" w:line="153" w:lineRule="exact"/>
              <w:rPr>
                <w:sz w:val="20"/>
                <w:szCs w:val="20"/>
                <w:color w:val="auto"/>
              </w:rPr>
            </w:pPr>
            <w:r>
              <w:rPr>
                <w:rFonts w:ascii="Arial" w:cs="Arial" w:eastAsia="Arial" w:hAnsi="Arial"/>
                <w:sz w:val="14"/>
                <w:szCs w:val="14"/>
                <w:color w:val="auto"/>
              </w:rPr>
              <w:t>0.34%</w:t>
            </w:r>
          </w:p>
        </w:tc>
        <w:tc>
          <w:tcPr>
            <w:tcW w:w="920" w:type="dxa"/>
            <w:vAlign w:val="bottom"/>
            <w:tcBorders>
              <w:bottom w:val="single" w:sz="8" w:color="auto"/>
              <w:right w:val="single" w:sz="8" w:color="auto"/>
            </w:tcBorders>
          </w:tcPr>
          <w:p>
            <w:pPr>
              <w:jc w:val="right"/>
              <w:ind w:right="248"/>
              <w:spacing w:after="0" w:line="153" w:lineRule="exact"/>
              <w:rPr>
                <w:sz w:val="20"/>
                <w:szCs w:val="20"/>
                <w:color w:val="auto"/>
              </w:rPr>
            </w:pPr>
            <w:r>
              <w:rPr>
                <w:rFonts w:ascii="Arial" w:cs="Arial" w:eastAsia="Arial" w:hAnsi="Arial"/>
                <w:sz w:val="14"/>
                <w:szCs w:val="14"/>
                <w:color w:val="auto"/>
              </w:rPr>
              <w:t>0.71%</w:t>
            </w:r>
          </w:p>
        </w:tc>
        <w:tc>
          <w:tcPr>
            <w:tcW w:w="1040" w:type="dxa"/>
            <w:vAlign w:val="bottom"/>
            <w:tcBorders>
              <w:bottom w:val="single" w:sz="8" w:color="auto"/>
            </w:tcBorders>
          </w:tcPr>
          <w:p>
            <w:pPr>
              <w:jc w:val="center"/>
              <w:ind w:right="8"/>
              <w:spacing w:after="0" w:line="153" w:lineRule="exact"/>
              <w:rPr>
                <w:sz w:val="20"/>
                <w:szCs w:val="20"/>
                <w:color w:val="auto"/>
              </w:rPr>
            </w:pPr>
            <w:r>
              <w:rPr>
                <w:rFonts w:ascii="Arial" w:cs="Arial" w:eastAsia="Arial" w:hAnsi="Arial"/>
                <w:sz w:val="14"/>
                <w:szCs w:val="14"/>
                <w:color w:val="auto"/>
              </w:rPr>
              <w:t>37 bps</w:t>
            </w:r>
          </w:p>
        </w:tc>
        <w:tc>
          <w:tcPr>
            <w:tcW w:w="980" w:type="dxa"/>
            <w:vAlign w:val="bottom"/>
            <w:tcBorders>
              <w:bottom w:val="single" w:sz="8" w:color="auto"/>
              <w:right w:val="single" w:sz="8" w:color="auto"/>
            </w:tcBorders>
          </w:tcPr>
          <w:p>
            <w:pPr>
              <w:jc w:val="center"/>
              <w:ind w:right="28"/>
              <w:spacing w:after="0" w:line="153" w:lineRule="exact"/>
              <w:rPr>
                <w:sz w:val="20"/>
                <w:szCs w:val="20"/>
                <w:color w:val="auto"/>
              </w:rPr>
            </w:pPr>
            <w:r>
              <w:rPr>
                <w:rFonts w:ascii="Arial" w:cs="Arial" w:eastAsia="Arial" w:hAnsi="Arial"/>
                <w:sz w:val="14"/>
                <w:szCs w:val="14"/>
                <w:color w:val="auto"/>
              </w:rPr>
              <w:t>-92 bps</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(1)Annualized Provision for credit losses on loan portfolio, net of recoveries / Total Loans.</w:t>
      </w:r>
    </w:p>
    <w:p>
      <w:pPr>
        <w:spacing w:after="0" w:line="192"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The analysis of the results of the Structural and GP portfolios indicates that the CoR of the total portfolio rose 37bps QoQ but contracted 92bps YoY. The 8bps impact generated by GP Loans was attributable to the denominator effect.</w:t>
      </w:r>
    </w:p>
    <w:p>
      <w:pPr>
        <w:spacing w:after="0" w:line="160" w:lineRule="exact"/>
        <w:rPr>
          <w:sz w:val="20"/>
          <w:szCs w:val="20"/>
          <w:color w:val="auto"/>
        </w:rPr>
      </w:pPr>
    </w:p>
    <w:p>
      <w:pPr>
        <w:ind w:left="1920"/>
        <w:spacing w:after="0"/>
        <w:tabs>
          <w:tab w:leader="none" w:pos="7780" w:val="left"/>
        </w:tabs>
        <w:rPr>
          <w:sz w:val="20"/>
          <w:szCs w:val="20"/>
          <w:color w:val="auto"/>
        </w:rPr>
      </w:pPr>
      <w:r>
        <w:rPr>
          <w:rFonts w:ascii="Times New Roman" w:cs="Times New Roman" w:eastAsia="Times New Roman" w:hAnsi="Times New Roman"/>
          <w:sz w:val="14"/>
          <w:szCs w:val="14"/>
          <w:b w:val="1"/>
          <w:bCs w:val="1"/>
          <w:color w:val="auto"/>
        </w:rPr>
        <w:t>QoQ Evolution of the CoR</w:t>
      </w:r>
      <w:r>
        <w:rPr>
          <w:sz w:val="20"/>
          <w:szCs w:val="20"/>
          <w:color w:val="auto"/>
        </w:rPr>
        <w:tab/>
      </w:r>
      <w:r>
        <w:rPr>
          <w:rFonts w:ascii="Times New Roman" w:cs="Times New Roman" w:eastAsia="Times New Roman" w:hAnsi="Times New Roman"/>
          <w:sz w:val="14"/>
          <w:szCs w:val="14"/>
          <w:b w:val="1"/>
          <w:bCs w:val="1"/>
          <w:color w:val="auto"/>
        </w:rPr>
        <w:t>YoY Evolution of the 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6100445" cy="1031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100445" cy="103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Others include BCP Bolivia, Mibanco Colombia, ASB and eliminations.</w:t>
      </w:r>
    </w:p>
    <w:p>
      <w:pPr>
        <w:ind w:left="5860"/>
        <w:spacing w:after="0"/>
        <w:rPr>
          <w:sz w:val="20"/>
          <w:szCs w:val="20"/>
          <w:color w:val="auto"/>
        </w:rPr>
      </w:pPr>
      <w:r>
        <w:rPr>
          <w:rFonts w:ascii="Times New Roman" w:cs="Times New Roman" w:eastAsia="Times New Roman" w:hAnsi="Times New Roman"/>
          <w:sz w:val="9"/>
          <w:szCs w:val="9"/>
          <w:color w:val="auto"/>
        </w:rPr>
        <w:t>(1) Others include BCP Bolivia, Mibanco Colombia, ASB and eliminations.</w:t>
      </w: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06 </w:t>
      </w:r>
      <w:r>
        <w:rPr>
          <w:rFonts w:ascii="Times New Roman" w:cs="Times New Roman" w:eastAsia="Times New Roman" w:hAnsi="Times New Roman"/>
          <w:sz w:val="25"/>
          <w:szCs w:val="25"/>
          <w:b w:val="1"/>
          <w:bCs w:val="1"/>
          <w:color w:val="E93C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59625" cy="5981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598170"/>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Other core income rose 14% YoY due to an increase in foreign exchange transactions and growth in fee income, which was in line with an uptick in transactions.</w:t>
      </w:r>
    </w:p>
    <w:p>
      <w:pPr>
        <w:spacing w:after="0" w:line="153" w:lineRule="exact"/>
        <w:rPr>
          <w:sz w:val="20"/>
          <w:szCs w:val="20"/>
          <w:color w:val="auto"/>
        </w:rPr>
      </w:pPr>
    </w:p>
    <w:p>
      <w:pPr>
        <w:ind w:left="120" w:right="120"/>
        <w:spacing w:after="0" w:line="286" w:lineRule="auto"/>
        <w:rPr>
          <w:sz w:val="20"/>
          <w:szCs w:val="20"/>
          <w:color w:val="auto"/>
        </w:rPr>
      </w:pPr>
      <w:r>
        <w:rPr>
          <w:rFonts w:ascii="Arial" w:cs="Arial" w:eastAsia="Arial" w:hAnsi="Arial"/>
          <w:sz w:val="14"/>
          <w:szCs w:val="14"/>
          <w:color w:val="FFFFFF"/>
        </w:rPr>
        <w:t>Other non-core income fell QoQ ad YoY, which reflected a Net loss on sales of securities at Pacifico due to impairment in the company’s investment portfolio and a Loss on investments in fixed-income mutual funds.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FFFFFF"/>
        </w:rPr>
        <w:t>ome utual unds.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6.1. Other Core Income</w:t>
      </w:r>
    </w:p>
    <w:p>
      <w:pPr>
        <w:spacing w:after="0" w:line="176" w:lineRule="exact"/>
        <w:rPr>
          <w:sz w:val="20"/>
          <w:szCs w:val="20"/>
          <w:color w:val="auto"/>
        </w:rPr>
      </w:pPr>
    </w:p>
    <w:tbl>
      <w:tblPr>
        <w:tblLayout w:type="fixed"/>
        <w:tblInd w:w="1150" w:type="dxa"/>
        <w:tblCellMar>
          <w:top w:w="0" w:type="dxa"/>
          <w:left w:w="0" w:type="dxa"/>
          <w:bottom w:w="0" w:type="dxa"/>
          <w:right w:w="0" w:type="dxa"/>
        </w:tblCellMar>
      </w:tblPr>
      <w:tr>
        <w:trPr>
          <w:trHeight w:val="159"/>
        </w:trPr>
        <w:tc>
          <w:tcPr>
            <w:tcW w:w="396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Core Other Income</w:t>
            </w:r>
          </w:p>
        </w:tc>
        <w:tc>
          <w:tcPr>
            <w:tcW w:w="1000" w:type="dxa"/>
            <w:vAlign w:val="bottom"/>
            <w:tcBorders>
              <w:top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ind w:left="240"/>
              <w:spacing w:after="0" w:line="159" w:lineRule="exact"/>
              <w:rPr>
                <w:sz w:val="20"/>
                <w:szCs w:val="20"/>
                <w:color w:val="auto"/>
              </w:rPr>
            </w:pPr>
            <w:r>
              <w:rPr>
                <w:rFonts w:ascii="Arial" w:cs="Arial" w:eastAsia="Arial" w:hAnsi="Arial"/>
                <w:sz w:val="14"/>
                <w:szCs w:val="14"/>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2040" w:type="dxa"/>
            <w:vAlign w:val="bottom"/>
            <w:tcBorders>
              <w:top w:val="single" w:sz="8" w:color="auto"/>
              <w:right w:val="single" w:sz="8" w:color="auto"/>
            </w:tcBorders>
            <w:gridSpan w:val="2"/>
            <w:shd w:val="clear" w:color="auto" w:fill="2AD2C9"/>
          </w:tcPr>
          <w:p>
            <w:pPr>
              <w:ind w:left="660"/>
              <w:spacing w:after="0" w:line="159" w:lineRule="exact"/>
              <w:rPr>
                <w:sz w:val="20"/>
                <w:szCs w:val="20"/>
                <w:color w:val="auto"/>
              </w:rPr>
            </w:pPr>
            <w:r>
              <w:rPr>
                <w:rFonts w:ascii="Arial" w:cs="Arial" w:eastAsia="Arial" w:hAnsi="Arial"/>
                <w:sz w:val="14"/>
                <w:szCs w:val="14"/>
                <w:b w:val="1"/>
                <w:bCs w:val="1"/>
                <w:color w:val="FFFFFF"/>
              </w:rPr>
              <w:t>% change</w:t>
            </w:r>
          </w:p>
        </w:tc>
      </w:tr>
      <w:tr>
        <w:trPr>
          <w:trHeight w:val="177"/>
        </w:trPr>
        <w:tc>
          <w:tcPr>
            <w:tcW w:w="396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1Q21</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4Q21</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1Q22</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4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14"/>
                <w:szCs w:val="14"/>
                <w:b w:val="1"/>
                <w:bCs w:val="1"/>
                <w:color w:val="FFFFFF"/>
              </w:rPr>
              <w:t>YoY</w:t>
            </w:r>
          </w:p>
        </w:tc>
      </w:tr>
      <w:tr>
        <w:trPr>
          <w:trHeight w:val="139"/>
        </w:trPr>
        <w:tc>
          <w:tcPr>
            <w:tcW w:w="396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Fee income</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830,771</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924,161</w:t>
            </w:r>
          </w:p>
        </w:tc>
        <w:tc>
          <w:tcPr>
            <w:tcW w:w="102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891,031</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-3.6%</w:t>
            </w: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7.3%</w:t>
            </w:r>
          </w:p>
        </w:tc>
      </w:tr>
      <w:tr>
        <w:trPr>
          <w:trHeight w:val="177"/>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gain on foreign exchange transactions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179,889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269,354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262,196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45.8%</w:t>
            </w:r>
          </w:p>
        </w:tc>
      </w:tr>
      <w:tr>
        <w:trPr>
          <w:trHeight w:val="153"/>
        </w:trPr>
        <w:tc>
          <w:tcPr>
            <w:tcW w:w="396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other income Core</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1,010,660</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1,193,515</w:t>
            </w:r>
          </w:p>
        </w:tc>
        <w:tc>
          <w:tcPr>
            <w:tcW w:w="10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1,153,227</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-3.4%</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14.1%</w:t>
            </w:r>
          </w:p>
        </w:tc>
      </w:tr>
    </w:tbl>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In the </w:t>
      </w:r>
      <w:r>
        <w:rPr>
          <w:rFonts w:ascii="Times New Roman" w:cs="Times New Roman" w:eastAsia="Times New Roman" w:hAnsi="Times New Roman"/>
          <w:sz w:val="14"/>
          <w:szCs w:val="14"/>
          <w:b w:val="1"/>
          <w:bCs w:val="1"/>
          <w:color w:val="auto"/>
        </w:rPr>
        <w:t>QoQ</w:t>
      </w:r>
      <w:r>
        <w:rPr>
          <w:rFonts w:ascii="Times New Roman" w:cs="Times New Roman" w:eastAsia="Times New Roman" w:hAnsi="Times New Roman"/>
          <w:sz w:val="14"/>
          <w:szCs w:val="14"/>
          <w:color w:val="auto"/>
        </w:rPr>
        <w:t xml:space="preserve"> analysis, </w:t>
      </w:r>
      <w:r>
        <w:rPr>
          <w:rFonts w:ascii="Times New Roman" w:cs="Times New Roman" w:eastAsia="Times New Roman" w:hAnsi="Times New Roman"/>
          <w:sz w:val="14"/>
          <w:szCs w:val="14"/>
          <w:b w:val="1"/>
          <w:bCs w:val="1"/>
          <w:color w:val="auto"/>
        </w:rPr>
        <w:t>Other Core Income</w:t>
      </w:r>
      <w:r>
        <w:rPr>
          <w:rFonts w:ascii="Times New Roman" w:cs="Times New Roman" w:eastAsia="Times New Roman" w:hAnsi="Times New Roman"/>
          <w:sz w:val="14"/>
          <w:szCs w:val="14"/>
          <w:color w:val="auto"/>
        </w:rPr>
        <w:t xml:space="preserve"> fell given that the fourth quarter of the year registers comparatively higher transactions levels due to seasonal factors.</w:t>
      </w:r>
    </w:p>
    <w:p>
      <w:pPr>
        <w:spacing w:after="0" w:line="20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b w:val="1"/>
          <w:bCs w:val="1"/>
          <w:color w:val="auto"/>
        </w:rPr>
        <w:t xml:space="preserve">In YoY terms, Other Core Income </w:t>
      </w:r>
      <w:r>
        <w:rPr>
          <w:rFonts w:ascii="Times New Roman" w:cs="Times New Roman" w:eastAsia="Times New Roman" w:hAnsi="Times New Roman"/>
          <w:sz w:val="14"/>
          <w:szCs w:val="14"/>
          <w:color w:val="auto"/>
        </w:rPr>
        <w:t>reported growth, which was led by BCP Stand-alone through: (i) growth in Net Gain on FX Transactions due to an uptick in the transactions volume in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context of exchange rate volatility; and (ii) growth in transactions given that in 1Q21, a new quarantine was enacted due to the second wave of the pandemic. Both transactionality and Fee Income are above pre-pandemic levels, which reflects the adoption of digital and cashless channels.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 income for banking services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Composition of fee income in the banking business</w:t>
      </w:r>
    </w:p>
    <w:p>
      <w:pPr>
        <w:spacing w:after="0" w:line="29" w:lineRule="exact"/>
        <w:rPr>
          <w:sz w:val="20"/>
          <w:szCs w:val="20"/>
          <w:color w:val="auto"/>
        </w:rPr>
      </w:pPr>
    </w:p>
    <w:tbl>
      <w:tblPr>
        <w:tblLayout w:type="fixed"/>
        <w:tblInd w:w="2290" w:type="dxa"/>
        <w:tblCellMar>
          <w:top w:w="0" w:type="dxa"/>
          <w:left w:w="0" w:type="dxa"/>
          <w:bottom w:w="0" w:type="dxa"/>
          <w:right w:w="0" w:type="dxa"/>
        </w:tblCellMar>
      </w:tblPr>
      <w:tr>
        <w:trPr>
          <w:trHeight w:val="139"/>
        </w:trPr>
        <w:tc>
          <w:tcPr>
            <w:tcW w:w="2800" w:type="dxa"/>
            <w:vAlign w:val="bottom"/>
            <w:tcBorders>
              <w:top w:val="single" w:sz="8" w:color="auto"/>
              <w:left w:val="single" w:sz="8" w:color="auto"/>
              <w:right w:val="single" w:sz="8" w:color="auto"/>
            </w:tcBorders>
            <w:shd w:val="clear" w:color="auto" w:fill="2AD2C9"/>
          </w:tcPr>
          <w:p>
            <w:pPr>
              <w:spacing w:after="0" w:line="139" w:lineRule="exact"/>
              <w:rPr>
                <w:sz w:val="20"/>
                <w:szCs w:val="20"/>
                <w:color w:val="auto"/>
              </w:rPr>
            </w:pPr>
            <w:r>
              <w:rPr>
                <w:rFonts w:ascii="Arial" w:cs="Arial" w:eastAsia="Arial" w:hAnsi="Arial"/>
                <w:sz w:val="14"/>
                <w:szCs w:val="14"/>
                <w:b w:val="1"/>
                <w:bCs w:val="1"/>
                <w:color w:val="FFFFFF"/>
              </w:rPr>
              <w:t>Fee Income</w:t>
            </w:r>
          </w:p>
        </w:tc>
        <w:tc>
          <w:tcPr>
            <w:tcW w:w="840" w:type="dxa"/>
            <w:vAlign w:val="bottom"/>
            <w:tcBorders>
              <w:top w:val="single" w:sz="8" w:color="auto"/>
            </w:tcBorders>
            <w:shd w:val="clear" w:color="auto" w:fill="2AD2C9"/>
          </w:tcPr>
          <w:p>
            <w:pPr>
              <w:spacing w:after="0"/>
              <w:rPr>
                <w:sz w:val="12"/>
                <w:szCs w:val="12"/>
                <w:color w:val="auto"/>
              </w:rPr>
            </w:pPr>
          </w:p>
        </w:tc>
        <w:tc>
          <w:tcPr>
            <w:tcW w:w="820" w:type="dxa"/>
            <w:vAlign w:val="bottom"/>
            <w:tcBorders>
              <w:top w:val="single" w:sz="8" w:color="auto"/>
            </w:tcBorders>
            <w:vMerge w:val="restart"/>
            <w:shd w:val="clear" w:color="auto" w:fill="2AD2C9"/>
          </w:tcPr>
          <w:p>
            <w:pPr>
              <w:jc w:val="right"/>
              <w:ind w:right="148"/>
              <w:spacing w:after="0"/>
              <w:rPr>
                <w:sz w:val="20"/>
                <w:szCs w:val="20"/>
                <w:color w:val="auto"/>
              </w:rPr>
            </w:pPr>
            <w:r>
              <w:rPr>
                <w:rFonts w:ascii="Arial" w:cs="Arial" w:eastAsia="Arial" w:hAnsi="Arial"/>
                <w:sz w:val="14"/>
                <w:szCs w:val="14"/>
                <w:b w:val="1"/>
                <w:bCs w:val="1"/>
                <w:color w:val="FFFFFF"/>
              </w:rPr>
              <w:t>Quarter</w:t>
            </w:r>
          </w:p>
        </w:tc>
        <w:tc>
          <w:tcPr>
            <w:tcW w:w="720" w:type="dxa"/>
            <w:vAlign w:val="bottom"/>
            <w:tcBorders>
              <w:top w:val="single" w:sz="8" w:color="auto"/>
              <w:right w:val="single" w:sz="8" w:color="auto"/>
            </w:tcBorders>
            <w:shd w:val="clear" w:color="auto" w:fill="2AD2C9"/>
          </w:tcPr>
          <w:p>
            <w:pPr>
              <w:spacing w:after="0"/>
              <w:rPr>
                <w:sz w:val="12"/>
                <w:szCs w:val="12"/>
                <w:color w:val="auto"/>
              </w:rPr>
            </w:pPr>
          </w:p>
        </w:tc>
        <w:tc>
          <w:tcPr>
            <w:tcW w:w="1580" w:type="dxa"/>
            <w:vAlign w:val="bottom"/>
            <w:tcBorders>
              <w:top w:val="single" w:sz="8" w:color="auto"/>
              <w:right w:val="single" w:sz="8" w:color="auto"/>
            </w:tcBorders>
            <w:gridSpan w:val="2"/>
            <w:vMerge w:val="restart"/>
            <w:shd w:val="clear" w:color="auto" w:fill="2AD2C9"/>
          </w:tcPr>
          <w:p>
            <w:pPr>
              <w:ind w:left="440"/>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12"/>
        </w:trPr>
        <w:tc>
          <w:tcPr>
            <w:tcW w:w="2800" w:type="dxa"/>
            <w:vAlign w:val="bottom"/>
            <w:tcBorders>
              <w:left w:val="single" w:sz="8" w:color="auto"/>
              <w:right w:val="single" w:sz="8" w:color="auto"/>
            </w:tcBorders>
            <w:vMerge w:val="restart"/>
            <w:shd w:val="clear" w:color="auto" w:fill="2AD2C9"/>
          </w:tcPr>
          <w:p>
            <w:pPr>
              <w:spacing w:after="0"/>
              <w:rPr>
                <w:sz w:val="20"/>
                <w:szCs w:val="20"/>
                <w:color w:val="auto"/>
              </w:rPr>
            </w:pPr>
            <w:r>
              <w:rPr>
                <w:rFonts w:ascii="Arial" w:cs="Arial" w:eastAsia="Arial" w:hAnsi="Arial"/>
                <w:sz w:val="14"/>
                <w:szCs w:val="14"/>
                <w:b w:val="1"/>
                <w:bCs w:val="1"/>
                <w:color w:val="FFFFFF"/>
              </w:rPr>
              <w:t>S/000</w:t>
            </w:r>
          </w:p>
        </w:tc>
        <w:tc>
          <w:tcPr>
            <w:tcW w:w="840" w:type="dxa"/>
            <w:vAlign w:val="bottom"/>
            <w:shd w:val="clear" w:color="auto" w:fill="2AD2C9"/>
          </w:tcPr>
          <w:p>
            <w:pPr>
              <w:spacing w:after="0"/>
              <w:rPr>
                <w:sz w:val="9"/>
                <w:szCs w:val="9"/>
                <w:color w:val="auto"/>
              </w:rPr>
            </w:pPr>
          </w:p>
        </w:tc>
        <w:tc>
          <w:tcPr>
            <w:tcW w:w="820" w:type="dxa"/>
            <w:vAlign w:val="bottom"/>
            <w:vMerge w:val="continue"/>
            <w:shd w:val="clear" w:color="auto" w:fill="2AD2C9"/>
          </w:tcPr>
          <w:p>
            <w:pPr>
              <w:spacing w:after="0"/>
              <w:rPr>
                <w:sz w:val="9"/>
                <w:szCs w:val="9"/>
                <w:color w:val="auto"/>
              </w:rPr>
            </w:pPr>
          </w:p>
        </w:tc>
        <w:tc>
          <w:tcPr>
            <w:tcW w:w="720" w:type="dxa"/>
            <w:vAlign w:val="bottom"/>
            <w:tcBorders>
              <w:right w:val="single" w:sz="8" w:color="auto"/>
            </w:tcBorders>
            <w:shd w:val="clear" w:color="auto" w:fill="2AD2C9"/>
          </w:tcPr>
          <w:p>
            <w:pPr>
              <w:spacing w:after="0"/>
              <w:rPr>
                <w:sz w:val="9"/>
                <w:szCs w:val="9"/>
                <w:color w:val="auto"/>
              </w:rPr>
            </w:pPr>
          </w:p>
        </w:tc>
        <w:tc>
          <w:tcPr>
            <w:tcW w:w="1580" w:type="dxa"/>
            <w:vAlign w:val="bottom"/>
            <w:tcBorders>
              <w:right w:val="single" w:sz="8" w:color="auto"/>
            </w:tcBorders>
            <w:gridSpan w:val="2"/>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80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840" w:type="dxa"/>
            <w:vAlign w:val="bottom"/>
            <w:vMerge w:val="restart"/>
            <w:shd w:val="clear" w:color="auto" w:fill="2AD2C9"/>
          </w:tcPr>
          <w:p>
            <w:pPr>
              <w:jc w:val="right"/>
              <w:ind w:right="208"/>
              <w:spacing w:after="0"/>
              <w:rPr>
                <w:sz w:val="20"/>
                <w:szCs w:val="20"/>
                <w:color w:val="auto"/>
              </w:rPr>
            </w:pPr>
            <w:r>
              <w:rPr>
                <w:rFonts w:ascii="Arial" w:cs="Arial" w:eastAsia="Arial" w:hAnsi="Arial"/>
                <w:sz w:val="14"/>
                <w:szCs w:val="14"/>
                <w:b w:val="1"/>
                <w:bCs w:val="1"/>
                <w:color w:val="FFFFFF"/>
              </w:rPr>
              <w:t>1Q21</w:t>
            </w:r>
          </w:p>
        </w:tc>
        <w:tc>
          <w:tcPr>
            <w:tcW w:w="820" w:type="dxa"/>
            <w:vAlign w:val="bottom"/>
            <w:vMerge w:val="restart"/>
            <w:shd w:val="clear" w:color="auto" w:fill="2AD2C9"/>
          </w:tcPr>
          <w:p>
            <w:pPr>
              <w:jc w:val="right"/>
              <w:ind w:right="248"/>
              <w:spacing w:after="0"/>
              <w:rPr>
                <w:sz w:val="20"/>
                <w:szCs w:val="20"/>
                <w:color w:val="auto"/>
              </w:rPr>
            </w:pPr>
            <w:r>
              <w:rPr>
                <w:rFonts w:ascii="Arial" w:cs="Arial" w:eastAsia="Arial" w:hAnsi="Arial"/>
                <w:sz w:val="14"/>
                <w:szCs w:val="14"/>
                <w:b w:val="1"/>
                <w:bCs w:val="1"/>
                <w:color w:val="FFFFFF"/>
              </w:rPr>
              <w:t>4Q21</w:t>
            </w:r>
          </w:p>
        </w:tc>
        <w:tc>
          <w:tcPr>
            <w:tcW w:w="720" w:type="dxa"/>
            <w:vAlign w:val="bottom"/>
            <w:tcBorders>
              <w:right w:val="single" w:sz="8" w:color="auto"/>
            </w:tcBorders>
            <w:vMerge w:val="restart"/>
            <w:shd w:val="clear" w:color="auto" w:fill="2AD2C9"/>
          </w:tcPr>
          <w:p>
            <w:pPr>
              <w:jc w:val="right"/>
              <w:ind w:right="168"/>
              <w:spacing w:after="0"/>
              <w:rPr>
                <w:sz w:val="20"/>
                <w:szCs w:val="20"/>
                <w:color w:val="auto"/>
              </w:rPr>
            </w:pPr>
            <w:r>
              <w:rPr>
                <w:rFonts w:ascii="Arial" w:cs="Arial" w:eastAsia="Arial" w:hAnsi="Arial"/>
                <w:sz w:val="14"/>
                <w:szCs w:val="14"/>
                <w:b w:val="1"/>
                <w:bCs w:val="1"/>
                <w:color w:val="FFFFFF"/>
              </w:rPr>
              <w:t>1Q22</w:t>
            </w:r>
          </w:p>
        </w:tc>
        <w:tc>
          <w:tcPr>
            <w:tcW w:w="760" w:type="dxa"/>
            <w:vAlign w:val="bottom"/>
            <w:vMerge w:val="restart"/>
            <w:shd w:val="clear" w:color="auto" w:fill="2AD2C9"/>
          </w:tcPr>
          <w:p>
            <w:pPr>
              <w:ind w:left="220"/>
              <w:spacing w:after="0"/>
              <w:rPr>
                <w:sz w:val="20"/>
                <w:szCs w:val="20"/>
                <w:color w:val="auto"/>
              </w:rPr>
            </w:pPr>
            <w:r>
              <w:rPr>
                <w:rFonts w:ascii="Arial" w:cs="Arial" w:eastAsia="Arial" w:hAnsi="Arial"/>
                <w:sz w:val="14"/>
                <w:szCs w:val="14"/>
                <w:b w:val="1"/>
                <w:bCs w:val="1"/>
                <w:color w:val="FFFFFF"/>
              </w:rPr>
              <w:t>QoQ</w:t>
            </w:r>
          </w:p>
        </w:tc>
        <w:tc>
          <w:tcPr>
            <w:tcW w:w="820" w:type="dxa"/>
            <w:vAlign w:val="bottom"/>
            <w:tcBorders>
              <w:right w:val="single" w:sz="8" w:color="auto"/>
            </w:tcBorders>
            <w:vMerge w:val="restart"/>
            <w:shd w:val="clear" w:color="auto" w:fill="2AD2C9"/>
          </w:tcPr>
          <w:p>
            <w:pPr>
              <w:ind w:left="260"/>
              <w:spacing w:after="0"/>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41"/>
        </w:trPr>
        <w:tc>
          <w:tcPr>
            <w:tcW w:w="28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840" w:type="dxa"/>
            <w:vAlign w:val="bottom"/>
            <w:tcBorders>
              <w:bottom w:val="single" w:sz="8" w:color="auto"/>
            </w:tcBorders>
            <w:vMerge w:val="continue"/>
            <w:shd w:val="clear" w:color="auto" w:fill="2AD2C9"/>
          </w:tcPr>
          <w:p>
            <w:pPr>
              <w:spacing w:after="0"/>
              <w:rPr>
                <w:sz w:val="12"/>
                <w:szCs w:val="12"/>
                <w:color w:val="auto"/>
              </w:rPr>
            </w:pPr>
          </w:p>
        </w:tc>
        <w:tc>
          <w:tcPr>
            <w:tcW w:w="820" w:type="dxa"/>
            <w:vAlign w:val="bottom"/>
            <w:tcBorders>
              <w:bottom w:val="single" w:sz="8" w:color="auto"/>
            </w:tcBorders>
            <w:vMerge w:val="continue"/>
            <w:shd w:val="clear" w:color="auto" w:fill="2AD2C9"/>
          </w:tcPr>
          <w:p>
            <w:pPr>
              <w:spacing w:after="0"/>
              <w:rPr>
                <w:sz w:val="12"/>
                <w:szCs w:val="12"/>
                <w:color w:val="auto"/>
              </w:rPr>
            </w:pPr>
          </w:p>
        </w:tc>
        <w:tc>
          <w:tcPr>
            <w:tcW w:w="72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760" w:type="dxa"/>
            <w:vAlign w:val="bottom"/>
            <w:tcBorders>
              <w:bottom w:val="single" w:sz="8" w:color="auto"/>
            </w:tcBorders>
            <w:vMerge w:val="continue"/>
            <w:shd w:val="clear" w:color="auto" w:fill="2AD2C9"/>
          </w:tcPr>
          <w:p>
            <w:pPr>
              <w:spacing w:after="0"/>
              <w:rPr>
                <w:sz w:val="12"/>
                <w:szCs w:val="12"/>
                <w:color w:val="auto"/>
              </w:rPr>
            </w:pPr>
          </w:p>
        </w:tc>
        <w:tc>
          <w:tcPr>
            <w:tcW w:w="82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tcBorders>
              <w:left w:val="single" w:sz="8" w:color="auto"/>
              <w:right w:val="single" w:sz="8" w:color="auto"/>
            </w:tcBorders>
          </w:tcPr>
          <w:p>
            <w:pPr>
              <w:spacing w:after="0" w:line="130" w:lineRule="exact"/>
              <w:rPr>
                <w:sz w:val="20"/>
                <w:szCs w:val="20"/>
                <w:color w:val="auto"/>
              </w:rPr>
            </w:pPr>
            <w:r>
              <w:rPr>
                <w:rFonts w:ascii="Arial" w:cs="Arial" w:eastAsia="Arial" w:hAnsi="Arial"/>
                <w:sz w:val="10"/>
                <w:szCs w:val="10"/>
                <w:color w:val="auto"/>
              </w:rPr>
              <w:t xml:space="preserve">Credit and debits cards </w:t>
            </w:r>
            <w:r>
              <w:rPr>
                <w:rFonts w:ascii="Arial" w:cs="Arial" w:eastAsia="Arial" w:hAnsi="Arial"/>
                <w:sz w:val="15"/>
                <w:szCs w:val="15"/>
                <w:color w:val="auto"/>
                <w:vertAlign w:val="superscript"/>
              </w:rPr>
              <w:t>(1)</w:t>
            </w:r>
          </w:p>
        </w:tc>
        <w:tc>
          <w:tcPr>
            <w:tcW w:w="840" w:type="dxa"/>
            <w:vAlign w:val="bottom"/>
          </w:tcPr>
          <w:p>
            <w:pPr>
              <w:jc w:val="right"/>
              <w:ind w:right="8"/>
              <w:spacing w:after="0" w:line="130" w:lineRule="exact"/>
              <w:rPr>
                <w:sz w:val="20"/>
                <w:szCs w:val="20"/>
                <w:color w:val="auto"/>
              </w:rPr>
            </w:pPr>
            <w:r>
              <w:rPr>
                <w:rFonts w:ascii="Arial" w:cs="Arial" w:eastAsia="Arial" w:hAnsi="Arial"/>
                <w:sz w:val="14"/>
                <w:szCs w:val="14"/>
                <w:color w:val="auto"/>
              </w:rPr>
              <w:t>117,163</w:t>
            </w:r>
          </w:p>
        </w:tc>
        <w:tc>
          <w:tcPr>
            <w:tcW w:w="820" w:type="dxa"/>
            <w:vAlign w:val="bottom"/>
          </w:tcPr>
          <w:p>
            <w:pPr>
              <w:jc w:val="right"/>
              <w:ind w:right="28"/>
              <w:spacing w:after="0" w:line="130" w:lineRule="exact"/>
              <w:rPr>
                <w:sz w:val="20"/>
                <w:szCs w:val="20"/>
                <w:color w:val="auto"/>
              </w:rPr>
            </w:pPr>
            <w:r>
              <w:rPr>
                <w:rFonts w:ascii="Arial" w:cs="Arial" w:eastAsia="Arial" w:hAnsi="Arial"/>
                <w:sz w:val="14"/>
                <w:szCs w:val="14"/>
                <w:color w:val="auto"/>
              </w:rPr>
              <w:t>172,173</w:t>
            </w:r>
          </w:p>
        </w:tc>
        <w:tc>
          <w:tcPr>
            <w:tcW w:w="7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4"/>
                <w:szCs w:val="14"/>
                <w:color w:val="auto"/>
              </w:rPr>
              <w:t>167,600</w:t>
            </w:r>
          </w:p>
        </w:tc>
        <w:tc>
          <w:tcPr>
            <w:tcW w:w="760" w:type="dxa"/>
            <w:vAlign w:val="bottom"/>
          </w:tcPr>
          <w:p>
            <w:pPr>
              <w:jc w:val="center"/>
              <w:spacing w:after="0" w:line="130" w:lineRule="exact"/>
              <w:rPr>
                <w:sz w:val="20"/>
                <w:szCs w:val="20"/>
                <w:color w:val="auto"/>
              </w:rPr>
            </w:pPr>
            <w:r>
              <w:rPr>
                <w:rFonts w:ascii="Arial" w:cs="Arial" w:eastAsia="Arial" w:hAnsi="Arial"/>
                <w:sz w:val="14"/>
                <w:szCs w:val="14"/>
                <w:color w:val="auto"/>
              </w:rPr>
              <w:t>-2.7%</w:t>
            </w:r>
          </w:p>
        </w:tc>
        <w:tc>
          <w:tcPr>
            <w:tcW w:w="8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1"/>
        </w:trPr>
        <w:tc>
          <w:tcPr>
            <w:tcW w:w="2800" w:type="dxa"/>
            <w:vAlign w:val="bottom"/>
            <w:tcBorders>
              <w:left w:val="single" w:sz="8" w:color="auto"/>
              <w:right w:val="single" w:sz="8" w:color="auto"/>
            </w:tcBorders>
          </w:tcPr>
          <w:p>
            <w:pPr>
              <w:spacing w:after="0" w:line="172" w:lineRule="exact"/>
              <w:rPr>
                <w:sz w:val="20"/>
                <w:szCs w:val="20"/>
                <w:color w:val="auto"/>
              </w:rPr>
            </w:pPr>
            <w:r>
              <w:rPr>
                <w:rFonts w:ascii="Arial" w:cs="Arial" w:eastAsia="Arial" w:hAnsi="Arial"/>
                <w:sz w:val="12"/>
                <w:szCs w:val="12"/>
                <w:color w:val="auto"/>
              </w:rPr>
              <w:t xml:space="preserve">Miscellaneous accounts </w:t>
            </w:r>
            <w:r>
              <w:rPr>
                <w:rFonts w:ascii="Arial" w:cs="Arial" w:eastAsia="Arial" w:hAnsi="Arial"/>
                <w:sz w:val="19"/>
                <w:szCs w:val="19"/>
                <w:color w:val="auto"/>
                <w:vertAlign w:val="superscript"/>
              </w:rPr>
              <w:t>(2)</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117,922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120,464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122,900</w:t>
            </w:r>
          </w:p>
        </w:tc>
        <w:tc>
          <w:tcPr>
            <w:tcW w:w="760" w:type="dxa"/>
            <w:vAlign w:val="bottom"/>
          </w:tcPr>
          <w:p>
            <w:pPr>
              <w:jc w:val="center"/>
              <w:spacing w:after="0"/>
              <w:rPr>
                <w:sz w:val="20"/>
                <w:szCs w:val="20"/>
                <w:color w:val="auto"/>
              </w:rPr>
            </w:pPr>
            <w:r>
              <w:rPr>
                <w:rFonts w:ascii="Arial" w:cs="Arial" w:eastAsia="Arial" w:hAnsi="Arial"/>
                <w:sz w:val="14"/>
                <w:szCs w:val="14"/>
                <w:color w:val="auto"/>
              </w:rPr>
              <w:t>2.0%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4"/>
        </w:trPr>
        <w:tc>
          <w:tcPr>
            <w:tcW w:w="2800" w:type="dxa"/>
            <w:vAlign w:val="bottom"/>
            <w:tcBorders>
              <w:left w:val="single" w:sz="8" w:color="auto"/>
              <w:right w:val="single" w:sz="8" w:color="auto"/>
            </w:tcBorders>
          </w:tcPr>
          <w:p>
            <w:pPr>
              <w:spacing w:after="0" w:line="154" w:lineRule="exact"/>
              <w:rPr>
                <w:sz w:val="20"/>
                <w:szCs w:val="20"/>
                <w:color w:val="auto"/>
              </w:rPr>
            </w:pPr>
            <w:r>
              <w:rPr>
                <w:rFonts w:ascii="Arial" w:cs="Arial" w:eastAsia="Arial" w:hAnsi="Arial"/>
                <w:sz w:val="14"/>
                <w:szCs w:val="14"/>
                <w:color w:val="auto"/>
              </w:rPr>
              <w:t>Drafts and transfers</w:t>
            </w:r>
          </w:p>
        </w:tc>
        <w:tc>
          <w:tcPr>
            <w:tcW w:w="840" w:type="dxa"/>
            <w:vAlign w:val="bottom"/>
          </w:tcPr>
          <w:p>
            <w:pPr>
              <w:jc w:val="right"/>
              <w:spacing w:after="0" w:line="154" w:lineRule="exact"/>
              <w:rPr>
                <w:sz w:val="20"/>
                <w:szCs w:val="20"/>
                <w:color w:val="auto"/>
              </w:rPr>
            </w:pPr>
            <w:r>
              <w:rPr>
                <w:rFonts w:ascii="Arial" w:cs="Arial" w:eastAsia="Arial" w:hAnsi="Arial"/>
                <w:sz w:val="14"/>
                <w:szCs w:val="14"/>
                <w:color w:val="auto"/>
              </w:rPr>
              <w:t>84,625</w:t>
            </w:r>
          </w:p>
        </w:tc>
        <w:tc>
          <w:tcPr>
            <w:tcW w:w="820" w:type="dxa"/>
            <w:vAlign w:val="bottom"/>
          </w:tcPr>
          <w:p>
            <w:pPr>
              <w:jc w:val="right"/>
              <w:ind w:right="28"/>
              <w:spacing w:after="0" w:line="154" w:lineRule="exact"/>
              <w:rPr>
                <w:sz w:val="20"/>
                <w:szCs w:val="20"/>
                <w:color w:val="auto"/>
              </w:rPr>
            </w:pPr>
            <w:r>
              <w:rPr>
                <w:rFonts w:ascii="Arial" w:cs="Arial" w:eastAsia="Arial" w:hAnsi="Arial"/>
                <w:sz w:val="14"/>
                <w:szCs w:val="14"/>
                <w:color w:val="auto"/>
              </w:rPr>
              <w:t>103,389</w:t>
            </w:r>
          </w:p>
        </w:tc>
        <w:tc>
          <w:tcPr>
            <w:tcW w:w="72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95,100</w:t>
            </w:r>
          </w:p>
        </w:tc>
        <w:tc>
          <w:tcPr>
            <w:tcW w:w="760" w:type="dxa"/>
            <w:vAlign w:val="bottom"/>
          </w:tcPr>
          <w:p>
            <w:pPr>
              <w:jc w:val="center"/>
              <w:spacing w:after="0" w:line="154" w:lineRule="exact"/>
              <w:rPr>
                <w:sz w:val="20"/>
                <w:szCs w:val="20"/>
                <w:color w:val="auto"/>
              </w:rPr>
            </w:pPr>
            <w:r>
              <w:rPr>
                <w:rFonts w:ascii="Arial" w:cs="Arial" w:eastAsia="Arial" w:hAnsi="Arial"/>
                <w:sz w:val="14"/>
                <w:szCs w:val="14"/>
                <w:color w:val="auto"/>
              </w:rPr>
              <w:t>-8.0%</w:t>
            </w:r>
          </w:p>
        </w:tc>
        <w:tc>
          <w:tcPr>
            <w:tcW w:w="8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Personal loans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24,271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27,464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28,900</w:t>
            </w:r>
          </w:p>
        </w:tc>
        <w:tc>
          <w:tcPr>
            <w:tcW w:w="760" w:type="dxa"/>
            <w:vAlign w:val="bottom"/>
          </w:tcPr>
          <w:p>
            <w:pPr>
              <w:jc w:val="center"/>
              <w:spacing w:after="0"/>
              <w:rPr>
                <w:sz w:val="20"/>
                <w:szCs w:val="20"/>
                <w:color w:val="auto"/>
              </w:rPr>
            </w:pPr>
            <w:r>
              <w:rPr>
                <w:rFonts w:ascii="Arial" w:cs="Arial" w:eastAsia="Arial" w:hAnsi="Arial"/>
                <w:sz w:val="14"/>
                <w:szCs w:val="14"/>
                <w:color w:val="auto"/>
              </w:rPr>
              <w:t>5.2%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SME loans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14,535</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17,570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17,000</w:t>
            </w:r>
          </w:p>
        </w:tc>
        <w:tc>
          <w:tcPr>
            <w:tcW w:w="760" w:type="dxa"/>
            <w:vAlign w:val="bottom"/>
          </w:tcPr>
          <w:p>
            <w:pPr>
              <w:jc w:val="center"/>
              <w:spacing w:after="0"/>
              <w:rPr>
                <w:sz w:val="20"/>
                <w:szCs w:val="20"/>
                <w:color w:val="auto"/>
              </w:rPr>
            </w:pPr>
            <w:r>
              <w:rPr>
                <w:rFonts w:ascii="Arial" w:cs="Arial" w:eastAsia="Arial" w:hAnsi="Arial"/>
                <w:sz w:val="14"/>
                <w:szCs w:val="14"/>
                <w:color w:val="auto"/>
              </w:rPr>
              <w:t>-3.2%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Insurance </w:t>
            </w:r>
            <w:r>
              <w:rPr>
                <w:rFonts w:ascii="Arial" w:cs="Arial" w:eastAsia="Arial" w:hAnsi="Arial"/>
                <w:sz w:val="18"/>
                <w:szCs w:val="18"/>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4"/>
                <w:szCs w:val="14"/>
                <w:color w:val="auto"/>
              </w:rPr>
              <w:t>27,189</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28,551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30,300</w:t>
            </w:r>
          </w:p>
        </w:tc>
        <w:tc>
          <w:tcPr>
            <w:tcW w:w="760" w:type="dxa"/>
            <w:vAlign w:val="bottom"/>
          </w:tcPr>
          <w:p>
            <w:pPr>
              <w:jc w:val="center"/>
              <w:spacing w:after="0"/>
              <w:rPr>
                <w:sz w:val="20"/>
                <w:szCs w:val="20"/>
                <w:color w:val="auto"/>
              </w:rPr>
            </w:pPr>
            <w:r>
              <w:rPr>
                <w:rFonts w:ascii="Arial" w:cs="Arial" w:eastAsia="Arial" w:hAnsi="Arial"/>
                <w:sz w:val="14"/>
                <w:szCs w:val="14"/>
                <w:color w:val="auto"/>
              </w:rPr>
              <w:t>6.1%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Mortgage loans </w:t>
            </w:r>
            <w:r>
              <w:rPr>
                <w:rFonts w:ascii="Arial" w:cs="Arial" w:eastAsia="Arial" w:hAnsi="Arial"/>
                <w:sz w:val="18"/>
                <w:szCs w:val="18"/>
                <w:color w:val="auto"/>
                <w:vertAlign w:val="superscript"/>
              </w:rPr>
              <w:t>(2)</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7,763</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8,494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7,900</w:t>
            </w:r>
          </w:p>
        </w:tc>
        <w:tc>
          <w:tcPr>
            <w:tcW w:w="760" w:type="dxa"/>
            <w:vAlign w:val="bottom"/>
          </w:tcPr>
          <w:p>
            <w:pPr>
              <w:jc w:val="center"/>
              <w:spacing w:after="0"/>
              <w:rPr>
                <w:sz w:val="20"/>
                <w:szCs w:val="20"/>
                <w:color w:val="auto"/>
              </w:rPr>
            </w:pPr>
            <w:r>
              <w:rPr>
                <w:rFonts w:ascii="Arial" w:cs="Arial" w:eastAsia="Arial" w:hAnsi="Arial"/>
                <w:sz w:val="14"/>
                <w:szCs w:val="14"/>
                <w:color w:val="auto"/>
              </w:rPr>
              <w:t>-7.0%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Off-balance sheet </w:t>
            </w:r>
            <w:r>
              <w:rPr>
                <w:rFonts w:ascii="Arial" w:cs="Arial" w:eastAsia="Arial" w:hAnsi="Arial"/>
                <w:sz w:val="18"/>
                <w:szCs w:val="18"/>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4"/>
                <w:szCs w:val="14"/>
                <w:color w:val="auto"/>
              </w:rPr>
              <w:t>59,864</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62,521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60,400</w:t>
            </w:r>
          </w:p>
        </w:tc>
        <w:tc>
          <w:tcPr>
            <w:tcW w:w="760" w:type="dxa"/>
            <w:vAlign w:val="bottom"/>
          </w:tcPr>
          <w:p>
            <w:pPr>
              <w:jc w:val="center"/>
              <w:spacing w:after="0"/>
              <w:rPr>
                <w:sz w:val="20"/>
                <w:szCs w:val="20"/>
                <w:color w:val="auto"/>
              </w:rPr>
            </w:pPr>
            <w:r>
              <w:rPr>
                <w:rFonts w:ascii="Arial" w:cs="Arial" w:eastAsia="Arial" w:hAnsi="Arial"/>
                <w:sz w:val="14"/>
                <w:szCs w:val="14"/>
                <w:color w:val="auto"/>
              </w:rPr>
              <w:t>-3.4%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Payments and collections </w:t>
            </w:r>
            <w:r>
              <w:rPr>
                <w:rFonts w:ascii="Arial" w:cs="Arial" w:eastAsia="Arial" w:hAnsi="Arial"/>
                <w:sz w:val="18"/>
                <w:szCs w:val="18"/>
                <w:color w:val="auto"/>
                <w:vertAlign w:val="superscript"/>
              </w:rPr>
              <w:t>(3)</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106,384</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119,246</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118,700</w:t>
            </w:r>
          </w:p>
        </w:tc>
        <w:tc>
          <w:tcPr>
            <w:tcW w:w="760" w:type="dxa"/>
            <w:vAlign w:val="bottom"/>
          </w:tcPr>
          <w:p>
            <w:pPr>
              <w:jc w:val="center"/>
              <w:spacing w:after="0"/>
              <w:rPr>
                <w:sz w:val="20"/>
                <w:szCs w:val="20"/>
                <w:color w:val="auto"/>
              </w:rPr>
            </w:pPr>
            <w:r>
              <w:rPr>
                <w:rFonts w:ascii="Arial" w:cs="Arial" w:eastAsia="Arial" w:hAnsi="Arial"/>
                <w:sz w:val="14"/>
                <w:szCs w:val="14"/>
                <w:color w:val="auto"/>
              </w:rPr>
              <w:t>-0.5%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Commercial loans </w:t>
            </w:r>
            <w:r>
              <w:rPr>
                <w:rFonts w:ascii="Arial" w:cs="Arial" w:eastAsia="Arial" w:hAnsi="Arial"/>
                <w:sz w:val="18"/>
                <w:szCs w:val="18"/>
                <w:color w:val="auto"/>
                <w:vertAlign w:val="superscript"/>
              </w:rPr>
              <w:t>(3)(4)</w:t>
            </w:r>
          </w:p>
        </w:tc>
        <w:tc>
          <w:tcPr>
            <w:tcW w:w="840" w:type="dxa"/>
            <w:vAlign w:val="bottom"/>
          </w:tcPr>
          <w:p>
            <w:pPr>
              <w:jc w:val="right"/>
              <w:spacing w:after="0"/>
              <w:rPr>
                <w:sz w:val="20"/>
                <w:szCs w:val="20"/>
                <w:color w:val="auto"/>
              </w:rPr>
            </w:pPr>
            <w:r>
              <w:rPr>
                <w:rFonts w:ascii="Arial" w:cs="Arial" w:eastAsia="Arial" w:hAnsi="Arial"/>
                <w:sz w:val="14"/>
                <w:szCs w:val="14"/>
                <w:color w:val="auto"/>
              </w:rPr>
              <w:t>15,392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20,036</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19,800</w:t>
            </w:r>
          </w:p>
        </w:tc>
        <w:tc>
          <w:tcPr>
            <w:tcW w:w="760" w:type="dxa"/>
            <w:vAlign w:val="bottom"/>
          </w:tcPr>
          <w:p>
            <w:pPr>
              <w:jc w:val="center"/>
              <w:spacing w:after="0"/>
              <w:rPr>
                <w:sz w:val="20"/>
                <w:szCs w:val="20"/>
                <w:color w:val="auto"/>
              </w:rPr>
            </w:pPr>
            <w:r>
              <w:rPr>
                <w:rFonts w:ascii="Arial" w:cs="Arial" w:eastAsia="Arial" w:hAnsi="Arial"/>
                <w:sz w:val="14"/>
                <w:szCs w:val="14"/>
                <w:color w:val="auto"/>
              </w:rPr>
              <w:t>-1.2%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line="163" w:lineRule="exact"/>
              <w:rPr>
                <w:sz w:val="20"/>
                <w:szCs w:val="20"/>
                <w:color w:val="auto"/>
              </w:rPr>
            </w:pPr>
            <w:r>
              <w:rPr>
                <w:rFonts w:ascii="Arial" w:cs="Arial" w:eastAsia="Arial" w:hAnsi="Arial"/>
                <w:sz w:val="11"/>
                <w:szCs w:val="11"/>
                <w:color w:val="auto"/>
              </w:rPr>
              <w:t xml:space="preserve">Foreign trade </w:t>
            </w:r>
            <w:r>
              <w:rPr>
                <w:rFonts w:ascii="Arial" w:cs="Arial" w:eastAsia="Arial" w:hAnsi="Arial"/>
                <w:sz w:val="18"/>
                <w:szCs w:val="18"/>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4"/>
                <w:szCs w:val="14"/>
                <w:color w:val="auto"/>
              </w:rPr>
              <w:t>15,191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15,503</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17,000</w:t>
            </w:r>
          </w:p>
        </w:tc>
        <w:tc>
          <w:tcPr>
            <w:tcW w:w="760" w:type="dxa"/>
            <w:vAlign w:val="bottom"/>
          </w:tcPr>
          <w:p>
            <w:pPr>
              <w:jc w:val="center"/>
              <w:spacing w:after="0"/>
              <w:rPr>
                <w:sz w:val="20"/>
                <w:szCs w:val="20"/>
                <w:color w:val="auto"/>
              </w:rPr>
            </w:pPr>
            <w:r>
              <w:rPr>
                <w:rFonts w:ascii="Arial" w:cs="Arial" w:eastAsia="Arial" w:hAnsi="Arial"/>
                <w:sz w:val="14"/>
                <w:szCs w:val="14"/>
                <w:color w:val="auto"/>
              </w:rPr>
              <w:t>9.7%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1"/>
        </w:trPr>
        <w:tc>
          <w:tcPr>
            <w:tcW w:w="2800" w:type="dxa"/>
            <w:vAlign w:val="bottom"/>
            <w:tcBorders>
              <w:left w:val="single" w:sz="8" w:color="auto"/>
              <w:right w:val="single" w:sz="8" w:color="auto"/>
            </w:tcBorders>
          </w:tcPr>
          <w:p>
            <w:pPr>
              <w:spacing w:after="0" w:line="172" w:lineRule="exact"/>
              <w:rPr>
                <w:sz w:val="20"/>
                <w:szCs w:val="20"/>
                <w:color w:val="auto"/>
              </w:rPr>
            </w:pPr>
            <w:r>
              <w:rPr>
                <w:rFonts w:ascii="Arial" w:cs="Arial" w:eastAsia="Arial" w:hAnsi="Arial"/>
                <w:sz w:val="12"/>
                <w:szCs w:val="12"/>
                <w:color w:val="auto"/>
              </w:rPr>
              <w:t xml:space="preserve">Corporate finance and mutual funds </w:t>
            </w:r>
            <w:r>
              <w:rPr>
                <w:rFonts w:ascii="Arial" w:cs="Arial" w:eastAsia="Arial" w:hAnsi="Arial"/>
                <w:sz w:val="19"/>
                <w:szCs w:val="19"/>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4"/>
                <w:szCs w:val="14"/>
                <w:color w:val="auto"/>
              </w:rPr>
              <w:t>13,583</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11,902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11,100</w:t>
            </w:r>
          </w:p>
        </w:tc>
        <w:tc>
          <w:tcPr>
            <w:tcW w:w="760" w:type="dxa"/>
            <w:vAlign w:val="bottom"/>
          </w:tcPr>
          <w:p>
            <w:pPr>
              <w:jc w:val="center"/>
              <w:spacing w:after="0"/>
              <w:rPr>
                <w:sz w:val="20"/>
                <w:szCs w:val="20"/>
                <w:color w:val="auto"/>
              </w:rPr>
            </w:pPr>
            <w:r>
              <w:rPr>
                <w:rFonts w:ascii="Arial" w:cs="Arial" w:eastAsia="Arial" w:hAnsi="Arial"/>
                <w:sz w:val="14"/>
                <w:szCs w:val="14"/>
                <w:color w:val="auto"/>
              </w:rPr>
              <w:t>-6.7%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Mibanco</w:t>
            </w:r>
          </w:p>
        </w:tc>
        <w:tc>
          <w:tcPr>
            <w:tcW w:w="840" w:type="dxa"/>
            <w:vAlign w:val="bottom"/>
          </w:tcPr>
          <w:p>
            <w:pPr>
              <w:jc w:val="right"/>
              <w:spacing w:after="0"/>
              <w:rPr>
                <w:sz w:val="20"/>
                <w:szCs w:val="20"/>
                <w:color w:val="auto"/>
              </w:rPr>
            </w:pPr>
            <w:r>
              <w:rPr>
                <w:rFonts w:ascii="Arial" w:cs="Arial" w:eastAsia="Arial" w:hAnsi="Arial"/>
                <w:sz w:val="14"/>
                <w:szCs w:val="14"/>
                <w:color w:val="auto"/>
              </w:rPr>
              <w:t>17,647</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29,776</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24,700</w:t>
            </w:r>
          </w:p>
        </w:tc>
        <w:tc>
          <w:tcPr>
            <w:tcW w:w="760" w:type="dxa"/>
            <w:vAlign w:val="bottom"/>
          </w:tcPr>
          <w:p>
            <w:pPr>
              <w:jc w:val="center"/>
              <w:spacing w:after="0"/>
              <w:rPr>
                <w:sz w:val="20"/>
                <w:szCs w:val="20"/>
                <w:color w:val="auto"/>
              </w:rPr>
            </w:pPr>
            <w:r>
              <w:rPr>
                <w:rFonts w:ascii="Arial" w:cs="Arial" w:eastAsia="Arial" w:hAnsi="Arial"/>
                <w:sz w:val="14"/>
                <w:szCs w:val="14"/>
                <w:color w:val="auto"/>
              </w:rPr>
              <w:t>-17.0%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62"/>
        </w:trPr>
        <w:tc>
          <w:tcPr>
            <w:tcW w:w="2800" w:type="dxa"/>
            <w:vAlign w:val="bottom"/>
            <w:tcBorders>
              <w:left w:val="single" w:sz="8" w:color="auto"/>
              <w:right w:val="single" w:sz="8" w:color="auto"/>
            </w:tcBorders>
          </w:tcPr>
          <w:p>
            <w:pPr>
              <w:spacing w:after="0"/>
              <w:rPr>
                <w:sz w:val="20"/>
                <w:szCs w:val="20"/>
                <w:color w:val="auto"/>
              </w:rPr>
            </w:pPr>
            <w:r>
              <w:rPr>
                <w:rFonts w:ascii="Arial" w:cs="Arial" w:eastAsia="Arial" w:hAnsi="Arial"/>
                <w:sz w:val="14"/>
                <w:szCs w:val="14"/>
                <w:color w:val="auto"/>
              </w:rPr>
              <w:t>BCP Bolivia</w:t>
            </w:r>
          </w:p>
        </w:tc>
        <w:tc>
          <w:tcPr>
            <w:tcW w:w="840" w:type="dxa"/>
            <w:vAlign w:val="bottom"/>
          </w:tcPr>
          <w:p>
            <w:pPr>
              <w:jc w:val="right"/>
              <w:spacing w:after="0"/>
              <w:rPr>
                <w:sz w:val="20"/>
                <w:szCs w:val="20"/>
                <w:color w:val="auto"/>
              </w:rPr>
            </w:pPr>
            <w:r>
              <w:rPr>
                <w:rFonts w:ascii="Arial" w:cs="Arial" w:eastAsia="Arial" w:hAnsi="Arial"/>
                <w:sz w:val="14"/>
                <w:szCs w:val="14"/>
                <w:color w:val="auto"/>
              </w:rPr>
              <w:t>34,532</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26,852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27,400</w:t>
            </w:r>
          </w:p>
        </w:tc>
        <w:tc>
          <w:tcPr>
            <w:tcW w:w="760" w:type="dxa"/>
            <w:vAlign w:val="bottom"/>
          </w:tcPr>
          <w:p>
            <w:pPr>
              <w:jc w:val="center"/>
              <w:spacing w:after="0"/>
              <w:rPr>
                <w:sz w:val="20"/>
                <w:szCs w:val="20"/>
                <w:color w:val="auto"/>
              </w:rPr>
            </w:pPr>
            <w:r>
              <w:rPr>
                <w:rFonts w:ascii="Arial" w:cs="Arial" w:eastAsia="Arial" w:hAnsi="Arial"/>
                <w:sz w:val="14"/>
                <w:szCs w:val="14"/>
                <w:color w:val="auto"/>
              </w:rPr>
              <w:t>2.0%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54"/>
        </w:trPr>
        <w:tc>
          <w:tcPr>
            <w:tcW w:w="2800" w:type="dxa"/>
            <w:vAlign w:val="bottom"/>
            <w:tcBorders>
              <w:left w:val="single" w:sz="8" w:color="auto"/>
              <w:right w:val="single" w:sz="8" w:color="auto"/>
            </w:tcBorders>
          </w:tcPr>
          <w:p>
            <w:pPr>
              <w:spacing w:after="0" w:line="154" w:lineRule="exact"/>
              <w:rPr>
                <w:sz w:val="20"/>
                <w:szCs w:val="20"/>
                <w:color w:val="auto"/>
              </w:rPr>
            </w:pPr>
            <w:r>
              <w:rPr>
                <w:rFonts w:ascii="Arial" w:cs="Arial" w:eastAsia="Arial" w:hAnsi="Arial"/>
                <w:sz w:val="14"/>
                <w:szCs w:val="14"/>
                <w:color w:val="auto"/>
              </w:rPr>
              <w:t>ASB</w:t>
            </w:r>
          </w:p>
        </w:tc>
        <w:tc>
          <w:tcPr>
            <w:tcW w:w="840" w:type="dxa"/>
            <w:vAlign w:val="bottom"/>
          </w:tcPr>
          <w:p>
            <w:pPr>
              <w:jc w:val="right"/>
              <w:ind w:right="8"/>
              <w:spacing w:after="0" w:line="154" w:lineRule="exact"/>
              <w:rPr>
                <w:sz w:val="20"/>
                <w:szCs w:val="20"/>
                <w:color w:val="auto"/>
              </w:rPr>
            </w:pPr>
            <w:r>
              <w:rPr>
                <w:rFonts w:ascii="Arial" w:cs="Arial" w:eastAsia="Arial" w:hAnsi="Arial"/>
                <w:sz w:val="14"/>
                <w:szCs w:val="14"/>
                <w:color w:val="auto"/>
              </w:rPr>
              <w:t>11,858</w:t>
            </w:r>
          </w:p>
        </w:tc>
        <w:tc>
          <w:tcPr>
            <w:tcW w:w="820" w:type="dxa"/>
            <w:vAlign w:val="bottom"/>
          </w:tcPr>
          <w:p>
            <w:pPr>
              <w:jc w:val="right"/>
              <w:ind w:right="28"/>
              <w:spacing w:after="0" w:line="154" w:lineRule="exact"/>
              <w:rPr>
                <w:sz w:val="20"/>
                <w:szCs w:val="20"/>
                <w:color w:val="auto"/>
              </w:rPr>
            </w:pPr>
            <w:r>
              <w:rPr>
                <w:rFonts w:ascii="Arial" w:cs="Arial" w:eastAsia="Arial" w:hAnsi="Arial"/>
                <w:sz w:val="14"/>
                <w:szCs w:val="14"/>
                <w:color w:val="auto"/>
              </w:rPr>
              <w:t>27,643</w:t>
            </w:r>
          </w:p>
        </w:tc>
        <w:tc>
          <w:tcPr>
            <w:tcW w:w="72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18,785</w:t>
            </w:r>
          </w:p>
        </w:tc>
        <w:tc>
          <w:tcPr>
            <w:tcW w:w="760" w:type="dxa"/>
            <w:vAlign w:val="bottom"/>
          </w:tcPr>
          <w:p>
            <w:pPr>
              <w:jc w:val="center"/>
              <w:spacing w:after="0" w:line="154" w:lineRule="exact"/>
              <w:rPr>
                <w:sz w:val="20"/>
                <w:szCs w:val="20"/>
                <w:color w:val="auto"/>
              </w:rPr>
            </w:pPr>
            <w:r>
              <w:rPr>
                <w:rFonts w:ascii="Arial" w:cs="Arial" w:eastAsia="Arial" w:hAnsi="Arial"/>
                <w:sz w:val="14"/>
                <w:szCs w:val="14"/>
                <w:color w:val="auto"/>
              </w:rPr>
              <w:t>-32.0%</w:t>
            </w:r>
          </w:p>
        </w:tc>
        <w:tc>
          <w:tcPr>
            <w:tcW w:w="8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86"/>
        </w:trPr>
        <w:tc>
          <w:tcPr>
            <w:tcW w:w="2800" w:type="dxa"/>
            <w:vAlign w:val="bottom"/>
            <w:tcBorders>
              <w:left w:val="single" w:sz="8" w:color="auto"/>
              <w:bottom w:val="single" w:sz="8" w:color="auto"/>
              <w:right w:val="single" w:sz="8" w:color="auto"/>
            </w:tcBorders>
          </w:tcPr>
          <w:p>
            <w:pPr>
              <w:spacing w:after="0" w:line="186" w:lineRule="exact"/>
              <w:rPr>
                <w:sz w:val="20"/>
                <w:szCs w:val="20"/>
                <w:color w:val="auto"/>
              </w:rPr>
            </w:pPr>
            <w:r>
              <w:rPr>
                <w:rFonts w:ascii="Arial" w:cs="Arial" w:eastAsia="Arial" w:hAnsi="Arial"/>
                <w:sz w:val="21"/>
                <w:szCs w:val="21"/>
                <w:color w:val="auto"/>
                <w:vertAlign w:val="subscript"/>
              </w:rPr>
              <w:t>Others</w:t>
            </w:r>
            <w:r>
              <w:rPr>
                <w:rFonts w:ascii="Arial" w:cs="Arial" w:eastAsia="Arial" w:hAnsi="Arial"/>
                <w:sz w:val="10"/>
                <w:szCs w:val="10"/>
                <w:color w:val="auto"/>
              </w:rPr>
              <w:t xml:space="preserve"> (4)(5)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10,583</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12,169</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9,700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53"/>
        </w:trPr>
        <w:tc>
          <w:tcPr>
            <w:tcW w:w="2800" w:type="dxa"/>
            <w:vAlign w:val="bottom"/>
            <w:tcBorders>
              <w:left w:val="single" w:sz="8" w:color="auto"/>
              <w:bottom w:val="single" w:sz="8" w:color="auto"/>
              <w:right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Total fee income</w:t>
            </w:r>
          </w:p>
        </w:tc>
        <w:tc>
          <w:tcPr>
            <w:tcW w:w="84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678,503</w:t>
            </w:r>
          </w:p>
        </w:tc>
        <w:tc>
          <w:tcPr>
            <w:tcW w:w="820" w:type="dxa"/>
            <w:vAlign w:val="bottom"/>
            <w:tcBorders>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803,753</w:t>
            </w:r>
          </w:p>
        </w:tc>
        <w:tc>
          <w:tcPr>
            <w:tcW w:w="72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777,285</w:t>
            </w:r>
          </w:p>
        </w:tc>
        <w:tc>
          <w:tcPr>
            <w:tcW w:w="7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-3.3%</w:t>
            </w:r>
          </w:p>
        </w:tc>
        <w:tc>
          <w:tcPr>
            <w:tcW w:w="8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-1787525</wp:posOffset>
            </wp:positionV>
            <wp:extent cx="2540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81" w:lineRule="exact"/>
        <w:rPr>
          <w:sz w:val="20"/>
          <w:szCs w:val="20"/>
          <w:color w:val="auto"/>
        </w:rPr>
      </w:pPr>
    </w:p>
    <w:p>
      <w:pPr>
        <w:ind w:left="1820" w:hanging="124"/>
        <w:spacing w:after="0"/>
        <w:tabs>
          <w:tab w:leader="none" w:pos="182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Retail fees.</w:t>
      </w:r>
    </w:p>
    <w:p>
      <w:pPr>
        <w:spacing w:after="0" w:line="14" w:lineRule="exact"/>
        <w:rPr>
          <w:rFonts w:ascii="Times New Roman" w:cs="Times New Roman" w:eastAsia="Times New Roman" w:hAnsi="Times New Roman"/>
          <w:sz w:val="9"/>
          <w:szCs w:val="9"/>
          <w:color w:val="auto"/>
        </w:rPr>
      </w:pPr>
    </w:p>
    <w:p>
      <w:pPr>
        <w:ind w:left="1820" w:hanging="124"/>
        <w:spacing w:after="0"/>
        <w:tabs>
          <w:tab w:leader="none" w:pos="182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Saving accounts, current accounts and master account.</w:t>
      </w:r>
    </w:p>
    <w:p>
      <w:pPr>
        <w:spacing w:after="0" w:line="4" w:lineRule="exact"/>
        <w:rPr>
          <w:rFonts w:ascii="Times New Roman" w:cs="Times New Roman" w:eastAsia="Times New Roman" w:hAnsi="Times New Roman"/>
          <w:sz w:val="9"/>
          <w:szCs w:val="9"/>
          <w:color w:val="auto"/>
        </w:rPr>
      </w:pPr>
    </w:p>
    <w:p>
      <w:pPr>
        <w:ind w:left="1820" w:hanging="124"/>
        <w:spacing w:after="0"/>
        <w:tabs>
          <w:tab w:leader="none" w:pos="182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Wholesale fees.</w:t>
      </w:r>
    </w:p>
    <w:p>
      <w:pPr>
        <w:spacing w:after="0" w:line="4" w:lineRule="exact"/>
        <w:rPr>
          <w:rFonts w:ascii="Times New Roman" w:cs="Times New Roman" w:eastAsia="Times New Roman" w:hAnsi="Times New Roman"/>
          <w:sz w:val="9"/>
          <w:szCs w:val="9"/>
          <w:color w:val="auto"/>
        </w:rPr>
      </w:pPr>
    </w:p>
    <w:p>
      <w:pPr>
        <w:ind w:left="1820" w:hanging="124"/>
        <w:spacing w:after="0"/>
        <w:tabs>
          <w:tab w:leader="none" w:pos="182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Figures differ from previously reported, please consider the data presented on this report.</w:t>
      </w:r>
    </w:p>
    <w:p>
      <w:pPr>
        <w:spacing w:after="0" w:line="4" w:lineRule="exact"/>
        <w:rPr>
          <w:rFonts w:ascii="Times New Roman" w:cs="Times New Roman" w:eastAsia="Times New Roman" w:hAnsi="Times New Roman"/>
          <w:sz w:val="9"/>
          <w:szCs w:val="9"/>
          <w:color w:val="auto"/>
        </w:rPr>
      </w:pPr>
    </w:p>
    <w:p>
      <w:pPr>
        <w:ind w:left="1820" w:hanging="124"/>
        <w:spacing w:after="0"/>
        <w:tabs>
          <w:tab w:leader="none" w:pos="182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fees from trust business, wealth management, network usage and other services to third parties, among others.</w:t>
      </w: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06.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993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1993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Fee Income from banking services reported growth YoY, which was attributable to:</w:t>
      </w:r>
    </w:p>
    <w:p>
      <w:pPr>
        <w:spacing w:after="0" w:line="207" w:lineRule="exact"/>
        <w:rPr>
          <w:sz w:val="20"/>
          <w:szCs w:val="20"/>
          <w:color w:val="auto"/>
        </w:rPr>
      </w:pPr>
    </w:p>
    <w:p>
      <w:pPr>
        <w:ind w:left="340" w:hanging="333"/>
        <w:spacing w:after="0" w:line="252"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Growth in income from merchant fees for </w:t>
      </w:r>
      <w:r>
        <w:rPr>
          <w:rFonts w:ascii="Arial" w:cs="Arial" w:eastAsia="Arial" w:hAnsi="Arial"/>
          <w:sz w:val="14"/>
          <w:szCs w:val="14"/>
          <w:b w:val="1"/>
          <w:bCs w:val="1"/>
          <w:color w:val="auto"/>
        </w:rPr>
        <w:t>Credit and Debit Cards</w:t>
      </w:r>
      <w:r>
        <w:rPr>
          <w:rFonts w:ascii="Arial" w:cs="Arial" w:eastAsia="Arial" w:hAnsi="Arial"/>
          <w:sz w:val="14"/>
          <w:szCs w:val="14"/>
          <w:color w:val="auto"/>
        </w:rPr>
        <w:t xml:space="preserve"> due to the adoption of cashless payment methods. Monetary transactions with POS grew 84.8% YoY. Additionally, the use of POS in digital businesses has grown, which has generated higher gains because these services through these venues pay higher fees.</w:t>
      </w:r>
    </w:p>
    <w:p>
      <w:pPr>
        <w:ind w:left="340" w:hanging="333"/>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The increase in fees for </w:t>
      </w:r>
      <w:r>
        <w:rPr>
          <w:rFonts w:ascii="Arial" w:cs="Arial" w:eastAsia="Arial" w:hAnsi="Arial"/>
          <w:sz w:val="14"/>
          <w:szCs w:val="14"/>
          <w:b w:val="1"/>
          <w:bCs w:val="1"/>
          <w:color w:val="auto"/>
        </w:rPr>
        <w:t>Collections and Payments</w:t>
      </w:r>
      <w:r>
        <w:rPr>
          <w:rFonts w:ascii="Arial" w:cs="Arial" w:eastAsia="Arial" w:hAnsi="Arial"/>
          <w:sz w:val="14"/>
          <w:szCs w:val="14"/>
          <w:color w:val="auto"/>
        </w:rPr>
        <w:t xml:space="preserve"> due to successful marketing campaigns to increase the use of these services.</w:t>
      </w:r>
    </w:p>
    <w:p>
      <w:pPr>
        <w:spacing w:after="0" w:line="1" w:lineRule="exact"/>
        <w:rPr>
          <w:rFonts w:ascii="Arial" w:cs="Arial" w:eastAsia="Arial" w:hAnsi="Arial"/>
          <w:sz w:val="14"/>
          <w:szCs w:val="14"/>
          <w:color w:val="auto"/>
        </w:rPr>
      </w:pPr>
    </w:p>
    <w:p>
      <w:pPr>
        <w:jc w:val="both"/>
        <w:ind w:left="340" w:hanging="333"/>
        <w:spacing w:after="0" w:line="25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Growth in </w:t>
      </w:r>
      <w:r>
        <w:rPr>
          <w:rFonts w:ascii="Arial" w:cs="Arial" w:eastAsia="Arial" w:hAnsi="Arial"/>
          <w:sz w:val="14"/>
          <w:szCs w:val="14"/>
          <w:b w:val="1"/>
          <w:bCs w:val="1"/>
          <w:color w:val="auto"/>
        </w:rPr>
        <w:t>Drafts and Transfers</w:t>
      </w:r>
      <w:r>
        <w:rPr>
          <w:rFonts w:ascii="Arial" w:cs="Arial" w:eastAsia="Arial" w:hAnsi="Arial"/>
          <w:sz w:val="14"/>
          <w:szCs w:val="14"/>
          <w:color w:val="auto"/>
        </w:rPr>
        <w:t>, where interbank transfers hit a historic high of 8.9 million transfers in March and registered a 67.9% increase with regard to the level reported in March 2021. Expansion in this component of income was led by interbank transfers, which reflects the uptick in digital adoption and the fact that new functions have been added to digital channels to permit interbank transfers 24/7.</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The aforementioned was partially offset by a drop in fee income at BCP Bolivia given that extraordinarily high income was reported in 1Q21 due to growth in fees for international transfers in Bolivia’s export sector. Nevertheless, the fees reported in 1Q22 are still higher than the historic average.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6.2. Other Non-Core Income</w:t>
      </w:r>
    </w:p>
    <w:p>
      <w:pPr>
        <w:spacing w:after="0" w:line="165" w:lineRule="exact"/>
        <w:rPr>
          <w:sz w:val="20"/>
          <w:szCs w:val="20"/>
          <w:color w:val="auto"/>
        </w:rPr>
      </w:pPr>
    </w:p>
    <w:tbl>
      <w:tblPr>
        <w:tblLayout w:type="fixed"/>
        <w:tblInd w:w="870" w:type="dxa"/>
        <w:tblCellMar>
          <w:top w:w="0" w:type="dxa"/>
          <w:left w:w="0" w:type="dxa"/>
          <w:bottom w:w="0" w:type="dxa"/>
          <w:right w:w="0" w:type="dxa"/>
        </w:tblCellMar>
      </w:tblPr>
      <w:tr>
        <w:trPr>
          <w:trHeight w:val="159"/>
        </w:trPr>
        <w:tc>
          <w:tcPr>
            <w:tcW w:w="408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Non-core Other income</w:t>
            </w:r>
          </w:p>
        </w:tc>
        <w:tc>
          <w:tcPr>
            <w:tcW w:w="1180" w:type="dxa"/>
            <w:vAlign w:val="bottom"/>
            <w:tcBorders>
              <w:top w:val="single" w:sz="8" w:color="auto"/>
            </w:tcBorders>
            <w:shd w:val="clear" w:color="auto" w:fill="2AD2C9"/>
          </w:tcPr>
          <w:p>
            <w:pPr>
              <w:spacing w:after="0"/>
              <w:rPr>
                <w:sz w:val="13"/>
                <w:szCs w:val="13"/>
                <w:color w:val="auto"/>
              </w:rPr>
            </w:pPr>
          </w:p>
        </w:tc>
        <w:tc>
          <w:tcPr>
            <w:tcW w:w="1140" w:type="dxa"/>
            <w:vAlign w:val="bottom"/>
            <w:tcBorders>
              <w:top w:val="single" w:sz="8" w:color="auto"/>
            </w:tcBorders>
            <w:shd w:val="clear" w:color="auto" w:fill="2AD2C9"/>
          </w:tcPr>
          <w:p>
            <w:pPr>
              <w:jc w:val="right"/>
              <w:ind w:right="308"/>
              <w:spacing w:after="0" w:line="159" w:lineRule="exact"/>
              <w:rPr>
                <w:sz w:val="20"/>
                <w:szCs w:val="20"/>
                <w:color w:val="auto"/>
              </w:rPr>
            </w:pPr>
            <w:r>
              <w:rPr>
                <w:rFonts w:ascii="Arial" w:cs="Arial" w:eastAsia="Arial" w:hAnsi="Arial"/>
                <w:sz w:val="14"/>
                <w:szCs w:val="14"/>
                <w:b w:val="1"/>
                <w:bCs w:val="1"/>
                <w:color w:val="FFFFFF"/>
              </w:rPr>
              <w:t>Quarter</w:t>
            </w:r>
          </w:p>
        </w:tc>
        <w:tc>
          <w:tcPr>
            <w:tcW w:w="1080" w:type="dxa"/>
            <w:vAlign w:val="bottom"/>
            <w:tcBorders>
              <w:top w:val="single" w:sz="8" w:color="auto"/>
              <w:right w:val="single" w:sz="8" w:color="auto"/>
            </w:tcBorders>
            <w:shd w:val="clear" w:color="auto" w:fill="2AD2C9"/>
          </w:tcPr>
          <w:p>
            <w:pPr>
              <w:spacing w:after="0"/>
              <w:rPr>
                <w:sz w:val="13"/>
                <w:szCs w:val="13"/>
                <w:color w:val="auto"/>
              </w:rPr>
            </w:pPr>
          </w:p>
        </w:tc>
        <w:tc>
          <w:tcPr>
            <w:tcW w:w="2100" w:type="dxa"/>
            <w:vAlign w:val="bottom"/>
            <w:tcBorders>
              <w:top w:val="single" w:sz="8" w:color="auto"/>
              <w:right w:val="single" w:sz="8" w:color="auto"/>
            </w:tcBorders>
            <w:gridSpan w:val="2"/>
            <w:shd w:val="clear" w:color="auto" w:fill="2AD2C9"/>
          </w:tcPr>
          <w:p>
            <w:pPr>
              <w:ind w:left="700"/>
              <w:spacing w:after="0" w:line="159" w:lineRule="exact"/>
              <w:rPr>
                <w:sz w:val="20"/>
                <w:szCs w:val="20"/>
                <w:color w:val="auto"/>
              </w:rPr>
            </w:pPr>
            <w:r>
              <w:rPr>
                <w:rFonts w:ascii="Arial" w:cs="Arial" w:eastAsia="Arial" w:hAnsi="Arial"/>
                <w:sz w:val="14"/>
                <w:szCs w:val="14"/>
                <w:b w:val="1"/>
                <w:bCs w:val="1"/>
                <w:color w:val="FFFFFF"/>
              </w:rPr>
              <w:t>% change</w:t>
            </w:r>
          </w:p>
        </w:tc>
      </w:tr>
      <w:tr>
        <w:trPr>
          <w:trHeight w:val="177"/>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180" w:type="dxa"/>
            <w:vAlign w:val="bottom"/>
            <w:tcBorders>
              <w:bottom w:val="single" w:sz="8" w:color="auto"/>
            </w:tcBorders>
            <w:shd w:val="clear" w:color="auto" w:fill="2AD2C9"/>
          </w:tcPr>
          <w:p>
            <w:pPr>
              <w:jc w:val="right"/>
              <w:ind w:right="388"/>
              <w:spacing w:after="0"/>
              <w:rPr>
                <w:sz w:val="20"/>
                <w:szCs w:val="20"/>
                <w:color w:val="auto"/>
              </w:rPr>
            </w:pPr>
            <w:r>
              <w:rPr>
                <w:rFonts w:ascii="Arial" w:cs="Arial" w:eastAsia="Arial" w:hAnsi="Arial"/>
                <w:sz w:val="14"/>
                <w:szCs w:val="14"/>
                <w:b w:val="1"/>
                <w:bCs w:val="1"/>
                <w:color w:val="FFFFFF"/>
              </w:rPr>
              <w:t>1Q21</w:t>
            </w:r>
          </w:p>
        </w:tc>
        <w:tc>
          <w:tcPr>
            <w:tcW w:w="1140" w:type="dxa"/>
            <w:vAlign w:val="bottom"/>
            <w:tcBorders>
              <w:bottom w:val="single" w:sz="8" w:color="auto"/>
            </w:tcBorders>
            <w:shd w:val="clear" w:color="auto" w:fill="2AD2C9"/>
          </w:tcPr>
          <w:p>
            <w:pPr>
              <w:jc w:val="right"/>
              <w:ind w:right="388"/>
              <w:spacing w:after="0"/>
              <w:rPr>
                <w:sz w:val="20"/>
                <w:szCs w:val="20"/>
                <w:color w:val="auto"/>
              </w:rPr>
            </w:pPr>
            <w:r>
              <w:rPr>
                <w:rFonts w:ascii="Arial" w:cs="Arial" w:eastAsia="Arial" w:hAnsi="Arial"/>
                <w:sz w:val="14"/>
                <w:szCs w:val="14"/>
                <w:b w:val="1"/>
                <w:bCs w:val="1"/>
                <w:color w:val="FFFFFF"/>
              </w:rPr>
              <w:t>4Q21</w:t>
            </w:r>
          </w:p>
        </w:tc>
        <w:tc>
          <w:tcPr>
            <w:tcW w:w="1080" w:type="dxa"/>
            <w:vAlign w:val="bottom"/>
            <w:tcBorders>
              <w:bottom w:val="single" w:sz="8" w:color="auto"/>
              <w:right w:val="single" w:sz="8" w:color="auto"/>
            </w:tcBorders>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1Q22</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4"/>
                <w:szCs w:val="14"/>
                <w:b w:val="1"/>
                <w:bCs w:val="1"/>
                <w:color w:val="FFFFFF"/>
              </w:rPr>
              <w:t>YoY</w:t>
            </w:r>
          </w:p>
        </w:tc>
      </w:tr>
      <w:tr>
        <w:trPr>
          <w:trHeight w:val="130"/>
        </w:trPr>
        <w:tc>
          <w:tcPr>
            <w:tcW w:w="40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4"/>
                <w:szCs w:val="14"/>
                <w:color w:val="auto"/>
              </w:rPr>
              <w:t>Net gain on securities</w:t>
            </w:r>
          </w:p>
        </w:tc>
        <w:tc>
          <w:tcPr>
            <w:tcW w:w="118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16,287</w:t>
            </w:r>
          </w:p>
        </w:tc>
        <w:tc>
          <w:tcPr>
            <w:tcW w:w="114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2,550</w:t>
            </w:r>
          </w:p>
        </w:tc>
        <w:tc>
          <w:tcPr>
            <w:tcW w:w="1080" w:type="dxa"/>
            <w:vAlign w:val="bottom"/>
            <w:tcBorders>
              <w:right w:val="single" w:sz="8" w:color="auto"/>
            </w:tcBorders>
          </w:tcPr>
          <w:p>
            <w:pPr>
              <w:jc w:val="right"/>
              <w:ind w:right="188"/>
              <w:spacing w:after="0" w:line="130" w:lineRule="exact"/>
              <w:rPr>
                <w:sz w:val="20"/>
                <w:szCs w:val="20"/>
                <w:color w:val="auto"/>
              </w:rPr>
            </w:pPr>
            <w:r>
              <w:rPr>
                <w:rFonts w:ascii="Arial" w:cs="Arial" w:eastAsia="Arial" w:hAnsi="Arial"/>
                <w:sz w:val="14"/>
                <w:szCs w:val="14"/>
                <w:color w:val="auto"/>
              </w:rPr>
              <w:t>(56,866)</w:t>
            </w:r>
          </w:p>
        </w:tc>
        <w:tc>
          <w:tcPr>
            <w:tcW w:w="1060" w:type="dxa"/>
            <w:vAlign w:val="bottom"/>
          </w:tcPr>
          <w:p>
            <w:pPr>
              <w:jc w:val="center"/>
              <w:spacing w:after="0" w:line="130" w:lineRule="exact"/>
              <w:rPr>
                <w:sz w:val="20"/>
                <w:szCs w:val="20"/>
                <w:color w:val="auto"/>
              </w:rPr>
            </w:pPr>
            <w:r>
              <w:rPr>
                <w:rFonts w:ascii="Arial" w:cs="Arial" w:eastAsia="Arial" w:hAnsi="Arial"/>
                <w:sz w:val="14"/>
                <w:szCs w:val="14"/>
                <w:color w:val="auto"/>
              </w:rPr>
              <w:t>-2330.0%</w:t>
            </w:r>
          </w:p>
        </w:tc>
        <w:tc>
          <w:tcPr>
            <w:tcW w:w="10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rPr>
              <w:t>-449.1%</w:t>
            </w:r>
          </w:p>
        </w:tc>
      </w:tr>
      <w:tr>
        <w:trPr>
          <w:trHeight w:val="171"/>
        </w:trPr>
        <w:tc>
          <w:tcPr>
            <w:tcW w:w="4080" w:type="dxa"/>
            <w:vAlign w:val="bottom"/>
            <w:tcBorders>
              <w:left w:val="single" w:sz="8" w:color="auto"/>
              <w:right w:val="single" w:sz="8" w:color="auto"/>
            </w:tcBorders>
          </w:tcPr>
          <w:p>
            <w:pPr>
              <w:ind w:left="20"/>
              <w:spacing w:after="0" w:line="172" w:lineRule="exact"/>
              <w:rPr>
                <w:sz w:val="20"/>
                <w:szCs w:val="20"/>
                <w:color w:val="auto"/>
              </w:rPr>
            </w:pPr>
            <w:r>
              <w:rPr>
                <w:rFonts w:ascii="Arial" w:cs="Arial" w:eastAsia="Arial" w:hAnsi="Arial"/>
                <w:sz w:val="12"/>
                <w:szCs w:val="12"/>
                <w:color w:val="auto"/>
              </w:rPr>
              <w:t xml:space="preserve">Net gain from associates </w:t>
            </w:r>
            <w:r>
              <w:rPr>
                <w:rFonts w:ascii="Arial" w:cs="Arial" w:eastAsia="Arial" w:hAnsi="Arial"/>
                <w:sz w:val="19"/>
                <w:szCs w:val="19"/>
                <w:color w:val="auto"/>
                <w:vertAlign w:val="superscript"/>
              </w:rPr>
              <w:t>(1)</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29,405</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13,224</w:t>
            </w:r>
          </w:p>
        </w:tc>
        <w:tc>
          <w:tcPr>
            <w:tcW w:w="1080" w:type="dxa"/>
            <w:vAlign w:val="bottom"/>
            <w:tcBorders>
              <w:right w:val="single" w:sz="8" w:color="auto"/>
            </w:tcBorders>
          </w:tcPr>
          <w:p>
            <w:pPr>
              <w:jc w:val="right"/>
              <w:ind w:right="208"/>
              <w:spacing w:after="0"/>
              <w:rPr>
                <w:sz w:val="20"/>
                <w:szCs w:val="20"/>
                <w:color w:val="auto"/>
              </w:rPr>
            </w:pPr>
            <w:r>
              <w:rPr>
                <w:rFonts w:ascii="Arial" w:cs="Arial" w:eastAsia="Arial" w:hAnsi="Arial"/>
                <w:sz w:val="14"/>
                <w:szCs w:val="14"/>
                <w:color w:val="auto"/>
              </w:rPr>
              <w:t>24,014</w:t>
            </w:r>
          </w:p>
        </w:tc>
        <w:tc>
          <w:tcPr>
            <w:tcW w:w="1060" w:type="dxa"/>
            <w:vAlign w:val="bottom"/>
          </w:tcPr>
          <w:p>
            <w:pPr>
              <w:jc w:val="center"/>
              <w:spacing w:after="0"/>
              <w:rPr>
                <w:sz w:val="20"/>
                <w:szCs w:val="20"/>
                <w:color w:val="auto"/>
              </w:rPr>
            </w:pPr>
            <w:r>
              <w:rPr>
                <w:rFonts w:ascii="Arial" w:cs="Arial" w:eastAsia="Arial" w:hAnsi="Arial"/>
                <w:sz w:val="14"/>
                <w:szCs w:val="14"/>
                <w:color w:val="auto"/>
              </w:rPr>
              <w:t>81.6%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-18.3%</w:t>
            </w:r>
          </w:p>
        </w:tc>
      </w:tr>
      <w:tr>
        <w:trPr>
          <w:trHeight w:val="162"/>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gain on derivatives held for trading</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69,723</w:t>
            </w:r>
          </w:p>
        </w:tc>
        <w:tc>
          <w:tcPr>
            <w:tcW w:w="1140" w:type="dxa"/>
            <w:vAlign w:val="bottom"/>
          </w:tcPr>
          <w:p>
            <w:pPr>
              <w:jc w:val="right"/>
              <w:ind w:right="248"/>
              <w:spacing w:after="0"/>
              <w:rPr>
                <w:sz w:val="20"/>
                <w:szCs w:val="20"/>
                <w:color w:val="auto"/>
              </w:rPr>
            </w:pPr>
            <w:r>
              <w:rPr>
                <w:rFonts w:ascii="Arial" w:cs="Arial" w:eastAsia="Arial" w:hAnsi="Arial"/>
                <w:sz w:val="14"/>
                <w:szCs w:val="14"/>
                <w:color w:val="auto"/>
              </w:rPr>
              <w:t>27,049</w:t>
            </w:r>
          </w:p>
        </w:tc>
        <w:tc>
          <w:tcPr>
            <w:tcW w:w="108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(138)</w:t>
            </w:r>
          </w:p>
        </w:tc>
        <w:tc>
          <w:tcPr>
            <w:tcW w:w="1060" w:type="dxa"/>
            <w:vAlign w:val="bottom"/>
          </w:tcPr>
          <w:p>
            <w:pPr>
              <w:jc w:val="center"/>
              <w:spacing w:after="0"/>
              <w:rPr>
                <w:sz w:val="20"/>
                <w:szCs w:val="20"/>
                <w:color w:val="auto"/>
              </w:rPr>
            </w:pPr>
            <w:r>
              <w:rPr>
                <w:rFonts w:ascii="Arial" w:cs="Arial" w:eastAsia="Arial" w:hAnsi="Arial"/>
                <w:sz w:val="14"/>
                <w:szCs w:val="14"/>
                <w:color w:val="auto"/>
              </w:rPr>
              <w:t>-100.5%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-100.2%</w:t>
            </w:r>
          </w:p>
        </w:tc>
      </w:tr>
      <w:tr>
        <w:trPr>
          <w:trHeight w:val="162"/>
        </w:trPr>
        <w:tc>
          <w:tcPr>
            <w:tcW w:w="4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Net gain from exchange differences</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(5,536)</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(8,923)</w:t>
            </w:r>
          </w:p>
        </w:tc>
        <w:tc>
          <w:tcPr>
            <w:tcW w:w="108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(25,390)</w:t>
            </w: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104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n.a.</w:t>
            </w:r>
          </w:p>
        </w:tc>
      </w:tr>
      <w:tr>
        <w:trPr>
          <w:trHeight w:val="177"/>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Other non-financial income</w:t>
            </w: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73,991</w:t>
            </w: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74,544</w:t>
            </w:r>
          </w:p>
        </w:tc>
        <w:tc>
          <w:tcPr>
            <w:tcW w:w="1080" w:type="dxa"/>
            <w:vAlign w:val="bottom"/>
            <w:tcBorders>
              <w:bottom w:val="single" w:sz="8" w:color="auto"/>
              <w:right w:val="single" w:sz="8" w:color="auto"/>
            </w:tcBorders>
          </w:tcPr>
          <w:p>
            <w:pPr>
              <w:jc w:val="right"/>
              <w:ind w:right="208"/>
              <w:spacing w:after="0"/>
              <w:rPr>
                <w:sz w:val="20"/>
                <w:szCs w:val="20"/>
                <w:color w:val="auto"/>
              </w:rPr>
            </w:pPr>
            <w:r>
              <w:rPr>
                <w:rFonts w:ascii="Arial" w:cs="Arial" w:eastAsia="Arial" w:hAnsi="Arial"/>
                <w:sz w:val="14"/>
                <w:szCs w:val="14"/>
                <w:color w:val="auto"/>
              </w:rPr>
              <w:t>147,902</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98.4%</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99.9%</w:t>
            </w:r>
          </w:p>
        </w:tc>
      </w:tr>
      <w:tr>
        <w:trPr>
          <w:trHeight w:val="153"/>
        </w:trPr>
        <w:tc>
          <w:tcPr>
            <w:tcW w:w="408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other income Non-Core</w:t>
            </w:r>
          </w:p>
        </w:tc>
        <w:tc>
          <w:tcPr>
            <w:tcW w:w="1180" w:type="dxa"/>
            <w:vAlign w:val="bottom"/>
            <w:tcBorders>
              <w:bottom w:val="single" w:sz="8" w:color="auto"/>
            </w:tcBorders>
          </w:tcPr>
          <w:p>
            <w:pPr>
              <w:jc w:val="right"/>
              <w:ind w:right="228"/>
              <w:spacing w:after="0" w:line="153" w:lineRule="exact"/>
              <w:rPr>
                <w:sz w:val="20"/>
                <w:szCs w:val="20"/>
                <w:color w:val="auto"/>
              </w:rPr>
            </w:pPr>
            <w:r>
              <w:rPr>
                <w:rFonts w:ascii="Arial" w:cs="Arial" w:eastAsia="Arial" w:hAnsi="Arial"/>
                <w:sz w:val="14"/>
                <w:szCs w:val="14"/>
                <w:b w:val="1"/>
                <w:bCs w:val="1"/>
                <w:color w:val="auto"/>
              </w:rPr>
              <w:t>183,870</w:t>
            </w:r>
          </w:p>
        </w:tc>
        <w:tc>
          <w:tcPr>
            <w:tcW w:w="1140" w:type="dxa"/>
            <w:vAlign w:val="bottom"/>
            <w:tcBorders>
              <w:bottom w:val="single" w:sz="8" w:color="auto"/>
            </w:tcBorders>
          </w:tcPr>
          <w:p>
            <w:pPr>
              <w:jc w:val="right"/>
              <w:ind w:right="248"/>
              <w:spacing w:after="0" w:line="153" w:lineRule="exact"/>
              <w:rPr>
                <w:sz w:val="20"/>
                <w:szCs w:val="20"/>
                <w:color w:val="auto"/>
              </w:rPr>
            </w:pPr>
            <w:r>
              <w:rPr>
                <w:rFonts w:ascii="Arial" w:cs="Arial" w:eastAsia="Arial" w:hAnsi="Arial"/>
                <w:sz w:val="14"/>
                <w:szCs w:val="14"/>
                <w:b w:val="1"/>
                <w:bCs w:val="1"/>
                <w:color w:val="auto"/>
              </w:rPr>
              <w:t>108,444</w:t>
            </w:r>
          </w:p>
        </w:tc>
        <w:tc>
          <w:tcPr>
            <w:tcW w:w="1080" w:type="dxa"/>
            <w:vAlign w:val="bottom"/>
            <w:tcBorders>
              <w:bottom w:val="single" w:sz="8" w:color="auto"/>
              <w:right w:val="single" w:sz="8" w:color="auto"/>
            </w:tcBorders>
          </w:tcPr>
          <w:p>
            <w:pPr>
              <w:jc w:val="right"/>
              <w:ind w:right="208"/>
              <w:spacing w:after="0" w:line="153" w:lineRule="exact"/>
              <w:rPr>
                <w:sz w:val="20"/>
                <w:szCs w:val="20"/>
                <w:color w:val="auto"/>
              </w:rPr>
            </w:pPr>
            <w:r>
              <w:rPr>
                <w:rFonts w:ascii="Arial" w:cs="Arial" w:eastAsia="Arial" w:hAnsi="Arial"/>
                <w:sz w:val="14"/>
                <w:szCs w:val="14"/>
                <w:b w:val="1"/>
                <w:bCs w:val="1"/>
                <w:color w:val="auto"/>
              </w:rPr>
              <w:t>89,522</w:t>
            </w:r>
          </w:p>
        </w:tc>
        <w:tc>
          <w:tcPr>
            <w:tcW w:w="10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-17.4%</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-51.3%</w:t>
            </w:r>
          </w:p>
        </w:tc>
      </w:tr>
    </w:tbl>
    <w:p>
      <w:pPr>
        <w:ind w:left="320"/>
        <w:spacing w:after="0"/>
        <w:rPr>
          <w:sz w:val="20"/>
          <w:szCs w:val="20"/>
          <w:color w:val="auto"/>
        </w:rPr>
      </w:pPr>
      <w:r>
        <w:rPr>
          <w:rFonts w:ascii="Times New Roman" w:cs="Times New Roman" w:eastAsia="Times New Roman" w:hAnsi="Times New Roman"/>
          <w:sz w:val="9"/>
          <w:szCs w:val="9"/>
          <w:color w:val="auto"/>
        </w:rPr>
        <w:t>(1) Includes gains on other investments, mainly made up of the profit of Banmedica.</w:t>
      </w:r>
    </w:p>
    <w:p>
      <w:pPr>
        <w:sectPr>
          <w:pgSz w:w="11900" w:h="16838" w:orient="portrait"/>
          <w:cols w:equalWidth="0" w:num="1">
            <w:col w:w="11280"/>
          </w:cols>
          <w:pgMar w:left="300" w:top="140" w:right="319" w:bottom="1440" w:gutter="0" w:footer="0" w:header="0"/>
        </w:sectPr>
      </w:pPr>
    </w:p>
    <w:p>
      <w:pPr>
        <w:spacing w:after="0" w:line="17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3"/>
          <w:szCs w:val="13"/>
          <w:b w:val="1"/>
          <w:bCs w:val="1"/>
          <w:color w:val="auto"/>
        </w:rPr>
        <w:t>Non-core Other Income YoY evolution</w:t>
      </w:r>
    </w:p>
    <w:p>
      <w:pPr>
        <w:spacing w:after="0" w:line="3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4"/>
          <w:szCs w:val="14"/>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3175</wp:posOffset>
            </wp:positionV>
            <wp:extent cx="1843405" cy="1712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43405" cy="1712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500"/>
        <w:spacing w:after="0" w:line="302" w:lineRule="auto"/>
        <w:rPr>
          <w:sz w:val="20"/>
          <w:szCs w:val="20"/>
          <w:color w:val="auto"/>
        </w:rPr>
      </w:pPr>
      <w:r>
        <w:rPr>
          <w:rFonts w:ascii="Times New Roman" w:cs="Times New Roman" w:eastAsia="Times New Roman" w:hAnsi="Times New Roman"/>
          <w:sz w:val="14"/>
          <w:szCs w:val="14"/>
          <w:color w:val="auto"/>
        </w:rPr>
        <w:t xml:space="preserve">In the </w:t>
      </w:r>
      <w:r>
        <w:rPr>
          <w:rFonts w:ascii="Times New Roman" w:cs="Times New Roman" w:eastAsia="Times New Roman" w:hAnsi="Times New Roman"/>
          <w:sz w:val="14"/>
          <w:szCs w:val="14"/>
          <w:b w:val="1"/>
          <w:bCs w:val="1"/>
          <w:color w:val="auto"/>
        </w:rPr>
        <w:t>QoQ</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YoY</w:t>
      </w:r>
      <w:r>
        <w:rPr>
          <w:rFonts w:ascii="Times New Roman" w:cs="Times New Roman" w:eastAsia="Times New Roman" w:hAnsi="Times New Roman"/>
          <w:sz w:val="14"/>
          <w:szCs w:val="14"/>
          <w:color w:val="auto"/>
        </w:rPr>
        <w:t xml:space="preserve"> analysis, </w:t>
      </w:r>
      <w:r>
        <w:rPr>
          <w:rFonts w:ascii="Times New Roman" w:cs="Times New Roman" w:eastAsia="Times New Roman" w:hAnsi="Times New Roman"/>
          <w:sz w:val="14"/>
          <w:szCs w:val="14"/>
          <w:b w:val="1"/>
          <w:bCs w:val="1"/>
          <w:color w:val="auto"/>
        </w:rPr>
        <w:t>Other Non-core Income</w:t>
      </w:r>
      <w:r>
        <w:rPr>
          <w:rFonts w:ascii="Times New Roman" w:cs="Times New Roman" w:eastAsia="Times New Roman" w:hAnsi="Times New Roman"/>
          <w:sz w:val="14"/>
          <w:szCs w:val="14"/>
          <w:color w:val="auto"/>
        </w:rPr>
        <w:t xml:space="preserve"> registered a decline that was primarily driven by negative results in the </w:t>
      </w:r>
      <w:r>
        <w:rPr>
          <w:rFonts w:ascii="Times New Roman" w:cs="Times New Roman" w:eastAsia="Times New Roman" w:hAnsi="Times New Roman"/>
          <w:sz w:val="14"/>
          <w:szCs w:val="14"/>
          <w:b w:val="1"/>
          <w:bCs w:val="1"/>
          <w:color w:val="auto"/>
        </w:rPr>
        <w:t>Net Gain on Securities</w:t>
      </w:r>
      <w:r>
        <w:rPr>
          <w:rFonts w:ascii="Times New Roman" w:cs="Times New Roman" w:eastAsia="Times New Roman" w:hAnsi="Times New Roman"/>
          <w:sz w:val="14"/>
          <w:szCs w:val="14"/>
          <w:color w:val="auto"/>
        </w:rPr>
        <w:t xml:space="preserve"> at:</w:t>
      </w:r>
    </w:p>
    <w:p>
      <w:pPr>
        <w:spacing w:after="0" w:line="63" w:lineRule="exact"/>
        <w:rPr>
          <w:sz w:val="20"/>
          <w:szCs w:val="20"/>
          <w:color w:val="auto"/>
        </w:rPr>
      </w:pPr>
    </w:p>
    <w:p>
      <w:pPr>
        <w:ind w:left="260" w:right="260" w:hanging="250"/>
        <w:spacing w:after="0" w:line="252" w:lineRule="auto"/>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Pacifico, which recognized impairment due to a downgrade in one of its fixed income investments; and</w:t>
      </w:r>
    </w:p>
    <w:p>
      <w:pPr>
        <w:ind w:left="260" w:right="40" w:hanging="250"/>
        <w:spacing w:after="0" w:line="265" w:lineRule="auto"/>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Credicorp Stand-alone, due to losses on investments in Latam fixed-income and US High-Yield mutual funds, which were triggered by higher market rates.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well as the </w:t>
      </w:r>
      <w:r>
        <w:rPr>
          <w:rFonts w:ascii="Times New Roman" w:cs="Times New Roman" w:eastAsia="Times New Roman" w:hAnsi="Times New Roman"/>
          <w:sz w:val="14"/>
          <w:szCs w:val="14"/>
          <w:b w:val="1"/>
          <w:bCs w:val="1"/>
          <w:color w:val="auto"/>
        </w:rPr>
        <w:t>Net Loss on Speculative Derivatives</w:t>
      </w:r>
      <w:r>
        <w:rPr>
          <w:rFonts w:ascii="Times New Roman" w:cs="Times New Roman" w:eastAsia="Times New Roman" w:hAnsi="Times New Roman"/>
          <w:sz w:val="14"/>
          <w:szCs w:val="14"/>
          <w:color w:val="auto"/>
        </w:rPr>
        <w:t xml:space="preserve"> at:</w:t>
      </w:r>
    </w:p>
    <w:p>
      <w:pPr>
        <w:spacing w:after="0" w:line="209" w:lineRule="exact"/>
        <w:rPr>
          <w:sz w:val="20"/>
          <w:szCs w:val="20"/>
          <w:color w:val="auto"/>
        </w:rPr>
      </w:pPr>
    </w:p>
    <w:p>
      <w:pPr>
        <w:ind w:left="260" w:right="220" w:hanging="250"/>
        <w:spacing w:after="0" w:line="252"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BCP Stand-alone, which utilized a strategy where these losses were offset by higher interest income on investments in fixed income in LC; and</w:t>
      </w:r>
    </w:p>
    <w:p>
      <w:pPr>
        <w:jc w:val="both"/>
        <w:ind w:left="260" w:right="260" w:hanging="250"/>
        <w:spacing w:after="0" w:line="253" w:lineRule="auto"/>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Credicorp Capital, which employed a trading strategy where the decrease in gains on derivatives was offset by an increase in the net gain on securities in Colombia.</w:t>
      </w:r>
    </w:p>
    <w:p>
      <w:pPr>
        <w:spacing w:after="0" w:line="200" w:lineRule="exact"/>
        <w:rPr>
          <w:sz w:val="20"/>
          <w:szCs w:val="20"/>
          <w:color w:val="auto"/>
        </w:rPr>
      </w:pPr>
    </w:p>
    <w:p>
      <w:pPr>
        <w:sectPr>
          <w:pgSz w:w="11900" w:h="16838" w:orient="portrait"/>
          <w:cols w:equalWidth="0" w:num="2">
            <w:col w:w="5140" w:space="720"/>
            <w:col w:w="5420"/>
          </w:cols>
          <w:pgMar w:left="300" w:top="140" w:right="31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07 </w:t>
      </w:r>
      <w:r>
        <w:rPr>
          <w:rFonts w:ascii="Times New Roman" w:cs="Times New Roman" w:eastAsia="Times New Roman" w:hAnsi="Times New Roman"/>
          <w:sz w:val="25"/>
          <w:szCs w:val="25"/>
          <w:b w:val="1"/>
          <w:bCs w:val="1"/>
          <w:color w:val="E93CAC"/>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59625" cy="502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502285"/>
                    </a:xfrm>
                    <a:prstGeom prst="rect">
                      <a:avLst/>
                    </a:prstGeom>
                    <a:noFill/>
                  </pic:spPr>
                </pic:pic>
              </a:graphicData>
            </a:graphic>
          </wp:anchor>
        </w:drawing>
      </w:r>
    </w:p>
    <w:p>
      <w:pPr>
        <w:spacing w:after="0" w:line="355"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The insurance underwriting result continues to recover, driven by normalization in claims in the Life business.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Net earned premiums rose YoY in both the Life and P&amp;C businesses, driven by Group Life and Medical Assistance products respectively.</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6240" w:type="dxa"/>
            <w:vAlign w:val="bottom"/>
            <w:tcBorders>
              <w:top w:val="single" w:sz="8" w:color="auto"/>
              <w:left w:val="single" w:sz="8" w:color="auto"/>
              <w:right w:val="single" w:sz="8" w:color="auto"/>
            </w:tcBorders>
            <w:gridSpan w:val="2"/>
            <w:shd w:val="clear" w:color="auto" w:fill="2AD2C9"/>
          </w:tcPr>
          <w:p>
            <w:pPr>
              <w:ind w:left="20"/>
              <w:spacing w:after="0" w:line="166" w:lineRule="exact"/>
              <w:rPr>
                <w:sz w:val="20"/>
                <w:szCs w:val="20"/>
                <w:color w:val="auto"/>
              </w:rPr>
            </w:pPr>
            <w:r>
              <w:rPr>
                <w:rFonts w:ascii="Arial" w:cs="Arial" w:eastAsia="Arial" w:hAnsi="Arial"/>
                <w:sz w:val="12"/>
                <w:szCs w:val="12"/>
                <w:b w:val="1"/>
                <w:bCs w:val="1"/>
                <w:color w:val="FFFFFF"/>
              </w:rPr>
              <w:t xml:space="preserve">Insurance underwriting result </w:t>
            </w:r>
            <w:r>
              <w:rPr>
                <w:rFonts w:ascii="Arial" w:cs="Arial" w:eastAsia="Arial" w:hAnsi="Arial"/>
                <w:sz w:val="19"/>
                <w:szCs w:val="19"/>
                <w:b w:val="1"/>
                <w:bCs w:val="1"/>
                <w:color w:val="FFFFFF"/>
                <w:vertAlign w:val="superscript"/>
              </w:rPr>
              <w:t>(1)</w:t>
            </w:r>
          </w:p>
        </w:tc>
        <w:tc>
          <w:tcPr>
            <w:tcW w:w="1120" w:type="dxa"/>
            <w:vAlign w:val="bottom"/>
            <w:tcBorders>
              <w:top w:val="single" w:sz="8" w:color="auto"/>
            </w:tcBorders>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40" w:type="dxa"/>
            <w:vAlign w:val="bottom"/>
            <w:tcBorders>
              <w:top w:val="single" w:sz="8" w:color="auto"/>
            </w:tcBorders>
            <w:shd w:val="clear" w:color="auto" w:fill="2AD2C9"/>
          </w:tcPr>
          <w:p>
            <w:pPr>
              <w:jc w:val="right"/>
              <w:ind w:right="281"/>
              <w:spacing w:after="0" w:line="166"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2020" w:type="dxa"/>
            <w:vAlign w:val="bottom"/>
            <w:tcBorders>
              <w:top w:val="single" w:sz="8" w:color="auto"/>
              <w:right w:val="single" w:sz="8" w:color="auto"/>
            </w:tcBorders>
            <w:gridSpan w:val="2"/>
            <w:shd w:val="clear" w:color="auto" w:fill="2AD2C9"/>
          </w:tcPr>
          <w:p>
            <w:pPr>
              <w:jc w:val="right"/>
              <w:ind w:right="581"/>
              <w:spacing w:after="0" w:line="16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right w:val="single" w:sz="8" w:color="2AD2C9"/>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5080" w:type="dxa"/>
            <w:vAlign w:val="bottom"/>
            <w:tcBorders>
              <w:bottom w:val="single" w:sz="8" w:color="auto"/>
              <w:right w:val="single" w:sz="8" w:color="auto"/>
            </w:tcBorders>
            <w:shd w:val="clear" w:color="auto" w:fill="2AD2C9"/>
          </w:tcPr>
          <w:p>
            <w:pPr>
              <w:spacing w:after="0"/>
              <w:rPr>
                <w:sz w:val="16"/>
                <w:szCs w:val="16"/>
                <w:color w:val="auto"/>
              </w:rPr>
            </w:pPr>
          </w:p>
        </w:tc>
        <w:tc>
          <w:tcPr>
            <w:tcW w:w="1120" w:type="dxa"/>
            <w:vAlign w:val="bottom"/>
            <w:tcBorders>
              <w:bottom w:val="single" w:sz="8" w:color="auto"/>
            </w:tcBorders>
            <w:vMerge w:val="continue"/>
            <w:shd w:val="clear" w:color="auto" w:fill="2AD2C9"/>
          </w:tcPr>
          <w:p>
            <w:pPr>
              <w:spacing w:after="0"/>
              <w:rPr>
                <w:sz w:val="16"/>
                <w:szCs w:val="16"/>
                <w:color w:val="auto"/>
              </w:rPr>
            </w:pPr>
          </w:p>
        </w:tc>
        <w:tc>
          <w:tcPr>
            <w:tcW w:w="104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4Q21</w:t>
            </w:r>
          </w:p>
        </w:tc>
        <w:tc>
          <w:tcPr>
            <w:tcW w:w="8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2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QoQ</w:t>
            </w:r>
          </w:p>
        </w:tc>
        <w:tc>
          <w:tcPr>
            <w:tcW w:w="900" w:type="dxa"/>
            <w:vAlign w:val="bottom"/>
            <w:tcBorders>
              <w:bottom w:val="single" w:sz="8" w:color="auto"/>
              <w:right w:val="single" w:sz="8" w:color="auto"/>
            </w:tcBorders>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right w:val="single" w:sz="8" w:color="auto"/>
            </w:tcBorders>
          </w:tcPr>
          <w:p>
            <w:pPr>
              <w:spacing w:after="0"/>
              <w:rPr>
                <w:sz w:val="12"/>
                <w:szCs w:val="12"/>
                <w:color w:val="auto"/>
              </w:rPr>
            </w:pPr>
          </w:p>
        </w:tc>
        <w:tc>
          <w:tcPr>
            <w:tcW w:w="5080" w:type="dxa"/>
            <w:vAlign w:val="bottom"/>
            <w:tcBorders>
              <w:right w:val="single" w:sz="8" w:color="auto"/>
            </w:tcBorders>
          </w:tcPr>
          <w:p>
            <w:pPr>
              <w:spacing w:after="0" w:line="145" w:lineRule="exact"/>
              <w:rPr>
                <w:sz w:val="20"/>
                <w:szCs w:val="20"/>
                <w:color w:val="auto"/>
              </w:rPr>
            </w:pPr>
            <w:r>
              <w:rPr>
                <w:rFonts w:ascii="Arial" w:cs="Arial" w:eastAsia="Arial" w:hAnsi="Arial"/>
                <w:sz w:val="16"/>
                <w:szCs w:val="16"/>
                <w:color w:val="auto"/>
              </w:rPr>
              <w:t>Net earned premiums</w:t>
            </w:r>
          </w:p>
        </w:tc>
        <w:tc>
          <w:tcPr>
            <w:tcW w:w="1120" w:type="dxa"/>
            <w:vAlign w:val="bottom"/>
          </w:tcPr>
          <w:p>
            <w:pPr>
              <w:jc w:val="right"/>
              <w:ind w:right="41"/>
              <w:spacing w:after="0" w:line="145" w:lineRule="exact"/>
              <w:rPr>
                <w:sz w:val="20"/>
                <w:szCs w:val="20"/>
                <w:color w:val="auto"/>
              </w:rPr>
            </w:pPr>
            <w:r>
              <w:rPr>
                <w:rFonts w:ascii="Arial" w:cs="Arial" w:eastAsia="Arial" w:hAnsi="Arial"/>
                <w:sz w:val="16"/>
                <w:szCs w:val="16"/>
                <w:color w:val="auto"/>
              </w:rPr>
              <w:t>643,928</w:t>
            </w:r>
          </w:p>
        </w:tc>
        <w:tc>
          <w:tcPr>
            <w:tcW w:w="1040" w:type="dxa"/>
            <w:vAlign w:val="bottom"/>
          </w:tcPr>
          <w:p>
            <w:pPr>
              <w:jc w:val="right"/>
              <w:ind w:right="81"/>
              <w:spacing w:after="0" w:line="145" w:lineRule="exact"/>
              <w:rPr>
                <w:sz w:val="20"/>
                <w:szCs w:val="20"/>
                <w:color w:val="auto"/>
              </w:rPr>
            </w:pPr>
            <w:r>
              <w:rPr>
                <w:rFonts w:ascii="Arial" w:cs="Arial" w:eastAsia="Arial" w:hAnsi="Arial"/>
                <w:sz w:val="16"/>
                <w:szCs w:val="16"/>
                <w:color w:val="auto"/>
              </w:rPr>
              <w:t>712,087</w:t>
            </w:r>
          </w:p>
        </w:tc>
        <w:tc>
          <w:tcPr>
            <w:tcW w:w="88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6"/>
                <w:szCs w:val="16"/>
                <w:color w:val="auto"/>
              </w:rPr>
              <w:t>690,536</w:t>
            </w:r>
          </w:p>
        </w:tc>
        <w:tc>
          <w:tcPr>
            <w:tcW w:w="1120" w:type="dxa"/>
            <w:vAlign w:val="bottom"/>
          </w:tcPr>
          <w:p>
            <w:pPr>
              <w:jc w:val="right"/>
              <w:ind w:right="61"/>
              <w:spacing w:after="0" w:line="145" w:lineRule="exact"/>
              <w:rPr>
                <w:sz w:val="20"/>
                <w:szCs w:val="20"/>
                <w:color w:val="auto"/>
              </w:rPr>
            </w:pPr>
            <w:r>
              <w:rPr>
                <w:rFonts w:ascii="Arial" w:cs="Arial" w:eastAsia="Arial" w:hAnsi="Arial"/>
                <w:sz w:val="16"/>
                <w:szCs w:val="16"/>
                <w:color w:val="auto"/>
              </w:rPr>
              <w:t>-3.0%</w:t>
            </w:r>
          </w:p>
        </w:tc>
        <w:tc>
          <w:tcPr>
            <w:tcW w:w="90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3"/>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Total</w:t>
            </w:r>
          </w:p>
        </w:tc>
        <w:tc>
          <w:tcPr>
            <w:tcW w:w="508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color w:val="auto"/>
              </w:rPr>
              <w:t>Net claims</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(623,353)</w:t>
            </w:r>
          </w:p>
        </w:tc>
        <w:tc>
          <w:tcPr>
            <w:tcW w:w="10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(509,279)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(478,506)</w:t>
            </w:r>
          </w:p>
        </w:tc>
        <w:tc>
          <w:tcPr>
            <w:tcW w:w="112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-6.0%</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73"/>
        </w:trPr>
        <w:tc>
          <w:tcPr>
            <w:tcW w:w="1160" w:type="dxa"/>
            <w:vAlign w:val="bottom"/>
            <w:tcBorders>
              <w:left w:val="single" w:sz="8" w:color="auto"/>
              <w:right w:val="single" w:sz="8" w:color="auto"/>
            </w:tcBorders>
            <w:vMerge w:val="continue"/>
          </w:tcPr>
          <w:p>
            <w:pPr>
              <w:spacing w:after="0"/>
              <w:rPr>
                <w:sz w:val="15"/>
                <w:szCs w:val="15"/>
                <w:color w:val="auto"/>
              </w:rPr>
            </w:pPr>
          </w:p>
        </w:tc>
        <w:tc>
          <w:tcPr>
            <w:tcW w:w="508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color w:val="auto"/>
              </w:rPr>
              <w:t>Acquisition cost</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(85,822)</w:t>
            </w:r>
          </w:p>
        </w:tc>
        <w:tc>
          <w:tcPr>
            <w:tcW w:w="10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(75,152)</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(70,484)</w:t>
            </w:r>
          </w:p>
        </w:tc>
        <w:tc>
          <w:tcPr>
            <w:tcW w:w="112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-6.2%</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73"/>
        </w:trPr>
        <w:tc>
          <w:tcPr>
            <w:tcW w:w="1160" w:type="dxa"/>
            <w:vAlign w:val="bottom"/>
            <w:tcBorders>
              <w:left w:val="single" w:sz="8" w:color="auto"/>
              <w:right w:val="single" w:sz="8" w:color="auto"/>
            </w:tcBorders>
          </w:tcPr>
          <w:p>
            <w:pPr>
              <w:spacing w:after="0"/>
              <w:rPr>
                <w:sz w:val="15"/>
                <w:szCs w:val="15"/>
                <w:color w:val="auto"/>
              </w:rPr>
            </w:pPr>
          </w:p>
        </w:tc>
        <w:tc>
          <w:tcPr>
            <w:tcW w:w="508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b w:val="1"/>
                <w:bCs w:val="1"/>
                <w:color w:val="auto"/>
              </w:rPr>
              <w:t>Total insurance underwriting result</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(65,247)</w:t>
            </w:r>
          </w:p>
        </w:tc>
        <w:tc>
          <w:tcPr>
            <w:tcW w:w="10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127,657</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141,546</w:t>
            </w:r>
          </w:p>
        </w:tc>
        <w:tc>
          <w:tcPr>
            <w:tcW w:w="1120" w:type="dxa"/>
            <w:vAlign w:val="bottom"/>
          </w:tcPr>
          <w:p>
            <w:pPr>
              <w:jc w:val="right"/>
              <w:ind w:right="61"/>
              <w:spacing w:after="0" w:line="174" w:lineRule="exact"/>
              <w:rPr>
                <w:sz w:val="20"/>
                <w:szCs w:val="20"/>
                <w:color w:val="auto"/>
              </w:rPr>
            </w:pPr>
            <w:r>
              <w:rPr>
                <w:rFonts w:ascii="Arial" w:cs="Arial" w:eastAsia="Arial" w:hAnsi="Arial"/>
                <w:sz w:val="16"/>
                <w:szCs w:val="16"/>
                <w:b w:val="1"/>
                <w:bCs w:val="1"/>
                <w:color w:val="auto"/>
              </w:rPr>
              <w:t>10.9%</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Loss Ratio</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96.8%</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71.5%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69.3%</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-220 pbs</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-2750 pbs</w:t>
            </w: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8"/>
              </w:rPr>
              <w:t>Life</w:t>
            </w:r>
          </w:p>
        </w:tc>
        <w:tc>
          <w:tcPr>
            <w:tcW w:w="5080" w:type="dxa"/>
            <w:vAlign w:val="bottom"/>
            <w:tcBorders>
              <w:right w:val="single" w:sz="8" w:color="auto"/>
            </w:tcBorders>
          </w:tcPr>
          <w:p>
            <w:pPr>
              <w:spacing w:after="0" w:line="145" w:lineRule="exact"/>
              <w:rPr>
                <w:sz w:val="20"/>
                <w:szCs w:val="20"/>
                <w:color w:val="auto"/>
              </w:rPr>
            </w:pPr>
            <w:r>
              <w:rPr>
                <w:rFonts w:ascii="Arial" w:cs="Arial" w:eastAsia="Arial" w:hAnsi="Arial"/>
                <w:sz w:val="16"/>
                <w:szCs w:val="16"/>
                <w:color w:val="auto"/>
              </w:rPr>
              <w:t>Net earned premiums</w:t>
            </w:r>
          </w:p>
        </w:tc>
        <w:tc>
          <w:tcPr>
            <w:tcW w:w="1120" w:type="dxa"/>
            <w:vAlign w:val="bottom"/>
          </w:tcPr>
          <w:p>
            <w:pPr>
              <w:jc w:val="right"/>
              <w:ind w:right="41"/>
              <w:spacing w:after="0" w:line="145" w:lineRule="exact"/>
              <w:rPr>
                <w:sz w:val="20"/>
                <w:szCs w:val="20"/>
                <w:color w:val="auto"/>
              </w:rPr>
            </w:pPr>
            <w:r>
              <w:rPr>
                <w:rFonts w:ascii="Arial" w:cs="Arial" w:eastAsia="Arial" w:hAnsi="Arial"/>
                <w:sz w:val="16"/>
                <w:szCs w:val="16"/>
                <w:color w:val="auto"/>
              </w:rPr>
              <w:t>343,158</w:t>
            </w:r>
          </w:p>
        </w:tc>
        <w:tc>
          <w:tcPr>
            <w:tcW w:w="1040" w:type="dxa"/>
            <w:vAlign w:val="bottom"/>
          </w:tcPr>
          <w:p>
            <w:pPr>
              <w:jc w:val="right"/>
              <w:ind w:right="81"/>
              <w:spacing w:after="0" w:line="145" w:lineRule="exact"/>
              <w:rPr>
                <w:sz w:val="20"/>
                <w:szCs w:val="20"/>
                <w:color w:val="auto"/>
              </w:rPr>
            </w:pPr>
            <w:r>
              <w:rPr>
                <w:rFonts w:ascii="Arial" w:cs="Arial" w:eastAsia="Arial" w:hAnsi="Arial"/>
                <w:sz w:val="16"/>
                <w:szCs w:val="16"/>
                <w:color w:val="auto"/>
              </w:rPr>
              <w:t>375,454</w:t>
            </w:r>
          </w:p>
        </w:tc>
        <w:tc>
          <w:tcPr>
            <w:tcW w:w="88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6"/>
                <w:szCs w:val="16"/>
                <w:color w:val="auto"/>
              </w:rPr>
              <w:t>365,492</w:t>
            </w:r>
          </w:p>
        </w:tc>
        <w:tc>
          <w:tcPr>
            <w:tcW w:w="1120" w:type="dxa"/>
            <w:vAlign w:val="bottom"/>
          </w:tcPr>
          <w:p>
            <w:pPr>
              <w:jc w:val="right"/>
              <w:ind w:right="61"/>
              <w:spacing w:after="0" w:line="145" w:lineRule="exact"/>
              <w:rPr>
                <w:sz w:val="20"/>
                <w:szCs w:val="20"/>
                <w:color w:val="auto"/>
              </w:rPr>
            </w:pPr>
            <w:r>
              <w:rPr>
                <w:rFonts w:ascii="Arial" w:cs="Arial" w:eastAsia="Arial" w:hAnsi="Arial"/>
                <w:sz w:val="16"/>
                <w:szCs w:val="16"/>
                <w:color w:val="auto"/>
              </w:rPr>
              <w:t>-2.7%</w:t>
            </w:r>
          </w:p>
        </w:tc>
        <w:tc>
          <w:tcPr>
            <w:tcW w:w="90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73"/>
        </w:trPr>
        <w:tc>
          <w:tcPr>
            <w:tcW w:w="1160" w:type="dxa"/>
            <w:vAlign w:val="bottom"/>
            <w:tcBorders>
              <w:left w:val="single" w:sz="8" w:color="auto"/>
              <w:right w:val="single" w:sz="8" w:color="auto"/>
            </w:tcBorders>
            <w:vMerge w:val="continue"/>
          </w:tcPr>
          <w:p>
            <w:pPr>
              <w:spacing w:after="0"/>
              <w:rPr>
                <w:sz w:val="15"/>
                <w:szCs w:val="15"/>
                <w:color w:val="auto"/>
              </w:rPr>
            </w:pPr>
          </w:p>
        </w:tc>
        <w:tc>
          <w:tcPr>
            <w:tcW w:w="508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color w:val="auto"/>
              </w:rPr>
              <w:t>Net claims</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(501,713)</w:t>
            </w:r>
          </w:p>
        </w:tc>
        <w:tc>
          <w:tcPr>
            <w:tcW w:w="10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(350,672)</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(315,718)</w:t>
            </w:r>
          </w:p>
        </w:tc>
        <w:tc>
          <w:tcPr>
            <w:tcW w:w="112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-10.0%</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Loss Ratio</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146.2%</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93.4%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86.4%</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-700 pbs</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-5980 pbs</w:t>
            </w:r>
          </w:p>
        </w:tc>
        <w:tc>
          <w:tcPr>
            <w:tcW w:w="0" w:type="dxa"/>
            <w:vAlign w:val="bottom"/>
          </w:tcPr>
          <w:p>
            <w:pPr>
              <w:spacing w:after="0"/>
              <w:rPr>
                <w:sz w:val="1"/>
                <w:szCs w:val="1"/>
                <w:color w:val="auto"/>
              </w:rPr>
            </w:pPr>
          </w:p>
        </w:tc>
      </w:tr>
      <w:tr>
        <w:trPr>
          <w:trHeight w:val="145"/>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P&amp;C</w:t>
            </w:r>
          </w:p>
        </w:tc>
        <w:tc>
          <w:tcPr>
            <w:tcW w:w="5080" w:type="dxa"/>
            <w:vAlign w:val="bottom"/>
            <w:tcBorders>
              <w:right w:val="single" w:sz="8" w:color="auto"/>
            </w:tcBorders>
          </w:tcPr>
          <w:p>
            <w:pPr>
              <w:spacing w:after="0" w:line="145" w:lineRule="exact"/>
              <w:rPr>
                <w:sz w:val="20"/>
                <w:szCs w:val="20"/>
                <w:color w:val="auto"/>
              </w:rPr>
            </w:pPr>
            <w:r>
              <w:rPr>
                <w:rFonts w:ascii="Arial" w:cs="Arial" w:eastAsia="Arial" w:hAnsi="Arial"/>
                <w:sz w:val="16"/>
                <w:szCs w:val="16"/>
                <w:color w:val="auto"/>
              </w:rPr>
              <w:t>Net earned premiums</w:t>
            </w:r>
          </w:p>
        </w:tc>
        <w:tc>
          <w:tcPr>
            <w:tcW w:w="1120" w:type="dxa"/>
            <w:vAlign w:val="bottom"/>
          </w:tcPr>
          <w:p>
            <w:pPr>
              <w:jc w:val="right"/>
              <w:ind w:right="41"/>
              <w:spacing w:after="0" w:line="145" w:lineRule="exact"/>
              <w:rPr>
                <w:sz w:val="20"/>
                <w:szCs w:val="20"/>
                <w:color w:val="auto"/>
              </w:rPr>
            </w:pPr>
            <w:r>
              <w:rPr>
                <w:rFonts w:ascii="Arial" w:cs="Arial" w:eastAsia="Arial" w:hAnsi="Arial"/>
                <w:sz w:val="16"/>
                <w:szCs w:val="16"/>
                <w:color w:val="auto"/>
              </w:rPr>
              <w:t>284,423</w:t>
            </w:r>
          </w:p>
        </w:tc>
        <w:tc>
          <w:tcPr>
            <w:tcW w:w="1040" w:type="dxa"/>
            <w:vAlign w:val="bottom"/>
          </w:tcPr>
          <w:p>
            <w:pPr>
              <w:jc w:val="right"/>
              <w:ind w:right="81"/>
              <w:spacing w:after="0" w:line="145" w:lineRule="exact"/>
              <w:rPr>
                <w:sz w:val="20"/>
                <w:szCs w:val="20"/>
                <w:color w:val="auto"/>
              </w:rPr>
            </w:pPr>
            <w:r>
              <w:rPr>
                <w:rFonts w:ascii="Arial" w:cs="Arial" w:eastAsia="Arial" w:hAnsi="Arial"/>
                <w:sz w:val="16"/>
                <w:szCs w:val="16"/>
                <w:color w:val="auto"/>
              </w:rPr>
              <w:t>318,949</w:t>
            </w:r>
          </w:p>
        </w:tc>
        <w:tc>
          <w:tcPr>
            <w:tcW w:w="88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6"/>
                <w:szCs w:val="16"/>
                <w:color w:val="auto"/>
              </w:rPr>
              <w:t>308,891</w:t>
            </w:r>
          </w:p>
        </w:tc>
        <w:tc>
          <w:tcPr>
            <w:tcW w:w="1120" w:type="dxa"/>
            <w:vAlign w:val="bottom"/>
          </w:tcPr>
          <w:p>
            <w:pPr>
              <w:jc w:val="right"/>
              <w:ind w:right="61"/>
              <w:spacing w:after="0" w:line="145" w:lineRule="exact"/>
              <w:rPr>
                <w:sz w:val="20"/>
                <w:szCs w:val="20"/>
                <w:color w:val="auto"/>
              </w:rPr>
            </w:pPr>
            <w:r>
              <w:rPr>
                <w:rFonts w:ascii="Arial" w:cs="Arial" w:eastAsia="Arial" w:hAnsi="Arial"/>
                <w:sz w:val="16"/>
                <w:szCs w:val="16"/>
                <w:color w:val="auto"/>
              </w:rPr>
              <w:t>-3.2%</w:t>
            </w:r>
          </w:p>
        </w:tc>
        <w:tc>
          <w:tcPr>
            <w:tcW w:w="900" w:type="dxa"/>
            <w:vAlign w:val="bottom"/>
            <w:tcBorders>
              <w:right w:val="single" w:sz="8" w:color="auto"/>
            </w:tcBorders>
          </w:tcPr>
          <w:p>
            <w:pPr>
              <w:jc w:val="right"/>
              <w:spacing w:after="0" w:line="145"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73"/>
        </w:trPr>
        <w:tc>
          <w:tcPr>
            <w:tcW w:w="1160" w:type="dxa"/>
            <w:vAlign w:val="bottom"/>
            <w:tcBorders>
              <w:left w:val="single" w:sz="8" w:color="auto"/>
              <w:right w:val="single" w:sz="8" w:color="auto"/>
            </w:tcBorders>
            <w:vMerge w:val="continue"/>
          </w:tcPr>
          <w:p>
            <w:pPr>
              <w:spacing w:after="0"/>
              <w:rPr>
                <w:sz w:val="15"/>
                <w:szCs w:val="15"/>
                <w:color w:val="auto"/>
              </w:rPr>
            </w:pPr>
          </w:p>
        </w:tc>
        <w:tc>
          <w:tcPr>
            <w:tcW w:w="5080" w:type="dxa"/>
            <w:vAlign w:val="bottom"/>
            <w:tcBorders>
              <w:right w:val="single" w:sz="8" w:color="auto"/>
            </w:tcBorders>
          </w:tcPr>
          <w:p>
            <w:pPr>
              <w:spacing w:after="0" w:line="174" w:lineRule="exact"/>
              <w:rPr>
                <w:sz w:val="20"/>
                <w:szCs w:val="20"/>
                <w:color w:val="auto"/>
              </w:rPr>
            </w:pPr>
            <w:r>
              <w:rPr>
                <w:rFonts w:ascii="Arial" w:cs="Arial" w:eastAsia="Arial" w:hAnsi="Arial"/>
                <w:sz w:val="16"/>
                <w:szCs w:val="16"/>
                <w:color w:val="auto"/>
              </w:rPr>
              <w:t>Net claims</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(114,132)</w:t>
            </w:r>
          </w:p>
        </w:tc>
        <w:tc>
          <w:tcPr>
            <w:tcW w:w="10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(149,749)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(156,851)</w:t>
            </w:r>
          </w:p>
        </w:tc>
        <w:tc>
          <w:tcPr>
            <w:tcW w:w="112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4.7%</w:t>
            </w:r>
          </w:p>
        </w:tc>
        <w:tc>
          <w:tcPr>
            <w:tcW w:w="9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192"/>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5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Loss Ratio</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40.1%</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47.0%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50.8%</w:t>
            </w: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380 pbs</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1070 pbs</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9"/>
          <w:szCs w:val="9"/>
          <w:color w:val="auto"/>
        </w:rPr>
        <w:t>(1) Includes net fees and underwriting expenses.</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From a QoQ perspective, the underwriting result improved. This reflected a 10.0% decrease in claims in the Life business, which was associated with a drop in reported cases and in IBNR COVID-19 reserve releases, which reflect the fact that the third wave of the pandemic has been less severe. This result was partially mitigated by a drop in net earned premiums in the Life and P&amp;C businesses.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a YoY perspective, the insurance underwriting result returned to positive terrain boosted by the following drivers:</w:t>
      </w:r>
    </w:p>
    <w:p>
      <w:pPr>
        <w:spacing w:after="0" w:line="207" w:lineRule="exact"/>
        <w:rPr>
          <w:sz w:val="20"/>
          <w:szCs w:val="20"/>
          <w:color w:val="auto"/>
        </w:rPr>
      </w:pPr>
    </w:p>
    <w:p>
      <w:pPr>
        <w:ind w:left="520" w:hanging="253"/>
        <w:spacing w:after="0" w:line="252"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drop in claims of 37.1% in the Life business, which was attributable to COVID-19 reserve release. This decline reflects the fact that the second wave hit in 1Q21, generating excess mortality, whereas 1Q22 was met by favorable advances in vaccination.</w:t>
      </w:r>
    </w:p>
    <w:p>
      <w:pPr>
        <w:ind w:left="520" w:hanging="253"/>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growth of 6.5% and 8.6% in net earned premiums in Life and in P&amp;C businesses respectively; and</w:t>
      </w:r>
    </w:p>
    <w:p>
      <w:pPr>
        <w:spacing w:after="0" w:line="1" w:lineRule="exact"/>
        <w:rPr>
          <w:rFonts w:ascii="Arial" w:cs="Arial" w:eastAsia="Arial" w:hAnsi="Arial"/>
          <w:sz w:val="14"/>
          <w:szCs w:val="14"/>
          <w:color w:val="auto"/>
        </w:rPr>
      </w:pPr>
    </w:p>
    <w:p>
      <w:pPr>
        <w:ind w:left="520" w:hanging="253"/>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 17.9% drop in the acquisition cost, which reflects a reduction in commissions (fees paid) after a contract in the alliance channel ended.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Earned Premiums by business</w:t>
            </w:r>
          </w:p>
        </w:tc>
        <w:tc>
          <w:tcPr>
            <w:tcW w:w="3920" w:type="dxa"/>
            <w:vAlign w:val="bottom"/>
          </w:tcPr>
          <w:p>
            <w:pPr>
              <w:spacing w:after="0"/>
              <w:rPr>
                <w:sz w:val="16"/>
                <w:szCs w:val="16"/>
                <w:color w:val="auto"/>
              </w:rPr>
            </w:pPr>
          </w:p>
        </w:tc>
      </w:tr>
      <w:tr>
        <w:trPr>
          <w:trHeight w:val="331"/>
        </w:trPr>
        <w:tc>
          <w:tcPr>
            <w:tcW w:w="56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Net Earned Premiums in Life</w:t>
            </w:r>
            <w:r>
              <w:rPr>
                <w:rFonts w:ascii="Times New Roman" w:cs="Times New Roman" w:eastAsia="Times New Roman" w:hAnsi="Times New Roman"/>
                <w:sz w:val="28"/>
                <w:szCs w:val="28"/>
                <w:b w:val="1"/>
                <w:bCs w:val="1"/>
                <w:color w:val="auto"/>
                <w:w w:val="99"/>
                <w:vertAlign w:val="superscript"/>
              </w:rPr>
              <w:t>(1)</w:t>
            </w:r>
          </w:p>
        </w:tc>
        <w:tc>
          <w:tcPr>
            <w:tcW w:w="3920" w:type="dxa"/>
            <w:vAlign w:val="bottom"/>
          </w:tcPr>
          <w:p>
            <w:pPr>
              <w:jc w:val="center"/>
              <w:ind w:left="1868"/>
              <w:spacing w:after="0"/>
              <w:rPr>
                <w:sz w:val="20"/>
                <w:szCs w:val="20"/>
                <w:color w:val="auto"/>
              </w:rPr>
            </w:pPr>
            <w:r>
              <w:rPr>
                <w:rFonts w:ascii="Times New Roman" w:cs="Times New Roman" w:eastAsia="Times New Roman" w:hAnsi="Times New Roman"/>
                <w:sz w:val="14"/>
                <w:szCs w:val="14"/>
                <w:b w:val="1"/>
                <w:bCs w:val="1"/>
                <w:color w:val="auto"/>
              </w:rPr>
              <w:t>Net earned premiums in P&amp;C</w:t>
            </w:r>
            <w:r>
              <w:rPr>
                <w:rFonts w:ascii="Times New Roman" w:cs="Times New Roman" w:eastAsia="Times New Roman" w:hAnsi="Times New Roman"/>
                <w:sz w:val="24"/>
                <w:szCs w:val="24"/>
                <w:b w:val="1"/>
                <w:bCs w:val="1"/>
                <w:color w:val="auto"/>
                <w:vertAlign w:val="superscript"/>
              </w:rPr>
              <w:t>(1)</w:t>
            </w:r>
          </w:p>
        </w:tc>
      </w:tr>
      <w:tr>
        <w:trPr>
          <w:trHeight w:val="210"/>
        </w:trPr>
        <w:tc>
          <w:tcPr>
            <w:tcW w:w="56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(S/ millions)</w:t>
            </w:r>
          </w:p>
        </w:tc>
        <w:tc>
          <w:tcPr>
            <w:tcW w:w="3920" w:type="dxa"/>
            <w:vAlign w:val="bottom"/>
          </w:tcPr>
          <w:p>
            <w:pPr>
              <w:jc w:val="center"/>
              <w:ind w:left="1888"/>
              <w:spacing w:after="0"/>
              <w:rPr>
                <w:sz w:val="20"/>
                <w:szCs w:val="20"/>
                <w:color w:val="auto"/>
              </w:rPr>
            </w:pPr>
            <w:r>
              <w:rPr>
                <w:rFonts w:ascii="Times New Roman" w:cs="Times New Roman" w:eastAsia="Times New Roman" w:hAnsi="Times New Roman"/>
                <w:sz w:val="14"/>
                <w:szCs w:val="14"/>
                <w:color w:val="auto"/>
              </w:rPr>
              <w:t>(S/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1244600</wp:posOffset>
            </wp:positionV>
            <wp:extent cx="17881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88160" cy="698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-13335</wp:posOffset>
            </wp:positionV>
            <wp:extent cx="6017895" cy="1052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17895" cy="105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hanging="113"/>
        <w:spacing w:after="0"/>
        <w:tabs>
          <w:tab w:leader="none" w:pos="120" w:val="left"/>
        </w:tabs>
        <w:numPr>
          <w:ilvl w:val="0"/>
          <w:numId w:val="37"/>
        </w:numPr>
        <w:rPr>
          <w:rFonts w:ascii="Times New Roman" w:cs="Times New Roman" w:eastAsia="Times New Roman" w:hAnsi="Times New Roman"/>
          <w:sz w:val="14"/>
          <w:szCs w:val="14"/>
          <w:b w:val="1"/>
          <w:bCs w:val="1"/>
          <w:color w:val="auto"/>
          <w:vertAlign w:val="superscript"/>
        </w:rPr>
      </w:pPr>
      <w:r>
        <w:rPr>
          <w:rFonts w:ascii="Times New Roman" w:cs="Times New Roman" w:eastAsia="Times New Roman" w:hAnsi="Times New Roman"/>
          <w:sz w:val="9"/>
          <w:szCs w:val="9"/>
          <w:b w:val="1"/>
          <w:bCs w:val="1"/>
          <w:color w:val="auto"/>
        </w:rPr>
        <w:t>Total premiums less premiums ceded to reinsurance and premium reserves.</w:t>
      </w: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07. 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993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9625" cy="199390"/>
                    </a:xfrm>
                    <a:prstGeom prst="rect">
                      <a:avLst/>
                    </a:prstGeom>
                    <a:noFill/>
                  </pic:spPr>
                </pic:pic>
              </a:graphicData>
            </a:graphic>
          </wp:anchor>
        </w:drawing>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the QoQ analysis, net earned premiums in the Life Insurance Business fell 2.7%. This reduction was attributable to: (i) Credit Life given that premiums registered in the previous quarter at Mibanco regularized and a contract in the alliance channel expired; (ii) Individual Life, due to a decrease in the exchange rate. In the P&amp;C business, net earned premiums fell 3.2%; this reflected a seasonal effect on renewals in 4Q21, which was mainly attributable to Cars and the Commercial Lines.</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 the YoY analysis, net earned premiums in the Life business increased 6.5%, which was driven mainly by Group Life, in line with price adjustments and with an increase in sales of Complementary Insurance for Occupational Risk (SCTR). Net earned premiums rose 8.6% in the P&amp;C business driven by: (i) Medical assistance, due to price increases for Comprehensive Health Products and an increase in sales of Oncological Products, (ii) Personal lines, due to an uptick in digital sales for Card Protection Products, and (iii) Commercial lines, due to growth in sales of policies for transportation.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claims by business</w:t>
      </w:r>
    </w:p>
    <w:p>
      <w:pPr>
        <w:sectPr>
          <w:pgSz w:w="11900" w:h="16838" w:orient="portrait"/>
          <w:cols w:equalWidth="0" w:num="1">
            <w:col w:w="11280"/>
          </w:cols>
          <w:pgMar w:left="300" w:top="140" w:right="319" w:bottom="1440" w:gutter="0" w:footer="0" w:header="0"/>
        </w:sectPr>
      </w:pP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Net Loss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7620</wp:posOffset>
            </wp:positionV>
            <wp:extent cx="1856740" cy="1120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56740" cy="1120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total loss ratio stood at 69.3% and fell 220bps QoQ, which reflected a decrease in claims in the Life business (-700bps QoQ). This drop was attributable to a release of IBNR COVID-19 reserves in 1Q22 and to a decrease in reported claims, which reflected an improvement in the sanitary situation. The loss ratio in the P&amp;C business increased 380bps QoQ, which was primarily attributable to an increase in claims in Commercial Lines and in the Transportation and Machinery segments in particular.</w:t>
      </w:r>
    </w:p>
    <w:p>
      <w:pPr>
        <w:spacing w:after="0" w:line="200" w:lineRule="exact"/>
        <w:rPr>
          <w:sz w:val="20"/>
          <w:szCs w:val="20"/>
          <w:color w:val="auto"/>
        </w:rPr>
      </w:pPr>
    </w:p>
    <w:p>
      <w:pPr>
        <w:sectPr>
          <w:pgSz w:w="11900" w:h="16838" w:orient="portrait"/>
          <w:cols w:equalWidth="0" w:num="2">
            <w:col w:w="5140" w:space="720"/>
            <w:col w:w="5420"/>
          </w:cols>
          <w:pgMar w:left="300" w:top="1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In the YoY analysis, the total loss ratio improved due to a 23.2% reduction in net claims. This drop was driven primarily by a release of IBNR COVID-19 reserves in the Life business and by a decrease in reported claims , which reflected the positive evolution of the vaccination process.</w:t>
      </w:r>
    </w:p>
    <w:p>
      <w:pPr>
        <w:spacing w:after="0" w:line="14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It is important to note that the loss ratio in 1Q22 in the Life business stood at 86.4%, which is close to the 75.6% reported in 2019 (pre-pandemic levels). In the P&amp;C business, the ratio stood at 50.8%, which fell below the level registered pre-pandemic (53.8%).</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Cost</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396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Acquisition cost</w:t>
            </w:r>
          </w:p>
        </w:tc>
        <w:tc>
          <w:tcPr>
            <w:tcW w:w="960" w:type="dxa"/>
            <w:vAlign w:val="bottom"/>
            <w:tcBorders>
              <w:top w:val="single" w:sz="8" w:color="auto"/>
            </w:tcBorders>
            <w:shd w:val="clear" w:color="auto" w:fill="2AD2C9"/>
          </w:tcPr>
          <w:p>
            <w:pPr>
              <w:spacing w:after="0"/>
              <w:rPr>
                <w:sz w:val="13"/>
                <w:szCs w:val="13"/>
                <w:color w:val="auto"/>
              </w:rPr>
            </w:pPr>
          </w:p>
        </w:tc>
        <w:tc>
          <w:tcPr>
            <w:tcW w:w="1020" w:type="dxa"/>
            <w:vAlign w:val="bottom"/>
            <w:tcBorders>
              <w:top w:val="single" w:sz="8" w:color="auto"/>
            </w:tcBorders>
            <w:vMerge w:val="restart"/>
            <w:shd w:val="clear" w:color="auto" w:fill="2AD2C9"/>
          </w:tcPr>
          <w:p>
            <w:pPr>
              <w:jc w:val="right"/>
              <w:ind w:right="148"/>
              <w:spacing w:after="0"/>
              <w:rPr>
                <w:sz w:val="20"/>
                <w:szCs w:val="20"/>
                <w:color w:val="auto"/>
              </w:rPr>
            </w:pPr>
            <w:r>
              <w:rPr>
                <w:rFonts w:ascii="Arial" w:cs="Arial" w:eastAsia="Arial" w:hAnsi="Arial"/>
                <w:sz w:val="14"/>
                <w:szCs w:val="14"/>
                <w:b w:val="1"/>
                <w:bCs w:val="1"/>
                <w:color w:val="FFFFFF"/>
              </w:rPr>
              <w:t>Quarter</w:t>
            </w:r>
          </w:p>
        </w:tc>
        <w:tc>
          <w:tcPr>
            <w:tcW w:w="1060" w:type="dxa"/>
            <w:vAlign w:val="bottom"/>
            <w:tcBorders>
              <w:top w:val="single" w:sz="8" w:color="auto"/>
              <w:right w:val="single" w:sz="8" w:color="auto"/>
            </w:tcBorders>
            <w:shd w:val="clear" w:color="auto" w:fill="2AD2C9"/>
          </w:tcPr>
          <w:p>
            <w:pPr>
              <w:spacing w:after="0"/>
              <w:rPr>
                <w:sz w:val="13"/>
                <w:szCs w:val="13"/>
                <w:color w:val="auto"/>
              </w:rPr>
            </w:pPr>
          </w:p>
        </w:tc>
        <w:tc>
          <w:tcPr>
            <w:tcW w:w="2020" w:type="dxa"/>
            <w:vAlign w:val="bottom"/>
            <w:tcBorders>
              <w:top w:val="single" w:sz="8" w:color="auto"/>
              <w:right w:val="single" w:sz="8" w:color="auto"/>
            </w:tcBorders>
            <w:gridSpan w:val="2"/>
            <w:vMerge w:val="restart"/>
            <w:shd w:val="clear" w:color="auto" w:fill="2AD2C9"/>
          </w:tcPr>
          <w:p>
            <w:pPr>
              <w:ind w:left="660"/>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12"/>
        </w:trPr>
        <w:tc>
          <w:tcPr>
            <w:tcW w:w="396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960" w:type="dxa"/>
            <w:vAlign w:val="bottom"/>
            <w:shd w:val="clear" w:color="auto" w:fill="2AD2C9"/>
          </w:tcPr>
          <w:p>
            <w:pPr>
              <w:spacing w:after="0"/>
              <w:rPr>
                <w:sz w:val="9"/>
                <w:szCs w:val="9"/>
                <w:color w:val="auto"/>
              </w:rPr>
            </w:pPr>
          </w:p>
        </w:tc>
        <w:tc>
          <w:tcPr>
            <w:tcW w:w="1020" w:type="dxa"/>
            <w:vAlign w:val="bottom"/>
            <w:vMerge w:val="continue"/>
            <w:shd w:val="clear" w:color="auto" w:fill="2AD2C9"/>
          </w:tcPr>
          <w:p>
            <w:pPr>
              <w:spacing w:after="0"/>
              <w:rPr>
                <w:sz w:val="9"/>
                <w:szCs w:val="9"/>
                <w:color w:val="auto"/>
              </w:rPr>
            </w:pPr>
          </w:p>
        </w:tc>
        <w:tc>
          <w:tcPr>
            <w:tcW w:w="1060" w:type="dxa"/>
            <w:vAlign w:val="bottom"/>
            <w:tcBorders>
              <w:right w:val="single" w:sz="8" w:color="auto"/>
            </w:tcBorders>
            <w:shd w:val="clear" w:color="auto" w:fill="2AD2C9"/>
          </w:tcPr>
          <w:p>
            <w:pPr>
              <w:spacing w:after="0"/>
              <w:rPr>
                <w:sz w:val="9"/>
                <w:szCs w:val="9"/>
                <w:color w:val="auto"/>
              </w:rPr>
            </w:pPr>
          </w:p>
        </w:tc>
        <w:tc>
          <w:tcPr>
            <w:tcW w:w="2020" w:type="dxa"/>
            <w:vAlign w:val="bottom"/>
            <w:tcBorders>
              <w:right w:val="single" w:sz="8" w:color="auto"/>
            </w:tcBorders>
            <w:gridSpan w:val="2"/>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96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960" w:type="dxa"/>
            <w:vAlign w:val="bottom"/>
            <w:vMerge w:val="restart"/>
            <w:shd w:val="clear" w:color="auto" w:fill="2AD2C9"/>
          </w:tcPr>
          <w:p>
            <w:pPr>
              <w:ind w:left="320"/>
              <w:spacing w:after="0"/>
              <w:rPr>
                <w:sz w:val="20"/>
                <w:szCs w:val="20"/>
                <w:color w:val="auto"/>
              </w:rPr>
            </w:pPr>
            <w:r>
              <w:rPr>
                <w:rFonts w:ascii="Arial" w:cs="Arial" w:eastAsia="Arial" w:hAnsi="Arial"/>
                <w:sz w:val="14"/>
                <w:szCs w:val="14"/>
                <w:b w:val="1"/>
                <w:bCs w:val="1"/>
                <w:color w:val="FFFFFF"/>
              </w:rPr>
              <w:t>1Q21</w:t>
            </w:r>
          </w:p>
        </w:tc>
        <w:tc>
          <w:tcPr>
            <w:tcW w:w="1020" w:type="dxa"/>
            <w:vAlign w:val="bottom"/>
            <w:vMerge w:val="restart"/>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4Q21</w:t>
            </w:r>
          </w:p>
        </w:tc>
        <w:tc>
          <w:tcPr>
            <w:tcW w:w="1060" w:type="dxa"/>
            <w:vAlign w:val="bottom"/>
            <w:tcBorders>
              <w:right w:val="single" w:sz="8" w:color="auto"/>
            </w:tcBorders>
            <w:vMerge w:val="restart"/>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1Q22</w:t>
            </w:r>
          </w:p>
        </w:tc>
        <w:tc>
          <w:tcPr>
            <w:tcW w:w="1000" w:type="dxa"/>
            <w:vAlign w:val="bottom"/>
            <w:vMerge w:val="restart"/>
            <w:shd w:val="clear" w:color="auto" w:fill="2AD2C9"/>
          </w:tcPr>
          <w:p>
            <w:pPr>
              <w:ind w:left="320"/>
              <w:spacing w:after="0"/>
              <w:rPr>
                <w:sz w:val="20"/>
                <w:szCs w:val="20"/>
                <w:color w:val="auto"/>
              </w:rPr>
            </w:pPr>
            <w:r>
              <w:rPr>
                <w:rFonts w:ascii="Arial" w:cs="Arial" w:eastAsia="Arial" w:hAnsi="Arial"/>
                <w:sz w:val="14"/>
                <w:szCs w:val="14"/>
                <w:b w:val="1"/>
                <w:bCs w:val="1"/>
                <w:color w:val="FFFFFF"/>
              </w:rPr>
              <w:t>QoQ</w:t>
            </w:r>
          </w:p>
        </w:tc>
        <w:tc>
          <w:tcPr>
            <w:tcW w:w="1020" w:type="dxa"/>
            <w:vAlign w:val="bottom"/>
            <w:tcBorders>
              <w:right w:val="single" w:sz="8" w:color="auto"/>
            </w:tcBorders>
            <w:vMerge w:val="restart"/>
            <w:shd w:val="clear" w:color="auto" w:fill="2AD2C9"/>
          </w:tcPr>
          <w:p>
            <w:pPr>
              <w:ind w:left="360"/>
              <w:spacing w:after="0"/>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41"/>
        </w:trPr>
        <w:tc>
          <w:tcPr>
            <w:tcW w:w="3960" w:type="dxa"/>
            <w:vAlign w:val="bottom"/>
            <w:tcBorders>
              <w:left w:val="single" w:sz="8" w:color="auto"/>
              <w:right w:val="single" w:sz="8" w:color="auto"/>
            </w:tcBorders>
            <w:shd w:val="clear" w:color="auto" w:fill="2AD2C9"/>
          </w:tcPr>
          <w:p>
            <w:pPr>
              <w:spacing w:after="0"/>
              <w:rPr>
                <w:sz w:val="12"/>
                <w:szCs w:val="12"/>
                <w:color w:val="auto"/>
              </w:rPr>
            </w:pPr>
          </w:p>
        </w:tc>
        <w:tc>
          <w:tcPr>
            <w:tcW w:w="960" w:type="dxa"/>
            <w:vAlign w:val="bottom"/>
            <w:vMerge w:val="continue"/>
            <w:shd w:val="clear" w:color="auto" w:fill="2AD2C9"/>
          </w:tcPr>
          <w:p>
            <w:pPr>
              <w:spacing w:after="0"/>
              <w:rPr>
                <w:sz w:val="12"/>
                <w:szCs w:val="12"/>
                <w:color w:val="auto"/>
              </w:rPr>
            </w:pPr>
          </w:p>
        </w:tc>
        <w:tc>
          <w:tcPr>
            <w:tcW w:w="1020" w:type="dxa"/>
            <w:vAlign w:val="bottom"/>
            <w:vMerge w:val="continue"/>
            <w:shd w:val="clear" w:color="auto" w:fill="2AD2C9"/>
          </w:tcPr>
          <w:p>
            <w:pPr>
              <w:spacing w:after="0"/>
              <w:rPr>
                <w:sz w:val="12"/>
                <w:szCs w:val="12"/>
                <w:color w:val="auto"/>
              </w:rPr>
            </w:pPr>
          </w:p>
        </w:tc>
        <w:tc>
          <w:tcPr>
            <w:tcW w:w="1060" w:type="dxa"/>
            <w:vAlign w:val="bottom"/>
            <w:tcBorders>
              <w:right w:val="single" w:sz="8" w:color="auto"/>
            </w:tcBorders>
            <w:vMerge w:val="continue"/>
            <w:shd w:val="clear" w:color="auto" w:fill="2AD2C9"/>
          </w:tcPr>
          <w:p>
            <w:pPr>
              <w:spacing w:after="0"/>
              <w:rPr>
                <w:sz w:val="12"/>
                <w:szCs w:val="12"/>
                <w:color w:val="auto"/>
              </w:rPr>
            </w:pPr>
          </w:p>
        </w:tc>
        <w:tc>
          <w:tcPr>
            <w:tcW w:w="1000" w:type="dxa"/>
            <w:vAlign w:val="bottom"/>
            <w:vMerge w:val="continue"/>
            <w:shd w:val="clear" w:color="auto" w:fill="2AD2C9"/>
          </w:tcPr>
          <w:p>
            <w:pPr>
              <w:spacing w:after="0"/>
              <w:rPr>
                <w:sz w:val="12"/>
                <w:szCs w:val="12"/>
                <w:color w:val="auto"/>
              </w:rPr>
            </w:pPr>
          </w:p>
        </w:tc>
        <w:tc>
          <w:tcPr>
            <w:tcW w:w="1020" w:type="dxa"/>
            <w:vAlign w:val="bottom"/>
            <w:tcBorders>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Net fees</w:t>
            </w:r>
          </w:p>
        </w:tc>
        <w:tc>
          <w:tcPr>
            <w:tcW w:w="960" w:type="dxa"/>
            <w:vAlign w:val="bottom"/>
          </w:tcPr>
          <w:p>
            <w:pPr>
              <w:jc w:val="right"/>
              <w:ind w:right="148"/>
              <w:spacing w:after="0" w:line="148" w:lineRule="exact"/>
              <w:rPr>
                <w:sz w:val="20"/>
                <w:szCs w:val="20"/>
                <w:color w:val="auto"/>
              </w:rPr>
            </w:pPr>
            <w:r>
              <w:rPr>
                <w:rFonts w:ascii="Arial" w:cs="Arial" w:eastAsia="Arial" w:hAnsi="Arial"/>
                <w:sz w:val="14"/>
                <w:szCs w:val="14"/>
                <w:color w:val="auto"/>
              </w:rPr>
              <w:t>(55,605)</w:t>
            </w:r>
          </w:p>
        </w:tc>
        <w:tc>
          <w:tcPr>
            <w:tcW w:w="1020" w:type="dxa"/>
            <w:vAlign w:val="bottom"/>
          </w:tcPr>
          <w:p>
            <w:pPr>
              <w:jc w:val="right"/>
              <w:ind w:right="168"/>
              <w:spacing w:after="0" w:line="148" w:lineRule="exact"/>
              <w:rPr>
                <w:sz w:val="20"/>
                <w:szCs w:val="20"/>
                <w:color w:val="auto"/>
              </w:rPr>
            </w:pPr>
            <w:r>
              <w:rPr>
                <w:rFonts w:ascii="Arial" w:cs="Arial" w:eastAsia="Arial" w:hAnsi="Arial"/>
                <w:sz w:val="14"/>
                <w:szCs w:val="14"/>
                <w:color w:val="auto"/>
              </w:rPr>
              <w:t>(56,359)</w:t>
            </w:r>
          </w:p>
        </w:tc>
        <w:tc>
          <w:tcPr>
            <w:tcW w:w="1060" w:type="dxa"/>
            <w:vAlign w:val="bottom"/>
            <w:tcBorders>
              <w:right w:val="single" w:sz="8" w:color="auto"/>
            </w:tcBorders>
          </w:tcPr>
          <w:p>
            <w:pPr>
              <w:jc w:val="right"/>
              <w:ind w:right="228"/>
              <w:spacing w:after="0" w:line="148" w:lineRule="exact"/>
              <w:rPr>
                <w:sz w:val="20"/>
                <w:szCs w:val="20"/>
                <w:color w:val="auto"/>
              </w:rPr>
            </w:pPr>
            <w:r>
              <w:rPr>
                <w:rFonts w:ascii="Arial" w:cs="Arial" w:eastAsia="Arial" w:hAnsi="Arial"/>
                <w:sz w:val="14"/>
                <w:szCs w:val="14"/>
                <w:color w:val="auto"/>
              </w:rPr>
              <w:t>(39,875)</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-29.2%</w:t>
            </w:r>
          </w:p>
        </w:tc>
        <w:tc>
          <w:tcPr>
            <w:tcW w:w="102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Underwriting expenses</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(31,557)</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(22,526)</w:t>
            </w:r>
          </w:p>
        </w:tc>
        <w:tc>
          <w:tcPr>
            <w:tcW w:w="106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color w:val="auto"/>
              </w:rPr>
              <w:t>(31,286)</w:t>
            </w:r>
          </w:p>
        </w:tc>
        <w:tc>
          <w:tcPr>
            <w:tcW w:w="1000" w:type="dxa"/>
            <w:vAlign w:val="bottom"/>
          </w:tcPr>
          <w:p>
            <w:pPr>
              <w:jc w:val="center"/>
              <w:spacing w:after="0"/>
              <w:rPr>
                <w:sz w:val="20"/>
                <w:szCs w:val="20"/>
                <w:color w:val="auto"/>
              </w:rPr>
            </w:pPr>
            <w:r>
              <w:rPr>
                <w:rFonts w:ascii="Arial" w:cs="Arial" w:eastAsia="Arial" w:hAnsi="Arial"/>
                <w:sz w:val="14"/>
                <w:szCs w:val="14"/>
                <w:color w:val="auto"/>
              </w:rPr>
              <w:t>38.9%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7"/>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Underwriting income</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1,340</w:t>
            </w:r>
          </w:p>
        </w:tc>
        <w:tc>
          <w:tcPr>
            <w:tcW w:w="10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3,734</w:t>
            </w:r>
          </w:p>
        </w:tc>
        <w:tc>
          <w:tcPr>
            <w:tcW w:w="106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678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-81.8%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53"/>
        </w:trPr>
        <w:tc>
          <w:tcPr>
            <w:tcW w:w="396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Acquisition cost</w:t>
            </w:r>
          </w:p>
        </w:tc>
        <w:tc>
          <w:tcPr>
            <w:tcW w:w="960" w:type="dxa"/>
            <w:vAlign w:val="bottom"/>
            <w:tcBorders>
              <w:bottom w:val="single" w:sz="8" w:color="auto"/>
            </w:tcBorders>
          </w:tcPr>
          <w:p>
            <w:pPr>
              <w:jc w:val="right"/>
              <w:ind w:right="148"/>
              <w:spacing w:after="0" w:line="153" w:lineRule="exact"/>
              <w:rPr>
                <w:sz w:val="20"/>
                <w:szCs w:val="20"/>
                <w:color w:val="auto"/>
              </w:rPr>
            </w:pPr>
            <w:r>
              <w:rPr>
                <w:rFonts w:ascii="Arial" w:cs="Arial" w:eastAsia="Arial" w:hAnsi="Arial"/>
                <w:sz w:val="14"/>
                <w:szCs w:val="14"/>
                <w:b w:val="1"/>
                <w:bCs w:val="1"/>
                <w:color w:val="auto"/>
              </w:rPr>
              <w:t>(85,822)</w:t>
            </w:r>
          </w:p>
        </w:tc>
        <w:tc>
          <w:tcPr>
            <w:tcW w:w="1020" w:type="dxa"/>
            <w:vAlign w:val="bottom"/>
            <w:tcBorders>
              <w:bottom w:val="single" w:sz="8" w:color="auto"/>
            </w:tcBorders>
          </w:tcPr>
          <w:p>
            <w:pPr>
              <w:jc w:val="right"/>
              <w:ind w:right="168"/>
              <w:spacing w:after="0" w:line="153" w:lineRule="exact"/>
              <w:rPr>
                <w:sz w:val="20"/>
                <w:szCs w:val="20"/>
                <w:color w:val="auto"/>
              </w:rPr>
            </w:pPr>
            <w:r>
              <w:rPr>
                <w:rFonts w:ascii="Arial" w:cs="Arial" w:eastAsia="Arial" w:hAnsi="Arial"/>
                <w:sz w:val="14"/>
                <w:szCs w:val="14"/>
                <w:b w:val="1"/>
                <w:bCs w:val="1"/>
                <w:color w:val="auto"/>
              </w:rPr>
              <w:t>(75,152)</w:t>
            </w:r>
          </w:p>
        </w:tc>
        <w:tc>
          <w:tcPr>
            <w:tcW w:w="1060" w:type="dxa"/>
            <w:vAlign w:val="bottom"/>
            <w:tcBorders>
              <w:bottom w:val="single" w:sz="8" w:color="auto"/>
              <w:right w:val="single" w:sz="8" w:color="auto"/>
            </w:tcBorders>
          </w:tcPr>
          <w:p>
            <w:pPr>
              <w:jc w:val="right"/>
              <w:ind w:right="228"/>
              <w:spacing w:after="0" w:line="153" w:lineRule="exact"/>
              <w:rPr>
                <w:sz w:val="20"/>
                <w:szCs w:val="20"/>
                <w:color w:val="auto"/>
              </w:rPr>
            </w:pPr>
            <w:r>
              <w:rPr>
                <w:rFonts w:ascii="Arial" w:cs="Arial" w:eastAsia="Arial" w:hAnsi="Arial"/>
                <w:sz w:val="14"/>
                <w:szCs w:val="14"/>
                <w:b w:val="1"/>
                <w:bCs w:val="1"/>
                <w:color w:val="auto"/>
              </w:rPr>
              <w:t>(70,484)</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-6.2%</w:t>
            </w:r>
          </w:p>
        </w:tc>
        <w:tc>
          <w:tcPr>
            <w:tcW w:w="10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-439420</wp:posOffset>
            </wp:positionV>
            <wp:extent cx="2540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Finally, the acquisition cost fell 6.2% QoQ and 17.9% YoY, which was primarily attributable to a decrease in net fees in the Life business after a contract in the alliance channel expired.</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08 </w:t>
      </w:r>
      <w:r>
        <w:rPr>
          <w:rFonts w:ascii="Times New Roman" w:cs="Times New Roman" w:eastAsia="Times New Roman" w:hAnsi="Times New Roman"/>
          <w:sz w:val="25"/>
          <w:szCs w:val="25"/>
          <w:b w:val="1"/>
          <w:bCs w:val="1"/>
          <w:color w:val="E93C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59625" cy="3987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9625" cy="398780"/>
                    </a:xfrm>
                    <a:prstGeom prst="rect">
                      <a:avLst/>
                    </a:prstGeom>
                    <a:noFill/>
                  </pic:spPr>
                </pic:pic>
              </a:graphicData>
            </a:graphic>
          </wp:anchor>
        </w:drawing>
      </w:r>
    </w:p>
    <w:p>
      <w:pPr>
        <w:spacing w:after="0" w:line="280" w:lineRule="exact"/>
        <w:rPr>
          <w:sz w:val="20"/>
          <w:szCs w:val="20"/>
          <w:color w:val="auto"/>
        </w:rPr>
      </w:pPr>
    </w:p>
    <w:p>
      <w:pPr>
        <w:ind w:left="120" w:right="100"/>
        <w:spacing w:after="0" w:line="286" w:lineRule="auto"/>
        <w:rPr>
          <w:sz w:val="20"/>
          <w:szCs w:val="20"/>
          <w:color w:val="auto"/>
        </w:rPr>
      </w:pPr>
      <w:r>
        <w:rPr>
          <w:rFonts w:ascii="Arial" w:cs="Arial" w:eastAsia="Arial" w:hAnsi="Arial"/>
          <w:sz w:val="14"/>
          <w:szCs w:val="14"/>
          <w:color w:val="FFFFFF"/>
        </w:rPr>
        <w:t>Operating Expenses increased YoY due to higher transactional cost; an uptick in expenses for the digital strategy; and a,n increase in variable compensation, which reflects growth in earnings this quarter. QoQ expenses reduction reflects the impact of seasonality in the fourth quarter.</w:t>
      </w:r>
    </w:p>
    <w:p>
      <w:pPr>
        <w:spacing w:after="0" w:line="391" w:lineRule="exact"/>
        <w:rPr>
          <w:sz w:val="20"/>
          <w:szCs w:val="20"/>
          <w:color w:val="auto"/>
        </w:rPr>
      </w:pPr>
    </w:p>
    <w:tbl>
      <w:tblPr>
        <w:tblLayout w:type="fixed"/>
        <w:tblInd w:w="1150" w:type="dxa"/>
        <w:tblCellMar>
          <w:top w:w="0" w:type="dxa"/>
          <w:left w:w="0" w:type="dxa"/>
          <w:bottom w:w="0" w:type="dxa"/>
          <w:right w:w="0" w:type="dxa"/>
        </w:tblCellMar>
      </w:tblPr>
      <w:tr>
        <w:trPr>
          <w:trHeight w:val="159"/>
        </w:trPr>
        <w:tc>
          <w:tcPr>
            <w:tcW w:w="396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Operating expenses</w:t>
            </w:r>
          </w:p>
        </w:tc>
        <w:tc>
          <w:tcPr>
            <w:tcW w:w="1120" w:type="dxa"/>
            <w:vAlign w:val="bottom"/>
            <w:tcBorders>
              <w:top w:val="single" w:sz="8" w:color="auto"/>
            </w:tcBorders>
            <w:shd w:val="clear" w:color="auto" w:fill="2AD2C9"/>
          </w:tcPr>
          <w:p>
            <w:pPr>
              <w:spacing w:after="0"/>
              <w:rPr>
                <w:sz w:val="13"/>
                <w:szCs w:val="13"/>
                <w:color w:val="auto"/>
              </w:rPr>
            </w:pPr>
          </w:p>
        </w:tc>
        <w:tc>
          <w:tcPr>
            <w:tcW w:w="1060" w:type="dxa"/>
            <w:vAlign w:val="bottom"/>
            <w:tcBorders>
              <w:top w:val="single" w:sz="8" w:color="auto"/>
            </w:tcBorders>
            <w:shd w:val="clear" w:color="auto" w:fill="2AD2C9"/>
          </w:tcPr>
          <w:p>
            <w:pPr>
              <w:jc w:val="right"/>
              <w:ind w:right="348"/>
              <w:spacing w:after="0" w:line="159" w:lineRule="exact"/>
              <w:rPr>
                <w:sz w:val="20"/>
                <w:szCs w:val="20"/>
                <w:color w:val="auto"/>
              </w:rPr>
            </w:pPr>
            <w:r>
              <w:rPr>
                <w:rFonts w:ascii="Arial" w:cs="Arial" w:eastAsia="Arial" w:hAnsi="Arial"/>
                <w:sz w:val="14"/>
                <w:szCs w:val="14"/>
                <w:b w:val="1"/>
                <w:bCs w:val="1"/>
                <w:color w:val="FFFFFF"/>
              </w:rPr>
              <w:t>Quarter</w:t>
            </w:r>
          </w:p>
        </w:tc>
        <w:tc>
          <w:tcPr>
            <w:tcW w:w="840" w:type="dxa"/>
            <w:vAlign w:val="bottom"/>
            <w:tcBorders>
              <w:top w:val="single" w:sz="8" w:color="auto"/>
              <w:right w:val="single" w:sz="8" w:color="auto"/>
            </w:tcBorders>
            <w:shd w:val="clear" w:color="auto" w:fill="2AD2C9"/>
          </w:tcPr>
          <w:p>
            <w:pPr>
              <w:spacing w:after="0"/>
              <w:rPr>
                <w:sz w:val="13"/>
                <w:szCs w:val="13"/>
                <w:color w:val="auto"/>
              </w:rPr>
            </w:pPr>
          </w:p>
        </w:tc>
        <w:tc>
          <w:tcPr>
            <w:tcW w:w="1460" w:type="dxa"/>
            <w:vAlign w:val="bottom"/>
            <w:tcBorders>
              <w:top w:val="single" w:sz="8" w:color="auto"/>
            </w:tcBorders>
            <w:shd w:val="clear" w:color="auto" w:fill="2AD2C9"/>
          </w:tcPr>
          <w:p>
            <w:pPr>
              <w:jc w:val="right"/>
              <w:ind w:right="48"/>
              <w:spacing w:after="0" w:line="159" w:lineRule="exact"/>
              <w:rPr>
                <w:sz w:val="20"/>
                <w:szCs w:val="20"/>
                <w:color w:val="auto"/>
              </w:rPr>
            </w:pPr>
            <w:r>
              <w:rPr>
                <w:rFonts w:ascii="Arial" w:cs="Arial" w:eastAsia="Arial" w:hAnsi="Arial"/>
                <w:sz w:val="14"/>
                <w:szCs w:val="14"/>
                <w:b w:val="1"/>
                <w:bCs w:val="1"/>
                <w:color w:val="FFFFFF"/>
              </w:rPr>
              <w:t>% change</w:t>
            </w:r>
          </w:p>
        </w:tc>
        <w:tc>
          <w:tcPr>
            <w:tcW w:w="580" w:type="dxa"/>
            <w:vAlign w:val="bottom"/>
            <w:tcBorders>
              <w:top w:val="single" w:sz="8" w:color="auto"/>
              <w:right w:val="single" w:sz="8" w:color="auto"/>
            </w:tcBorders>
            <w:shd w:val="clear" w:color="auto" w:fill="2AD2C9"/>
          </w:tcPr>
          <w:p>
            <w:pPr>
              <w:spacing w:after="0"/>
              <w:rPr>
                <w:sz w:val="13"/>
                <w:szCs w:val="13"/>
                <w:color w:val="auto"/>
              </w:rPr>
            </w:pPr>
          </w:p>
        </w:tc>
      </w:tr>
      <w:tr>
        <w:trPr>
          <w:trHeight w:val="177"/>
        </w:trPr>
        <w:tc>
          <w:tcPr>
            <w:tcW w:w="396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 000</w:t>
            </w:r>
          </w:p>
        </w:tc>
        <w:tc>
          <w:tcPr>
            <w:tcW w:w="1120" w:type="dxa"/>
            <w:vAlign w:val="bottom"/>
            <w:shd w:val="clear" w:color="auto" w:fill="2AD2C9"/>
          </w:tcPr>
          <w:p>
            <w:pPr>
              <w:jc w:val="right"/>
              <w:ind w:right="68"/>
              <w:spacing w:after="0"/>
              <w:rPr>
                <w:sz w:val="20"/>
                <w:szCs w:val="20"/>
                <w:color w:val="auto"/>
              </w:rPr>
            </w:pPr>
            <w:r>
              <w:rPr>
                <w:rFonts w:ascii="Arial" w:cs="Arial" w:eastAsia="Arial" w:hAnsi="Arial"/>
                <w:sz w:val="14"/>
                <w:szCs w:val="14"/>
                <w:b w:val="1"/>
                <w:bCs w:val="1"/>
                <w:color w:val="FFFFFF"/>
              </w:rPr>
              <w:t>1Q21</w:t>
            </w:r>
          </w:p>
        </w:tc>
        <w:tc>
          <w:tcPr>
            <w:tcW w:w="1060" w:type="dxa"/>
            <w:vAlign w:val="bottom"/>
            <w:shd w:val="clear" w:color="auto" w:fill="2AD2C9"/>
          </w:tcPr>
          <w:p>
            <w:pPr>
              <w:jc w:val="right"/>
              <w:ind w:right="108"/>
              <w:spacing w:after="0"/>
              <w:rPr>
                <w:sz w:val="20"/>
                <w:szCs w:val="20"/>
                <w:color w:val="auto"/>
              </w:rPr>
            </w:pPr>
            <w:r>
              <w:rPr>
                <w:rFonts w:ascii="Arial" w:cs="Arial" w:eastAsia="Arial" w:hAnsi="Arial"/>
                <w:sz w:val="14"/>
                <w:szCs w:val="14"/>
                <w:b w:val="1"/>
                <w:bCs w:val="1"/>
                <w:color w:val="FFFFFF"/>
              </w:rPr>
              <w:t>4Q21</w:t>
            </w:r>
          </w:p>
        </w:tc>
        <w:tc>
          <w:tcPr>
            <w:tcW w:w="840" w:type="dxa"/>
            <w:vAlign w:val="bottom"/>
            <w:tcBorders>
              <w:right w:val="single" w:sz="8" w:color="auto"/>
            </w:tcBorders>
            <w:shd w:val="clear" w:color="auto" w:fill="2AD2C9"/>
          </w:tcPr>
          <w:p>
            <w:pPr>
              <w:jc w:val="right"/>
              <w:spacing w:after="0"/>
              <w:rPr>
                <w:sz w:val="20"/>
                <w:szCs w:val="20"/>
                <w:color w:val="auto"/>
              </w:rPr>
            </w:pPr>
            <w:r>
              <w:rPr>
                <w:rFonts w:ascii="Arial" w:cs="Arial" w:eastAsia="Arial" w:hAnsi="Arial"/>
                <w:sz w:val="14"/>
                <w:szCs w:val="14"/>
                <w:b w:val="1"/>
                <w:bCs w:val="1"/>
                <w:color w:val="FFFFFF"/>
              </w:rPr>
              <w:t>1Q22</w:t>
            </w:r>
          </w:p>
        </w:tc>
        <w:tc>
          <w:tcPr>
            <w:tcW w:w="1460" w:type="dxa"/>
            <w:vAlign w:val="bottom"/>
            <w:shd w:val="clear" w:color="auto" w:fill="2AD2C9"/>
          </w:tcPr>
          <w:p>
            <w:pPr>
              <w:jc w:val="right"/>
              <w:ind w:right="388"/>
              <w:spacing w:after="0"/>
              <w:rPr>
                <w:sz w:val="20"/>
                <w:szCs w:val="20"/>
                <w:color w:val="auto"/>
              </w:rPr>
            </w:pPr>
            <w:r>
              <w:rPr>
                <w:rFonts w:ascii="Arial" w:cs="Arial" w:eastAsia="Arial" w:hAnsi="Arial"/>
                <w:sz w:val="14"/>
                <w:szCs w:val="14"/>
                <w:b w:val="1"/>
                <w:bCs w:val="1"/>
                <w:color w:val="FFFFFF"/>
              </w:rPr>
              <w:t>QoQ</w:t>
            </w:r>
          </w:p>
        </w:tc>
        <w:tc>
          <w:tcPr>
            <w:tcW w:w="580" w:type="dxa"/>
            <w:vAlign w:val="bottom"/>
            <w:tcBorders>
              <w:right w:val="single" w:sz="8" w:color="auto"/>
            </w:tcBorders>
            <w:shd w:val="clear" w:color="auto" w:fill="2AD2C9"/>
          </w:tcPr>
          <w:p>
            <w:pPr>
              <w:jc w:val="right"/>
              <w:spacing w:after="0"/>
              <w:rPr>
                <w:sz w:val="20"/>
                <w:szCs w:val="20"/>
                <w:color w:val="auto"/>
              </w:rPr>
            </w:pPr>
            <w:r>
              <w:rPr>
                <w:rFonts w:ascii="Arial" w:cs="Arial" w:eastAsia="Arial" w:hAnsi="Arial"/>
                <w:sz w:val="14"/>
                <w:szCs w:val="14"/>
                <w:b w:val="1"/>
                <w:bCs w:val="1"/>
                <w:color w:val="FFFFFF"/>
              </w:rPr>
              <w:t>YoY</w:t>
            </w:r>
          </w:p>
        </w:tc>
      </w:tr>
      <w:tr>
        <w:trPr>
          <w:trHeight w:val="148"/>
        </w:trPr>
        <w:tc>
          <w:tcPr>
            <w:tcW w:w="396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color w:val="auto"/>
              </w:rPr>
              <w:t>Salaries and employees benefits</w:t>
            </w:r>
          </w:p>
        </w:tc>
        <w:tc>
          <w:tcPr>
            <w:tcW w:w="1120" w:type="dxa"/>
            <w:vAlign w:val="bottom"/>
          </w:tcPr>
          <w:p>
            <w:pPr>
              <w:jc w:val="right"/>
              <w:ind w:right="68"/>
              <w:spacing w:after="0" w:line="148" w:lineRule="exact"/>
              <w:rPr>
                <w:sz w:val="20"/>
                <w:szCs w:val="20"/>
                <w:color w:val="auto"/>
              </w:rPr>
            </w:pPr>
            <w:r>
              <w:rPr>
                <w:rFonts w:ascii="Arial" w:cs="Arial" w:eastAsia="Arial" w:hAnsi="Arial"/>
                <w:sz w:val="14"/>
                <w:szCs w:val="14"/>
                <w:color w:val="auto"/>
              </w:rPr>
              <w:t>857,559</w:t>
            </w:r>
          </w:p>
        </w:tc>
        <w:tc>
          <w:tcPr>
            <w:tcW w:w="1060" w:type="dxa"/>
            <w:vAlign w:val="bottom"/>
          </w:tcPr>
          <w:p>
            <w:pPr>
              <w:jc w:val="right"/>
              <w:ind w:right="108"/>
              <w:spacing w:after="0" w:line="148" w:lineRule="exact"/>
              <w:rPr>
                <w:sz w:val="20"/>
                <w:szCs w:val="20"/>
                <w:color w:val="auto"/>
              </w:rPr>
            </w:pPr>
            <w:r>
              <w:rPr>
                <w:rFonts w:ascii="Arial" w:cs="Arial" w:eastAsia="Arial" w:hAnsi="Arial"/>
                <w:sz w:val="14"/>
                <w:szCs w:val="14"/>
                <w:color w:val="auto"/>
              </w:rPr>
              <w:t>1,013,176</w:t>
            </w:r>
          </w:p>
        </w:tc>
        <w:tc>
          <w:tcPr>
            <w:tcW w:w="84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977,953</w:t>
            </w:r>
          </w:p>
        </w:tc>
        <w:tc>
          <w:tcPr>
            <w:tcW w:w="1460" w:type="dxa"/>
            <w:vAlign w:val="bottom"/>
          </w:tcPr>
          <w:p>
            <w:pPr>
              <w:jc w:val="right"/>
              <w:ind w:right="388"/>
              <w:spacing w:after="0" w:line="148" w:lineRule="exact"/>
              <w:rPr>
                <w:sz w:val="20"/>
                <w:szCs w:val="20"/>
                <w:color w:val="auto"/>
              </w:rPr>
            </w:pPr>
            <w:r>
              <w:rPr>
                <w:rFonts w:ascii="Arial" w:cs="Arial" w:eastAsia="Arial" w:hAnsi="Arial"/>
                <w:sz w:val="14"/>
                <w:szCs w:val="14"/>
                <w:color w:val="auto"/>
              </w:rPr>
              <w:t>-3.5%</w:t>
            </w:r>
          </w:p>
        </w:tc>
        <w:tc>
          <w:tcPr>
            <w:tcW w:w="5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14.0%</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Administrative, general and tax expenses</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580,842</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899,290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725,539</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-19.3%</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24.9%</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166,765</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181,660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164,514</w:t>
            </w:r>
          </w:p>
        </w:tc>
        <w:tc>
          <w:tcPr>
            <w:tcW w:w="1460" w:type="dxa"/>
            <w:vAlign w:val="bottom"/>
          </w:tcPr>
          <w:p>
            <w:pPr>
              <w:jc w:val="right"/>
              <w:ind w:right="388"/>
              <w:spacing w:after="0"/>
              <w:rPr>
                <w:sz w:val="20"/>
                <w:szCs w:val="20"/>
                <w:color w:val="auto"/>
              </w:rPr>
            </w:pPr>
            <w:r>
              <w:rPr>
                <w:rFonts w:ascii="Arial" w:cs="Arial" w:eastAsia="Arial" w:hAnsi="Arial"/>
                <w:sz w:val="14"/>
                <w:szCs w:val="14"/>
                <w:color w:val="auto"/>
              </w:rPr>
              <w:t>-9.4%</w:t>
            </w:r>
          </w:p>
        </w:tc>
        <w:tc>
          <w:tcPr>
            <w:tcW w:w="5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54"/>
        </w:trPr>
        <w:tc>
          <w:tcPr>
            <w:tcW w:w="396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4"/>
                <w:szCs w:val="14"/>
                <w:color w:val="auto"/>
              </w:rPr>
              <w:t>Association in participation</w:t>
            </w:r>
          </w:p>
        </w:tc>
        <w:tc>
          <w:tcPr>
            <w:tcW w:w="1120" w:type="dxa"/>
            <w:vAlign w:val="bottom"/>
          </w:tcPr>
          <w:p>
            <w:pPr>
              <w:jc w:val="right"/>
              <w:ind w:right="68"/>
              <w:spacing w:after="0" w:line="154" w:lineRule="exact"/>
              <w:rPr>
                <w:sz w:val="20"/>
                <w:szCs w:val="20"/>
                <w:color w:val="auto"/>
              </w:rPr>
            </w:pPr>
            <w:r>
              <w:rPr>
                <w:rFonts w:ascii="Arial" w:cs="Arial" w:eastAsia="Arial" w:hAnsi="Arial"/>
                <w:sz w:val="14"/>
                <w:szCs w:val="14"/>
                <w:color w:val="auto"/>
              </w:rPr>
              <w:t>13,906</w:t>
            </w:r>
          </w:p>
        </w:tc>
        <w:tc>
          <w:tcPr>
            <w:tcW w:w="1060" w:type="dxa"/>
            <w:vAlign w:val="bottom"/>
          </w:tcPr>
          <w:p>
            <w:pPr>
              <w:jc w:val="right"/>
              <w:ind w:right="108"/>
              <w:spacing w:after="0" w:line="154" w:lineRule="exact"/>
              <w:rPr>
                <w:sz w:val="20"/>
                <w:szCs w:val="20"/>
                <w:color w:val="auto"/>
              </w:rPr>
            </w:pPr>
            <w:r>
              <w:rPr>
                <w:rFonts w:ascii="Arial" w:cs="Arial" w:eastAsia="Arial" w:hAnsi="Arial"/>
                <w:sz w:val="14"/>
                <w:szCs w:val="14"/>
                <w:color w:val="auto"/>
              </w:rPr>
              <w:t>13,965</w:t>
            </w:r>
          </w:p>
        </w:tc>
        <w:tc>
          <w:tcPr>
            <w:tcW w:w="84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7,691</w:t>
            </w:r>
          </w:p>
        </w:tc>
        <w:tc>
          <w:tcPr>
            <w:tcW w:w="1460" w:type="dxa"/>
            <w:vAlign w:val="bottom"/>
          </w:tcPr>
          <w:p>
            <w:pPr>
              <w:jc w:val="right"/>
              <w:ind w:right="388"/>
              <w:spacing w:after="0" w:line="154" w:lineRule="exact"/>
              <w:rPr>
                <w:sz w:val="20"/>
                <w:szCs w:val="20"/>
                <w:color w:val="auto"/>
              </w:rPr>
            </w:pPr>
            <w:r>
              <w:rPr>
                <w:rFonts w:ascii="Arial" w:cs="Arial" w:eastAsia="Arial" w:hAnsi="Arial"/>
                <w:sz w:val="14"/>
                <w:szCs w:val="14"/>
                <w:color w:val="auto"/>
              </w:rPr>
              <w:t>-44.9%</w:t>
            </w:r>
          </w:p>
        </w:tc>
        <w:tc>
          <w:tcPr>
            <w:tcW w:w="580" w:type="dxa"/>
            <w:vAlign w:val="bottom"/>
            <w:tcBorders>
              <w:right w:val="single" w:sz="8" w:color="auto"/>
            </w:tcBorders>
          </w:tcPr>
          <w:p>
            <w:pPr>
              <w:jc w:val="right"/>
              <w:spacing w:after="0" w:line="154" w:lineRule="exact"/>
              <w:rPr>
                <w:sz w:val="20"/>
                <w:szCs w:val="20"/>
                <w:color w:val="auto"/>
              </w:rPr>
            </w:pPr>
            <w:r>
              <w:rPr>
                <w:rFonts w:ascii="Arial" w:cs="Arial" w:eastAsia="Arial" w:hAnsi="Arial"/>
                <w:sz w:val="14"/>
                <w:szCs w:val="14"/>
                <w:color w:val="auto"/>
              </w:rPr>
              <w:t>-44.7%</w:t>
            </w:r>
          </w:p>
        </w:tc>
      </w:tr>
      <w:tr>
        <w:trPr>
          <w:trHeight w:val="186"/>
        </w:trPr>
        <w:tc>
          <w:tcPr>
            <w:tcW w:w="396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85,822</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75,152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70,484</w:t>
            </w:r>
          </w:p>
        </w:tc>
        <w:tc>
          <w:tcPr>
            <w:tcW w:w="14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-6.2%</w:t>
            </w:r>
          </w:p>
        </w:tc>
        <w:tc>
          <w:tcPr>
            <w:tcW w:w="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-17.9%</w:t>
            </w:r>
          </w:p>
        </w:tc>
      </w:tr>
      <w:tr>
        <w:trPr>
          <w:trHeight w:val="153"/>
        </w:trPr>
        <w:tc>
          <w:tcPr>
            <w:tcW w:w="396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color w:val="auto"/>
              </w:rPr>
              <w:t>Operating expenses</w:t>
            </w:r>
          </w:p>
        </w:tc>
        <w:tc>
          <w:tcPr>
            <w:tcW w:w="112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1,704,894</w:t>
            </w:r>
          </w:p>
        </w:tc>
        <w:tc>
          <w:tcPr>
            <w:tcW w:w="1060" w:type="dxa"/>
            <w:vAlign w:val="bottom"/>
            <w:tcBorders>
              <w:bottom w:val="single" w:sz="8" w:color="auto"/>
            </w:tcBorders>
          </w:tcPr>
          <w:p>
            <w:pPr>
              <w:jc w:val="right"/>
              <w:ind w:right="108"/>
              <w:spacing w:after="0" w:line="153" w:lineRule="exact"/>
              <w:rPr>
                <w:sz w:val="20"/>
                <w:szCs w:val="20"/>
                <w:color w:val="auto"/>
              </w:rPr>
            </w:pPr>
            <w:r>
              <w:rPr>
                <w:rFonts w:ascii="Arial" w:cs="Arial" w:eastAsia="Arial" w:hAnsi="Arial"/>
                <w:sz w:val="14"/>
                <w:szCs w:val="14"/>
                <w:b w:val="1"/>
                <w:bCs w:val="1"/>
                <w:color w:val="auto"/>
              </w:rPr>
              <w:t>2,183,243</w:t>
            </w:r>
          </w:p>
        </w:tc>
        <w:tc>
          <w:tcPr>
            <w:tcW w:w="84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1,946,181</w:t>
            </w:r>
          </w:p>
        </w:tc>
        <w:tc>
          <w:tcPr>
            <w:tcW w:w="1460" w:type="dxa"/>
            <w:vAlign w:val="bottom"/>
            <w:tcBorders>
              <w:bottom w:val="single" w:sz="8" w:color="auto"/>
            </w:tcBorders>
          </w:tcPr>
          <w:p>
            <w:pPr>
              <w:jc w:val="right"/>
              <w:ind w:right="388"/>
              <w:spacing w:after="0" w:line="153" w:lineRule="exact"/>
              <w:rPr>
                <w:sz w:val="20"/>
                <w:szCs w:val="20"/>
                <w:color w:val="auto"/>
              </w:rPr>
            </w:pPr>
            <w:r>
              <w:rPr>
                <w:rFonts w:ascii="Arial" w:cs="Arial" w:eastAsia="Arial" w:hAnsi="Arial"/>
                <w:sz w:val="14"/>
                <w:szCs w:val="14"/>
                <w:b w:val="1"/>
                <w:bCs w:val="1"/>
                <w:color w:val="auto"/>
              </w:rPr>
              <w:t>-10.9%</w:t>
            </w:r>
          </w:p>
        </w:tc>
        <w:tc>
          <w:tcPr>
            <w:tcW w:w="580" w:type="dxa"/>
            <w:vAlign w:val="bottom"/>
            <w:tcBorders>
              <w:bottom w:val="single" w:sz="8" w:color="auto"/>
              <w:right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14.2%</w:t>
            </w:r>
          </w:p>
        </w:tc>
      </w:tr>
    </w:tbl>
    <w:p>
      <w:pPr>
        <w:ind w:left="780"/>
        <w:spacing w:after="0"/>
        <w:rPr>
          <w:sz w:val="20"/>
          <w:szCs w:val="20"/>
          <w:color w:val="auto"/>
        </w:rPr>
      </w:pPr>
      <w:r>
        <w:rPr>
          <w:rFonts w:ascii="Times New Roman" w:cs="Times New Roman" w:eastAsia="Times New Roman" w:hAnsi="Times New Roman"/>
          <w:sz w:val="9"/>
          <w:szCs w:val="9"/>
          <w:color w:val="auto"/>
        </w:rPr>
        <w:t>(1) The acquisition cost of Pacifico includes net fees and underwriting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QoQ, </w:t>
      </w:r>
      <w:r>
        <w:rPr>
          <w:rFonts w:ascii="Times New Roman" w:cs="Times New Roman" w:eastAsia="Times New Roman" w:hAnsi="Times New Roman"/>
          <w:sz w:val="14"/>
          <w:szCs w:val="14"/>
          <w:color w:val="auto"/>
        </w:rPr>
        <w:t>expenses decreased as the fourth quarter of each year is marked by higher expenses due to seasonality.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Operating expenses rose </w:t>
      </w:r>
      <w:r>
        <w:rPr>
          <w:rFonts w:ascii="Times New Roman" w:cs="Times New Roman" w:eastAsia="Times New Roman" w:hAnsi="Times New Roman"/>
          <w:sz w:val="14"/>
          <w:szCs w:val="14"/>
          <w:b w:val="1"/>
          <w:bCs w:val="1"/>
          <w:color w:val="auto"/>
        </w:rPr>
        <w:t>YoY</w:t>
      </w:r>
      <w:r>
        <w:rPr>
          <w:rFonts w:ascii="Times New Roman" w:cs="Times New Roman" w:eastAsia="Times New Roman" w:hAnsi="Times New Roman"/>
          <w:sz w:val="14"/>
          <w:szCs w:val="14"/>
          <w:color w:val="auto"/>
        </w:rPr>
        <w:t xml:space="preserve"> due to:</w:t>
      </w:r>
    </w:p>
    <w:p>
      <w:pPr>
        <w:spacing w:after="0" w:line="209" w:lineRule="exact"/>
        <w:rPr>
          <w:sz w:val="20"/>
          <w:szCs w:val="20"/>
          <w:color w:val="auto"/>
        </w:rPr>
      </w:pPr>
    </w:p>
    <w:p>
      <w:pPr>
        <w:ind w:left="520" w:hanging="253"/>
        <w:spacing w:after="0" w:line="252"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b w:val="1"/>
          <w:bCs w:val="1"/>
          <w:color w:val="auto"/>
        </w:rPr>
        <w:t xml:space="preserve">Administrative and General Expenses and Taxes </w:t>
      </w:r>
      <w:r>
        <w:rPr>
          <w:rFonts w:ascii="Arial" w:cs="Arial" w:eastAsia="Arial" w:hAnsi="Arial"/>
          <w:sz w:val="14"/>
          <w:szCs w:val="14"/>
          <w:color w:val="auto"/>
        </w:rPr>
        <w:t>rose; this was primarily attributable to growth in transactional cost in a context of higher transacted volumes and to</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 in the digital transformation strategy; and</w:t>
      </w:r>
    </w:p>
    <w:p>
      <w:pPr>
        <w:ind w:left="520" w:hanging="253"/>
        <w:spacing w:after="0" w:line="265" w:lineRule="auto"/>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An increase in </w:t>
      </w:r>
      <w:r>
        <w:rPr>
          <w:rFonts w:ascii="Arial" w:cs="Arial" w:eastAsia="Arial" w:hAnsi="Arial"/>
          <w:sz w:val="14"/>
          <w:szCs w:val="14"/>
          <w:b w:val="1"/>
          <w:bCs w:val="1"/>
          <w:color w:val="auto"/>
        </w:rPr>
        <w:t>Employee Salaries and Social Benefits</w:t>
      </w:r>
      <w:r>
        <w:rPr>
          <w:rFonts w:ascii="Arial" w:cs="Arial" w:eastAsia="Arial" w:hAnsi="Arial"/>
          <w:sz w:val="14"/>
          <w:szCs w:val="14"/>
          <w:color w:val="auto"/>
        </w:rPr>
        <w:t>, which reflects the uptick registered in reserves in the first quarter of the year due to earnings growth this quarter and to moves to hire IT profiles under the organization’s digital transformation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Administrative and general expenses and taxes</w:t>
      </w:r>
    </w:p>
    <w:p>
      <w:pPr>
        <w:spacing w:after="0" w:line="29" w:lineRule="exact"/>
        <w:rPr>
          <w:sz w:val="20"/>
          <w:szCs w:val="20"/>
          <w:color w:val="auto"/>
        </w:rPr>
      </w:pPr>
    </w:p>
    <w:tbl>
      <w:tblPr>
        <w:tblLayout w:type="fixed"/>
        <w:tblInd w:w="1150" w:type="dxa"/>
        <w:tblCellMar>
          <w:top w:w="0" w:type="dxa"/>
          <w:left w:w="0" w:type="dxa"/>
          <w:bottom w:w="0" w:type="dxa"/>
          <w:right w:w="0" w:type="dxa"/>
        </w:tblCellMar>
      </w:tblPr>
      <w:tr>
        <w:trPr>
          <w:trHeight w:val="139"/>
        </w:trPr>
        <w:tc>
          <w:tcPr>
            <w:tcW w:w="3960" w:type="dxa"/>
            <w:vAlign w:val="bottom"/>
            <w:tcBorders>
              <w:top w:val="single" w:sz="8" w:color="auto"/>
              <w:left w:val="single" w:sz="8" w:color="auto"/>
              <w:right w:val="single" w:sz="8" w:color="auto"/>
            </w:tcBorders>
            <w:shd w:val="clear" w:color="auto" w:fill="2AD2C9"/>
          </w:tcPr>
          <w:p>
            <w:pPr>
              <w:ind w:left="20"/>
              <w:spacing w:after="0" w:line="139" w:lineRule="exact"/>
              <w:rPr>
                <w:sz w:val="20"/>
                <w:szCs w:val="20"/>
                <w:color w:val="auto"/>
              </w:rPr>
            </w:pPr>
            <w:r>
              <w:rPr>
                <w:rFonts w:ascii="Arial" w:cs="Arial" w:eastAsia="Arial" w:hAnsi="Arial"/>
                <w:sz w:val="14"/>
                <w:szCs w:val="14"/>
                <w:b w:val="1"/>
                <w:bCs w:val="1"/>
                <w:color w:val="FFFFFF"/>
              </w:rPr>
              <w:t>Administrative general, and tax expenses</w:t>
            </w:r>
          </w:p>
        </w:tc>
        <w:tc>
          <w:tcPr>
            <w:tcW w:w="1000" w:type="dxa"/>
            <w:vAlign w:val="bottom"/>
            <w:tcBorders>
              <w:top w:val="single" w:sz="8" w:color="auto"/>
            </w:tcBorders>
            <w:shd w:val="clear" w:color="auto" w:fill="2AD2C9"/>
          </w:tcPr>
          <w:p>
            <w:pPr>
              <w:spacing w:after="0"/>
              <w:rPr>
                <w:sz w:val="12"/>
                <w:szCs w:val="12"/>
                <w:color w:val="auto"/>
              </w:rPr>
            </w:pPr>
          </w:p>
        </w:tc>
        <w:tc>
          <w:tcPr>
            <w:tcW w:w="1000" w:type="dxa"/>
            <w:vAlign w:val="bottom"/>
            <w:tcBorders>
              <w:top w:val="single" w:sz="8" w:color="auto"/>
            </w:tcBorders>
            <w:shd w:val="clear" w:color="auto" w:fill="2AD2C9"/>
          </w:tcPr>
          <w:p>
            <w:pPr>
              <w:ind w:left="240"/>
              <w:spacing w:after="0" w:line="139" w:lineRule="exact"/>
              <w:rPr>
                <w:sz w:val="20"/>
                <w:szCs w:val="20"/>
                <w:color w:val="auto"/>
              </w:rPr>
            </w:pPr>
            <w:r>
              <w:rPr>
                <w:rFonts w:ascii="Arial" w:cs="Arial" w:eastAsia="Arial" w:hAnsi="Arial"/>
                <w:sz w:val="14"/>
                <w:szCs w:val="14"/>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2"/>
                <w:szCs w:val="12"/>
                <w:color w:val="auto"/>
              </w:rPr>
            </w:pPr>
          </w:p>
        </w:tc>
        <w:tc>
          <w:tcPr>
            <w:tcW w:w="2040" w:type="dxa"/>
            <w:vAlign w:val="bottom"/>
            <w:tcBorders>
              <w:top w:val="single" w:sz="8" w:color="auto"/>
              <w:right w:val="single" w:sz="8" w:color="auto"/>
            </w:tcBorders>
            <w:gridSpan w:val="2"/>
            <w:shd w:val="clear" w:color="auto" w:fill="2AD2C9"/>
          </w:tcPr>
          <w:p>
            <w:pPr>
              <w:ind w:left="660"/>
              <w:spacing w:after="0" w:line="139" w:lineRule="exact"/>
              <w:rPr>
                <w:sz w:val="20"/>
                <w:szCs w:val="20"/>
                <w:color w:val="auto"/>
              </w:rPr>
            </w:pPr>
            <w:r>
              <w:rPr>
                <w:rFonts w:ascii="Arial" w:cs="Arial" w:eastAsia="Arial" w:hAnsi="Arial"/>
                <w:sz w:val="14"/>
                <w:szCs w:val="14"/>
                <w:b w:val="1"/>
                <w:bCs w:val="1"/>
                <w:color w:val="FFFFFF"/>
              </w:rPr>
              <w:t>% change</w:t>
            </w:r>
          </w:p>
        </w:tc>
      </w:tr>
      <w:tr>
        <w:trPr>
          <w:trHeight w:val="177"/>
        </w:trPr>
        <w:tc>
          <w:tcPr>
            <w:tcW w:w="396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S/000</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1Q21</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4Q21</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1Q22</w:t>
            </w:r>
          </w:p>
        </w:tc>
        <w:tc>
          <w:tcPr>
            <w:tcW w:w="104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QoQ</w:t>
            </w:r>
          </w:p>
        </w:tc>
        <w:tc>
          <w:tcPr>
            <w:tcW w:w="100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4"/>
                <w:szCs w:val="14"/>
                <w:b w:val="1"/>
                <w:bCs w:val="1"/>
                <w:color w:val="FFFFFF"/>
              </w:rPr>
              <w:t>YoY</w:t>
            </w:r>
          </w:p>
        </w:tc>
      </w:tr>
      <w:tr>
        <w:trPr>
          <w:trHeight w:val="139"/>
        </w:trPr>
        <w:tc>
          <w:tcPr>
            <w:tcW w:w="3960" w:type="dxa"/>
            <w:vAlign w:val="bottom"/>
            <w:tcBorders>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color w:val="auto"/>
              </w:rPr>
              <w:t>IT expenses and IT third-party services</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137,033</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234,556</w:t>
            </w:r>
          </w:p>
        </w:tc>
        <w:tc>
          <w:tcPr>
            <w:tcW w:w="102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200,757</w:t>
            </w:r>
          </w:p>
        </w:tc>
        <w:tc>
          <w:tcPr>
            <w:tcW w:w="1040" w:type="dxa"/>
            <w:vAlign w:val="bottom"/>
          </w:tcPr>
          <w:p>
            <w:pPr>
              <w:jc w:val="center"/>
              <w:spacing w:after="0" w:line="139" w:lineRule="exact"/>
              <w:rPr>
                <w:sz w:val="20"/>
                <w:szCs w:val="20"/>
                <w:color w:val="auto"/>
              </w:rPr>
            </w:pPr>
            <w:r>
              <w:rPr>
                <w:rFonts w:ascii="Arial" w:cs="Arial" w:eastAsia="Arial" w:hAnsi="Arial"/>
                <w:sz w:val="14"/>
                <w:szCs w:val="14"/>
                <w:color w:val="auto"/>
              </w:rPr>
              <w:t>-14.4%</w:t>
            </w:r>
          </w:p>
        </w:tc>
        <w:tc>
          <w:tcPr>
            <w:tcW w:w="10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46.5%</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Advertising and customer loyalty programs</w:t>
            </w:r>
          </w:p>
        </w:tc>
        <w:tc>
          <w:tcPr>
            <w:tcW w:w="1000" w:type="dxa"/>
            <w:vAlign w:val="bottom"/>
          </w:tcPr>
          <w:p>
            <w:pPr>
              <w:jc w:val="center"/>
              <w:spacing w:after="0"/>
              <w:rPr>
                <w:sz w:val="20"/>
                <w:szCs w:val="20"/>
                <w:color w:val="auto"/>
              </w:rPr>
            </w:pPr>
            <w:r>
              <w:rPr>
                <w:rFonts w:ascii="Arial" w:cs="Arial" w:eastAsia="Arial" w:hAnsi="Arial"/>
                <w:sz w:val="14"/>
                <w:szCs w:val="14"/>
                <w:color w:val="auto"/>
              </w:rPr>
              <w:t>72,326</w:t>
            </w:r>
          </w:p>
        </w:tc>
        <w:tc>
          <w:tcPr>
            <w:tcW w:w="1000" w:type="dxa"/>
            <w:vAlign w:val="bottom"/>
          </w:tcPr>
          <w:p>
            <w:pPr>
              <w:jc w:val="center"/>
              <w:spacing w:after="0"/>
              <w:rPr>
                <w:sz w:val="20"/>
                <w:szCs w:val="20"/>
                <w:color w:val="auto"/>
              </w:rPr>
            </w:pPr>
            <w:r>
              <w:rPr>
                <w:rFonts w:ascii="Arial" w:cs="Arial" w:eastAsia="Arial" w:hAnsi="Arial"/>
                <w:sz w:val="14"/>
                <w:szCs w:val="14"/>
                <w:color w:val="auto"/>
              </w:rPr>
              <w:t>76,266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110,497</w:t>
            </w:r>
          </w:p>
        </w:tc>
        <w:tc>
          <w:tcPr>
            <w:tcW w:w="1040" w:type="dxa"/>
            <w:vAlign w:val="bottom"/>
          </w:tcPr>
          <w:p>
            <w:pPr>
              <w:jc w:val="center"/>
              <w:spacing w:after="0"/>
              <w:rPr>
                <w:sz w:val="20"/>
                <w:szCs w:val="20"/>
                <w:color w:val="auto"/>
              </w:rPr>
            </w:pPr>
            <w:r>
              <w:rPr>
                <w:rFonts w:ascii="Arial" w:cs="Arial" w:eastAsia="Arial" w:hAnsi="Arial"/>
                <w:sz w:val="14"/>
                <w:szCs w:val="14"/>
                <w:color w:val="auto"/>
              </w:rPr>
              <w:t>44.9%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52.8%</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Audit Services, Consulting and professional fees</w:t>
            </w:r>
          </w:p>
        </w:tc>
        <w:tc>
          <w:tcPr>
            <w:tcW w:w="1000" w:type="dxa"/>
            <w:vAlign w:val="bottom"/>
          </w:tcPr>
          <w:p>
            <w:pPr>
              <w:jc w:val="center"/>
              <w:spacing w:after="0"/>
              <w:rPr>
                <w:sz w:val="20"/>
                <w:szCs w:val="20"/>
                <w:color w:val="auto"/>
              </w:rPr>
            </w:pPr>
            <w:r>
              <w:rPr>
                <w:rFonts w:ascii="Arial" w:cs="Arial" w:eastAsia="Arial" w:hAnsi="Arial"/>
                <w:sz w:val="14"/>
                <w:szCs w:val="14"/>
                <w:color w:val="auto"/>
              </w:rPr>
              <w:t>68,808</w:t>
            </w:r>
          </w:p>
        </w:tc>
        <w:tc>
          <w:tcPr>
            <w:tcW w:w="1000" w:type="dxa"/>
            <w:vAlign w:val="bottom"/>
          </w:tcPr>
          <w:p>
            <w:pPr>
              <w:jc w:val="center"/>
              <w:spacing w:after="0"/>
              <w:rPr>
                <w:sz w:val="20"/>
                <w:szCs w:val="20"/>
                <w:color w:val="auto"/>
              </w:rPr>
            </w:pPr>
            <w:r>
              <w:rPr>
                <w:rFonts w:ascii="Arial" w:cs="Arial" w:eastAsia="Arial" w:hAnsi="Arial"/>
                <w:sz w:val="14"/>
                <w:szCs w:val="14"/>
                <w:color w:val="auto"/>
              </w:rPr>
              <w:t>185,896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74,063</w:t>
            </w:r>
          </w:p>
        </w:tc>
        <w:tc>
          <w:tcPr>
            <w:tcW w:w="1040" w:type="dxa"/>
            <w:vAlign w:val="bottom"/>
          </w:tcPr>
          <w:p>
            <w:pPr>
              <w:jc w:val="center"/>
              <w:spacing w:after="0"/>
              <w:rPr>
                <w:sz w:val="20"/>
                <w:szCs w:val="20"/>
                <w:color w:val="auto"/>
              </w:rPr>
            </w:pPr>
            <w:r>
              <w:rPr>
                <w:rFonts w:ascii="Arial" w:cs="Arial" w:eastAsia="Arial" w:hAnsi="Arial"/>
                <w:sz w:val="14"/>
                <w:szCs w:val="14"/>
                <w:color w:val="auto"/>
              </w:rPr>
              <w:t>-60.2%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Taxes and contributions</w:t>
            </w:r>
          </w:p>
        </w:tc>
        <w:tc>
          <w:tcPr>
            <w:tcW w:w="1000" w:type="dxa"/>
            <w:vAlign w:val="bottom"/>
          </w:tcPr>
          <w:p>
            <w:pPr>
              <w:jc w:val="center"/>
              <w:spacing w:after="0"/>
              <w:rPr>
                <w:sz w:val="20"/>
                <w:szCs w:val="20"/>
                <w:color w:val="auto"/>
              </w:rPr>
            </w:pPr>
            <w:r>
              <w:rPr>
                <w:rFonts w:ascii="Arial" w:cs="Arial" w:eastAsia="Arial" w:hAnsi="Arial"/>
                <w:sz w:val="14"/>
                <w:szCs w:val="14"/>
                <w:color w:val="auto"/>
              </w:rPr>
              <w:t>41,725</w:t>
            </w:r>
          </w:p>
        </w:tc>
        <w:tc>
          <w:tcPr>
            <w:tcW w:w="1000" w:type="dxa"/>
            <w:vAlign w:val="bottom"/>
          </w:tcPr>
          <w:p>
            <w:pPr>
              <w:jc w:val="center"/>
              <w:spacing w:after="0"/>
              <w:rPr>
                <w:sz w:val="20"/>
                <w:szCs w:val="20"/>
                <w:color w:val="auto"/>
              </w:rPr>
            </w:pPr>
            <w:r>
              <w:rPr>
                <w:rFonts w:ascii="Arial" w:cs="Arial" w:eastAsia="Arial" w:hAnsi="Arial"/>
                <w:sz w:val="14"/>
                <w:szCs w:val="14"/>
                <w:color w:val="auto"/>
              </w:rPr>
              <w:t>62,644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52,518</w:t>
            </w:r>
          </w:p>
        </w:tc>
        <w:tc>
          <w:tcPr>
            <w:tcW w:w="1040" w:type="dxa"/>
            <w:vAlign w:val="bottom"/>
          </w:tcPr>
          <w:p>
            <w:pPr>
              <w:jc w:val="center"/>
              <w:spacing w:after="0"/>
              <w:rPr>
                <w:sz w:val="20"/>
                <w:szCs w:val="20"/>
                <w:color w:val="auto"/>
              </w:rPr>
            </w:pPr>
            <w:r>
              <w:rPr>
                <w:rFonts w:ascii="Arial" w:cs="Arial" w:eastAsia="Arial" w:hAnsi="Arial"/>
                <w:sz w:val="14"/>
                <w:szCs w:val="14"/>
                <w:color w:val="auto"/>
              </w:rPr>
              <w:t>-16.2%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25.9%</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Infrastructure maintenance and repair</w:t>
            </w:r>
          </w:p>
        </w:tc>
        <w:tc>
          <w:tcPr>
            <w:tcW w:w="1000" w:type="dxa"/>
            <w:vAlign w:val="bottom"/>
          </w:tcPr>
          <w:p>
            <w:pPr>
              <w:jc w:val="center"/>
              <w:spacing w:after="0"/>
              <w:rPr>
                <w:sz w:val="20"/>
                <w:szCs w:val="20"/>
                <w:color w:val="auto"/>
              </w:rPr>
            </w:pPr>
            <w:r>
              <w:rPr>
                <w:rFonts w:ascii="Arial" w:cs="Arial" w:eastAsia="Arial" w:hAnsi="Arial"/>
                <w:sz w:val="14"/>
                <w:szCs w:val="14"/>
                <w:color w:val="auto"/>
              </w:rPr>
              <w:t>27,443</w:t>
            </w:r>
          </w:p>
        </w:tc>
        <w:tc>
          <w:tcPr>
            <w:tcW w:w="1000" w:type="dxa"/>
            <w:vAlign w:val="bottom"/>
          </w:tcPr>
          <w:p>
            <w:pPr>
              <w:jc w:val="center"/>
              <w:spacing w:after="0"/>
              <w:rPr>
                <w:sz w:val="20"/>
                <w:szCs w:val="20"/>
                <w:color w:val="auto"/>
              </w:rPr>
            </w:pPr>
            <w:r>
              <w:rPr>
                <w:rFonts w:ascii="Arial" w:cs="Arial" w:eastAsia="Arial" w:hAnsi="Arial"/>
                <w:sz w:val="14"/>
                <w:szCs w:val="14"/>
                <w:color w:val="auto"/>
              </w:rPr>
              <w:t>97,026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29,939</w:t>
            </w:r>
          </w:p>
        </w:tc>
        <w:tc>
          <w:tcPr>
            <w:tcW w:w="1040" w:type="dxa"/>
            <w:vAlign w:val="bottom"/>
          </w:tcPr>
          <w:p>
            <w:pPr>
              <w:jc w:val="center"/>
              <w:spacing w:after="0"/>
              <w:rPr>
                <w:sz w:val="20"/>
                <w:szCs w:val="20"/>
                <w:color w:val="auto"/>
              </w:rPr>
            </w:pPr>
            <w:r>
              <w:rPr>
                <w:rFonts w:ascii="Arial" w:cs="Arial" w:eastAsia="Arial" w:hAnsi="Arial"/>
                <w:sz w:val="14"/>
                <w:szCs w:val="14"/>
                <w:color w:val="auto"/>
              </w:rPr>
              <w:t>-69.1%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9.1%</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Transport and communications</w:t>
            </w:r>
          </w:p>
        </w:tc>
        <w:tc>
          <w:tcPr>
            <w:tcW w:w="1000" w:type="dxa"/>
            <w:vAlign w:val="bottom"/>
          </w:tcPr>
          <w:p>
            <w:pPr>
              <w:jc w:val="center"/>
              <w:spacing w:after="0"/>
              <w:rPr>
                <w:sz w:val="20"/>
                <w:szCs w:val="20"/>
                <w:color w:val="auto"/>
              </w:rPr>
            </w:pPr>
            <w:r>
              <w:rPr>
                <w:rFonts w:ascii="Arial" w:cs="Arial" w:eastAsia="Arial" w:hAnsi="Arial"/>
                <w:sz w:val="14"/>
                <w:szCs w:val="14"/>
                <w:color w:val="auto"/>
              </w:rPr>
              <w:t>40,382</w:t>
            </w:r>
          </w:p>
        </w:tc>
        <w:tc>
          <w:tcPr>
            <w:tcW w:w="1000" w:type="dxa"/>
            <w:vAlign w:val="bottom"/>
          </w:tcPr>
          <w:p>
            <w:pPr>
              <w:jc w:val="center"/>
              <w:spacing w:after="0"/>
              <w:rPr>
                <w:sz w:val="20"/>
                <w:szCs w:val="20"/>
                <w:color w:val="auto"/>
              </w:rPr>
            </w:pPr>
            <w:r>
              <w:rPr>
                <w:rFonts w:ascii="Arial" w:cs="Arial" w:eastAsia="Arial" w:hAnsi="Arial"/>
                <w:sz w:val="14"/>
                <w:szCs w:val="14"/>
                <w:color w:val="auto"/>
              </w:rPr>
              <w:t>66,026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40,164</w:t>
            </w:r>
          </w:p>
        </w:tc>
        <w:tc>
          <w:tcPr>
            <w:tcW w:w="1040" w:type="dxa"/>
            <w:vAlign w:val="bottom"/>
          </w:tcPr>
          <w:p>
            <w:pPr>
              <w:jc w:val="center"/>
              <w:spacing w:after="0"/>
              <w:rPr>
                <w:sz w:val="20"/>
                <w:szCs w:val="20"/>
                <w:color w:val="auto"/>
              </w:rPr>
            </w:pPr>
            <w:r>
              <w:rPr>
                <w:rFonts w:ascii="Arial" w:cs="Arial" w:eastAsia="Arial" w:hAnsi="Arial"/>
                <w:sz w:val="14"/>
                <w:szCs w:val="14"/>
                <w:color w:val="auto"/>
              </w:rPr>
              <w:t>-39.2%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-0.5%</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Agents' Fees</w:t>
            </w:r>
          </w:p>
        </w:tc>
        <w:tc>
          <w:tcPr>
            <w:tcW w:w="1000" w:type="dxa"/>
            <w:vAlign w:val="bottom"/>
          </w:tcPr>
          <w:p>
            <w:pPr>
              <w:jc w:val="center"/>
              <w:spacing w:after="0"/>
              <w:rPr>
                <w:sz w:val="20"/>
                <w:szCs w:val="20"/>
                <w:color w:val="auto"/>
              </w:rPr>
            </w:pPr>
            <w:r>
              <w:rPr>
                <w:rFonts w:ascii="Arial" w:cs="Arial" w:eastAsia="Arial" w:hAnsi="Arial"/>
                <w:sz w:val="14"/>
                <w:szCs w:val="14"/>
                <w:color w:val="auto"/>
              </w:rPr>
              <w:t>25,036</w:t>
            </w:r>
          </w:p>
        </w:tc>
        <w:tc>
          <w:tcPr>
            <w:tcW w:w="1000" w:type="dxa"/>
            <w:vAlign w:val="bottom"/>
          </w:tcPr>
          <w:p>
            <w:pPr>
              <w:jc w:val="center"/>
              <w:spacing w:after="0"/>
              <w:rPr>
                <w:sz w:val="20"/>
                <w:szCs w:val="20"/>
                <w:color w:val="auto"/>
              </w:rPr>
            </w:pPr>
            <w:r>
              <w:rPr>
                <w:rFonts w:ascii="Arial" w:cs="Arial" w:eastAsia="Arial" w:hAnsi="Arial"/>
                <w:sz w:val="14"/>
                <w:szCs w:val="14"/>
                <w:color w:val="auto"/>
              </w:rPr>
              <w:t>27,960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27,018</w:t>
            </w:r>
          </w:p>
        </w:tc>
        <w:tc>
          <w:tcPr>
            <w:tcW w:w="1040" w:type="dxa"/>
            <w:vAlign w:val="bottom"/>
          </w:tcPr>
          <w:p>
            <w:pPr>
              <w:jc w:val="center"/>
              <w:spacing w:after="0"/>
              <w:rPr>
                <w:sz w:val="20"/>
                <w:szCs w:val="20"/>
                <w:color w:val="auto"/>
              </w:rPr>
            </w:pPr>
            <w:r>
              <w:rPr>
                <w:rFonts w:ascii="Arial" w:cs="Arial" w:eastAsia="Arial" w:hAnsi="Arial"/>
                <w:sz w:val="14"/>
                <w:szCs w:val="14"/>
                <w:color w:val="auto"/>
              </w:rPr>
              <w:t>-3.4%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7.9%</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Leases of low value and short-term</w:t>
            </w:r>
          </w:p>
        </w:tc>
        <w:tc>
          <w:tcPr>
            <w:tcW w:w="1000" w:type="dxa"/>
            <w:vAlign w:val="bottom"/>
          </w:tcPr>
          <w:p>
            <w:pPr>
              <w:jc w:val="center"/>
              <w:spacing w:after="0"/>
              <w:rPr>
                <w:sz w:val="20"/>
                <w:szCs w:val="20"/>
                <w:color w:val="auto"/>
              </w:rPr>
            </w:pPr>
            <w:r>
              <w:rPr>
                <w:rFonts w:ascii="Arial" w:cs="Arial" w:eastAsia="Arial" w:hAnsi="Arial"/>
                <w:sz w:val="14"/>
                <w:szCs w:val="14"/>
                <w:color w:val="auto"/>
              </w:rPr>
              <w:t>20,902</w:t>
            </w:r>
          </w:p>
        </w:tc>
        <w:tc>
          <w:tcPr>
            <w:tcW w:w="1000" w:type="dxa"/>
            <w:vAlign w:val="bottom"/>
          </w:tcPr>
          <w:p>
            <w:pPr>
              <w:jc w:val="center"/>
              <w:spacing w:after="0"/>
              <w:rPr>
                <w:sz w:val="20"/>
                <w:szCs w:val="20"/>
                <w:color w:val="auto"/>
              </w:rPr>
            </w:pPr>
            <w:r>
              <w:rPr>
                <w:rFonts w:ascii="Arial" w:cs="Arial" w:eastAsia="Arial" w:hAnsi="Arial"/>
                <w:sz w:val="14"/>
                <w:szCs w:val="14"/>
                <w:color w:val="auto"/>
              </w:rPr>
              <w:t>15,530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20,931</w:t>
            </w:r>
          </w:p>
        </w:tc>
        <w:tc>
          <w:tcPr>
            <w:tcW w:w="1040" w:type="dxa"/>
            <w:vAlign w:val="bottom"/>
          </w:tcPr>
          <w:p>
            <w:pPr>
              <w:jc w:val="center"/>
              <w:spacing w:after="0"/>
              <w:rPr>
                <w:sz w:val="20"/>
                <w:szCs w:val="20"/>
                <w:color w:val="auto"/>
              </w:rPr>
            </w:pPr>
            <w:r>
              <w:rPr>
                <w:rFonts w:ascii="Arial" w:cs="Arial" w:eastAsia="Arial" w:hAnsi="Arial"/>
                <w:sz w:val="14"/>
                <w:szCs w:val="14"/>
                <w:color w:val="auto"/>
              </w:rPr>
              <w:t>34.8%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Miscellaneous supplies</w:t>
            </w:r>
          </w:p>
        </w:tc>
        <w:tc>
          <w:tcPr>
            <w:tcW w:w="1000" w:type="dxa"/>
            <w:vAlign w:val="bottom"/>
          </w:tcPr>
          <w:p>
            <w:pPr>
              <w:jc w:val="center"/>
              <w:spacing w:after="0"/>
              <w:rPr>
                <w:sz w:val="20"/>
                <w:szCs w:val="20"/>
                <w:color w:val="auto"/>
              </w:rPr>
            </w:pPr>
            <w:r>
              <w:rPr>
                <w:rFonts w:ascii="Arial" w:cs="Arial" w:eastAsia="Arial" w:hAnsi="Arial"/>
                <w:sz w:val="14"/>
                <w:szCs w:val="14"/>
                <w:color w:val="auto"/>
              </w:rPr>
              <w:t>14,819</w:t>
            </w:r>
          </w:p>
        </w:tc>
        <w:tc>
          <w:tcPr>
            <w:tcW w:w="1000" w:type="dxa"/>
            <w:vAlign w:val="bottom"/>
          </w:tcPr>
          <w:p>
            <w:pPr>
              <w:jc w:val="center"/>
              <w:spacing w:after="0"/>
              <w:rPr>
                <w:sz w:val="20"/>
                <w:szCs w:val="20"/>
                <w:color w:val="auto"/>
              </w:rPr>
            </w:pPr>
            <w:r>
              <w:rPr>
                <w:rFonts w:ascii="Arial" w:cs="Arial" w:eastAsia="Arial" w:hAnsi="Arial"/>
                <w:sz w:val="14"/>
                <w:szCs w:val="14"/>
                <w:color w:val="auto"/>
              </w:rPr>
              <w:t>15,035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19,077</w:t>
            </w:r>
          </w:p>
        </w:tc>
        <w:tc>
          <w:tcPr>
            <w:tcW w:w="1040" w:type="dxa"/>
            <w:vAlign w:val="bottom"/>
          </w:tcPr>
          <w:p>
            <w:pPr>
              <w:jc w:val="center"/>
              <w:spacing w:after="0"/>
              <w:rPr>
                <w:sz w:val="20"/>
                <w:szCs w:val="20"/>
                <w:color w:val="auto"/>
              </w:rPr>
            </w:pPr>
            <w:r>
              <w:rPr>
                <w:rFonts w:ascii="Arial" w:cs="Arial" w:eastAsia="Arial" w:hAnsi="Arial"/>
                <w:sz w:val="14"/>
                <w:szCs w:val="14"/>
                <w:color w:val="auto"/>
              </w:rPr>
              <w:t>26.9%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28.7%</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Security and protection</w:t>
            </w:r>
          </w:p>
        </w:tc>
        <w:tc>
          <w:tcPr>
            <w:tcW w:w="1000" w:type="dxa"/>
            <w:vAlign w:val="bottom"/>
          </w:tcPr>
          <w:p>
            <w:pPr>
              <w:jc w:val="center"/>
              <w:spacing w:after="0"/>
              <w:rPr>
                <w:sz w:val="20"/>
                <w:szCs w:val="20"/>
                <w:color w:val="auto"/>
              </w:rPr>
            </w:pPr>
            <w:r>
              <w:rPr>
                <w:rFonts w:ascii="Arial" w:cs="Arial" w:eastAsia="Arial" w:hAnsi="Arial"/>
                <w:sz w:val="14"/>
                <w:szCs w:val="14"/>
                <w:color w:val="auto"/>
              </w:rPr>
              <w:t>17,630</w:t>
            </w:r>
          </w:p>
        </w:tc>
        <w:tc>
          <w:tcPr>
            <w:tcW w:w="1000" w:type="dxa"/>
            <w:vAlign w:val="bottom"/>
          </w:tcPr>
          <w:p>
            <w:pPr>
              <w:jc w:val="center"/>
              <w:spacing w:after="0"/>
              <w:rPr>
                <w:sz w:val="20"/>
                <w:szCs w:val="20"/>
                <w:color w:val="auto"/>
              </w:rPr>
            </w:pPr>
            <w:r>
              <w:rPr>
                <w:rFonts w:ascii="Arial" w:cs="Arial" w:eastAsia="Arial" w:hAnsi="Arial"/>
                <w:sz w:val="14"/>
                <w:szCs w:val="14"/>
                <w:color w:val="auto"/>
              </w:rPr>
              <w:t>16,381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16,726</w:t>
            </w:r>
          </w:p>
        </w:tc>
        <w:tc>
          <w:tcPr>
            <w:tcW w:w="1040" w:type="dxa"/>
            <w:vAlign w:val="bottom"/>
          </w:tcPr>
          <w:p>
            <w:pPr>
              <w:jc w:val="center"/>
              <w:spacing w:after="0"/>
              <w:rPr>
                <w:sz w:val="20"/>
                <w:szCs w:val="20"/>
                <w:color w:val="auto"/>
              </w:rPr>
            </w:pPr>
            <w:r>
              <w:rPr>
                <w:rFonts w:ascii="Arial" w:cs="Arial" w:eastAsia="Arial" w:hAnsi="Arial"/>
                <w:sz w:val="14"/>
                <w:szCs w:val="14"/>
                <w:color w:val="auto"/>
              </w:rPr>
              <w:t>2.1%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Electricity and water</w:t>
            </w:r>
          </w:p>
        </w:tc>
        <w:tc>
          <w:tcPr>
            <w:tcW w:w="1000" w:type="dxa"/>
            <w:vAlign w:val="bottom"/>
          </w:tcPr>
          <w:p>
            <w:pPr>
              <w:jc w:val="center"/>
              <w:spacing w:after="0"/>
              <w:rPr>
                <w:sz w:val="20"/>
                <w:szCs w:val="20"/>
                <w:color w:val="auto"/>
              </w:rPr>
            </w:pPr>
            <w:r>
              <w:rPr>
                <w:rFonts w:ascii="Arial" w:cs="Arial" w:eastAsia="Arial" w:hAnsi="Arial"/>
                <w:sz w:val="14"/>
                <w:szCs w:val="14"/>
                <w:color w:val="auto"/>
              </w:rPr>
              <w:t>15,959</w:t>
            </w:r>
          </w:p>
        </w:tc>
        <w:tc>
          <w:tcPr>
            <w:tcW w:w="1000" w:type="dxa"/>
            <w:vAlign w:val="bottom"/>
          </w:tcPr>
          <w:p>
            <w:pPr>
              <w:jc w:val="center"/>
              <w:spacing w:after="0"/>
              <w:rPr>
                <w:sz w:val="20"/>
                <w:szCs w:val="20"/>
                <w:color w:val="auto"/>
              </w:rPr>
            </w:pPr>
            <w:r>
              <w:rPr>
                <w:rFonts w:ascii="Arial" w:cs="Arial" w:eastAsia="Arial" w:hAnsi="Arial"/>
                <w:sz w:val="14"/>
                <w:szCs w:val="14"/>
                <w:color w:val="auto"/>
              </w:rPr>
              <w:t>14,384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15,476</w:t>
            </w:r>
          </w:p>
        </w:tc>
        <w:tc>
          <w:tcPr>
            <w:tcW w:w="1040" w:type="dxa"/>
            <w:vAlign w:val="bottom"/>
          </w:tcPr>
          <w:p>
            <w:pPr>
              <w:jc w:val="center"/>
              <w:spacing w:after="0"/>
              <w:rPr>
                <w:sz w:val="20"/>
                <w:szCs w:val="20"/>
                <w:color w:val="auto"/>
              </w:rPr>
            </w:pPr>
            <w:r>
              <w:rPr>
                <w:rFonts w:ascii="Arial" w:cs="Arial" w:eastAsia="Arial" w:hAnsi="Arial"/>
                <w:sz w:val="14"/>
                <w:szCs w:val="14"/>
                <w:color w:val="auto"/>
              </w:rPr>
              <w:t>7.6%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Subscriptions and quotes</w:t>
            </w:r>
          </w:p>
        </w:tc>
        <w:tc>
          <w:tcPr>
            <w:tcW w:w="1000" w:type="dxa"/>
            <w:vAlign w:val="bottom"/>
          </w:tcPr>
          <w:p>
            <w:pPr>
              <w:jc w:val="center"/>
              <w:spacing w:after="0"/>
              <w:rPr>
                <w:sz w:val="20"/>
                <w:szCs w:val="20"/>
                <w:color w:val="auto"/>
              </w:rPr>
            </w:pPr>
            <w:r>
              <w:rPr>
                <w:rFonts w:ascii="Arial" w:cs="Arial" w:eastAsia="Arial" w:hAnsi="Arial"/>
                <w:sz w:val="14"/>
                <w:szCs w:val="14"/>
                <w:color w:val="auto"/>
              </w:rPr>
              <w:t>13,183</w:t>
            </w:r>
          </w:p>
        </w:tc>
        <w:tc>
          <w:tcPr>
            <w:tcW w:w="1000" w:type="dxa"/>
            <w:vAlign w:val="bottom"/>
          </w:tcPr>
          <w:p>
            <w:pPr>
              <w:jc w:val="center"/>
              <w:spacing w:after="0"/>
              <w:rPr>
                <w:sz w:val="20"/>
                <w:szCs w:val="20"/>
                <w:color w:val="auto"/>
              </w:rPr>
            </w:pPr>
            <w:r>
              <w:rPr>
                <w:rFonts w:ascii="Arial" w:cs="Arial" w:eastAsia="Arial" w:hAnsi="Arial"/>
                <w:sz w:val="14"/>
                <w:szCs w:val="14"/>
                <w:color w:val="auto"/>
              </w:rPr>
              <w:t>14,717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13,437</w:t>
            </w:r>
          </w:p>
        </w:tc>
        <w:tc>
          <w:tcPr>
            <w:tcW w:w="1040" w:type="dxa"/>
            <w:vAlign w:val="bottom"/>
          </w:tcPr>
          <w:p>
            <w:pPr>
              <w:jc w:val="center"/>
              <w:spacing w:after="0"/>
              <w:rPr>
                <w:sz w:val="20"/>
                <w:szCs w:val="20"/>
                <w:color w:val="auto"/>
              </w:rPr>
            </w:pPr>
            <w:r>
              <w:rPr>
                <w:rFonts w:ascii="Arial" w:cs="Arial" w:eastAsia="Arial" w:hAnsi="Arial"/>
                <w:sz w:val="14"/>
                <w:szCs w:val="14"/>
                <w:color w:val="auto"/>
              </w:rPr>
              <w:t>-8.7%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Insurances</w:t>
            </w:r>
          </w:p>
        </w:tc>
        <w:tc>
          <w:tcPr>
            <w:tcW w:w="1000" w:type="dxa"/>
            <w:vAlign w:val="bottom"/>
          </w:tcPr>
          <w:p>
            <w:pPr>
              <w:jc w:val="center"/>
              <w:spacing w:after="0"/>
              <w:rPr>
                <w:sz w:val="20"/>
                <w:szCs w:val="20"/>
                <w:color w:val="auto"/>
              </w:rPr>
            </w:pPr>
            <w:r>
              <w:rPr>
                <w:rFonts w:ascii="Arial" w:cs="Arial" w:eastAsia="Arial" w:hAnsi="Arial"/>
                <w:sz w:val="14"/>
                <w:szCs w:val="14"/>
                <w:color w:val="auto"/>
              </w:rPr>
              <w:t>10,691</w:t>
            </w:r>
          </w:p>
        </w:tc>
        <w:tc>
          <w:tcPr>
            <w:tcW w:w="1000" w:type="dxa"/>
            <w:vAlign w:val="bottom"/>
          </w:tcPr>
          <w:p>
            <w:pPr>
              <w:jc w:val="center"/>
              <w:spacing w:after="0"/>
              <w:rPr>
                <w:sz w:val="20"/>
                <w:szCs w:val="20"/>
                <w:color w:val="auto"/>
              </w:rPr>
            </w:pPr>
            <w:r>
              <w:rPr>
                <w:rFonts w:ascii="Arial" w:cs="Arial" w:eastAsia="Arial" w:hAnsi="Arial"/>
                <w:sz w:val="14"/>
                <w:szCs w:val="14"/>
                <w:color w:val="auto"/>
              </w:rPr>
              <w:t>13,957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10,677</w:t>
            </w:r>
          </w:p>
        </w:tc>
        <w:tc>
          <w:tcPr>
            <w:tcW w:w="1040" w:type="dxa"/>
            <w:vAlign w:val="bottom"/>
          </w:tcPr>
          <w:p>
            <w:pPr>
              <w:jc w:val="center"/>
              <w:spacing w:after="0"/>
              <w:rPr>
                <w:sz w:val="20"/>
                <w:szCs w:val="20"/>
                <w:color w:val="auto"/>
              </w:rPr>
            </w:pPr>
            <w:r>
              <w:rPr>
                <w:rFonts w:ascii="Arial" w:cs="Arial" w:eastAsia="Arial" w:hAnsi="Arial"/>
                <w:sz w:val="14"/>
                <w:szCs w:val="14"/>
                <w:color w:val="auto"/>
              </w:rPr>
              <w:t>-23.5%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Electronic processing</w:t>
            </w:r>
          </w:p>
        </w:tc>
        <w:tc>
          <w:tcPr>
            <w:tcW w:w="1000" w:type="dxa"/>
            <w:vAlign w:val="bottom"/>
          </w:tcPr>
          <w:p>
            <w:pPr>
              <w:jc w:val="center"/>
              <w:spacing w:after="0"/>
              <w:rPr>
                <w:sz w:val="20"/>
                <w:szCs w:val="20"/>
                <w:color w:val="auto"/>
              </w:rPr>
            </w:pPr>
            <w:r>
              <w:rPr>
                <w:rFonts w:ascii="Arial" w:cs="Arial" w:eastAsia="Arial" w:hAnsi="Arial"/>
                <w:sz w:val="14"/>
                <w:szCs w:val="14"/>
                <w:color w:val="auto"/>
              </w:rPr>
              <w:t>8,274</w:t>
            </w:r>
          </w:p>
        </w:tc>
        <w:tc>
          <w:tcPr>
            <w:tcW w:w="1000" w:type="dxa"/>
            <w:vAlign w:val="bottom"/>
          </w:tcPr>
          <w:p>
            <w:pPr>
              <w:jc w:val="center"/>
              <w:spacing w:after="0"/>
              <w:rPr>
                <w:sz w:val="20"/>
                <w:szCs w:val="20"/>
                <w:color w:val="auto"/>
              </w:rPr>
            </w:pPr>
            <w:r>
              <w:rPr>
                <w:rFonts w:ascii="Arial" w:cs="Arial" w:eastAsia="Arial" w:hAnsi="Arial"/>
                <w:sz w:val="14"/>
                <w:szCs w:val="14"/>
                <w:color w:val="auto"/>
              </w:rPr>
              <w:t>7,574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8,916</w:t>
            </w:r>
          </w:p>
        </w:tc>
        <w:tc>
          <w:tcPr>
            <w:tcW w:w="1040" w:type="dxa"/>
            <w:vAlign w:val="bottom"/>
          </w:tcPr>
          <w:p>
            <w:pPr>
              <w:jc w:val="center"/>
              <w:spacing w:after="0"/>
              <w:rPr>
                <w:sz w:val="20"/>
                <w:szCs w:val="20"/>
                <w:color w:val="auto"/>
              </w:rPr>
            </w:pPr>
            <w:r>
              <w:rPr>
                <w:rFonts w:ascii="Arial" w:cs="Arial" w:eastAsia="Arial" w:hAnsi="Arial"/>
                <w:sz w:val="14"/>
                <w:szCs w:val="14"/>
                <w:color w:val="auto"/>
              </w:rPr>
              <w:t>17.7%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7.8%</w:t>
            </w:r>
          </w:p>
        </w:tc>
      </w:tr>
      <w:tr>
        <w:trPr>
          <w:trHeight w:val="162"/>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Cleaning</w:t>
            </w:r>
          </w:p>
        </w:tc>
        <w:tc>
          <w:tcPr>
            <w:tcW w:w="1000" w:type="dxa"/>
            <w:vAlign w:val="bottom"/>
          </w:tcPr>
          <w:p>
            <w:pPr>
              <w:jc w:val="center"/>
              <w:spacing w:after="0"/>
              <w:rPr>
                <w:sz w:val="20"/>
                <w:szCs w:val="20"/>
                <w:color w:val="auto"/>
              </w:rPr>
            </w:pPr>
            <w:r>
              <w:rPr>
                <w:rFonts w:ascii="Arial" w:cs="Arial" w:eastAsia="Arial" w:hAnsi="Arial"/>
                <w:sz w:val="14"/>
                <w:szCs w:val="14"/>
                <w:color w:val="auto"/>
              </w:rPr>
              <w:t>9,968</w:t>
            </w:r>
          </w:p>
        </w:tc>
        <w:tc>
          <w:tcPr>
            <w:tcW w:w="1000" w:type="dxa"/>
            <w:vAlign w:val="bottom"/>
          </w:tcPr>
          <w:p>
            <w:pPr>
              <w:jc w:val="center"/>
              <w:spacing w:after="0"/>
              <w:rPr>
                <w:sz w:val="20"/>
                <w:szCs w:val="20"/>
                <w:color w:val="auto"/>
              </w:rPr>
            </w:pPr>
            <w:r>
              <w:rPr>
                <w:rFonts w:ascii="Arial" w:cs="Arial" w:eastAsia="Arial" w:hAnsi="Arial"/>
                <w:sz w:val="14"/>
                <w:szCs w:val="14"/>
                <w:color w:val="auto"/>
              </w:rPr>
              <w:t>4,987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7,693</w:t>
            </w:r>
          </w:p>
        </w:tc>
        <w:tc>
          <w:tcPr>
            <w:tcW w:w="1040" w:type="dxa"/>
            <w:vAlign w:val="bottom"/>
          </w:tcPr>
          <w:p>
            <w:pPr>
              <w:jc w:val="center"/>
              <w:spacing w:after="0"/>
              <w:rPr>
                <w:sz w:val="20"/>
                <w:szCs w:val="20"/>
                <w:color w:val="auto"/>
              </w:rPr>
            </w:pPr>
            <w:r>
              <w:rPr>
                <w:rFonts w:ascii="Arial" w:cs="Arial" w:eastAsia="Arial" w:hAnsi="Arial"/>
                <w:sz w:val="14"/>
                <w:szCs w:val="14"/>
                <w:color w:val="auto"/>
              </w:rPr>
              <w:t>54.3%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-22.8%</w:t>
            </w:r>
          </w:p>
        </w:tc>
      </w:tr>
      <w:tr>
        <w:trPr>
          <w:trHeight w:val="154"/>
        </w:trPr>
        <w:tc>
          <w:tcPr>
            <w:tcW w:w="396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4"/>
                <w:szCs w:val="14"/>
                <w:color w:val="auto"/>
              </w:rPr>
              <w:t>Services by third-party</w:t>
            </w: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rPr>
              <w:t>5,282</w:t>
            </w: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rPr>
              <w:t>43,598</w:t>
            </w:r>
          </w:p>
        </w:tc>
        <w:tc>
          <w:tcPr>
            <w:tcW w:w="102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4,506</w:t>
            </w:r>
          </w:p>
        </w:tc>
        <w:tc>
          <w:tcPr>
            <w:tcW w:w="1040" w:type="dxa"/>
            <w:vAlign w:val="bottom"/>
          </w:tcPr>
          <w:p>
            <w:pPr>
              <w:jc w:val="center"/>
              <w:spacing w:after="0" w:line="154" w:lineRule="exact"/>
              <w:rPr>
                <w:sz w:val="20"/>
                <w:szCs w:val="20"/>
                <w:color w:val="auto"/>
              </w:rPr>
            </w:pPr>
            <w:r>
              <w:rPr>
                <w:rFonts w:ascii="Arial" w:cs="Arial" w:eastAsia="Arial" w:hAnsi="Arial"/>
                <w:sz w:val="14"/>
                <w:szCs w:val="14"/>
                <w:color w:val="auto"/>
              </w:rPr>
              <w:t>-89.7%</w:t>
            </w:r>
          </w:p>
        </w:tc>
        <w:tc>
          <w:tcPr>
            <w:tcW w:w="1000" w:type="dxa"/>
            <w:vAlign w:val="bottom"/>
            <w:tcBorders>
              <w:right w:val="single" w:sz="8" w:color="auto"/>
            </w:tcBorders>
          </w:tcPr>
          <w:p>
            <w:pPr>
              <w:jc w:val="center"/>
              <w:spacing w:after="0" w:line="154" w:lineRule="exact"/>
              <w:rPr>
                <w:sz w:val="20"/>
                <w:szCs w:val="20"/>
                <w:color w:val="auto"/>
              </w:rPr>
            </w:pPr>
            <w:r>
              <w:rPr>
                <w:rFonts w:ascii="Arial" w:cs="Arial" w:eastAsia="Arial" w:hAnsi="Arial"/>
                <w:sz w:val="14"/>
                <w:szCs w:val="14"/>
                <w:color w:val="auto"/>
              </w:rPr>
              <w:t>-14.7%</w:t>
            </w:r>
          </w:p>
        </w:tc>
      </w:tr>
      <w:tr>
        <w:trPr>
          <w:trHeight w:val="186"/>
        </w:trPr>
        <w:tc>
          <w:tcPr>
            <w:tcW w:w="396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Others </w:t>
            </w:r>
            <w:r>
              <w:rPr>
                <w:rFonts w:ascii="Arial" w:cs="Arial" w:eastAsia="Arial" w:hAnsi="Arial"/>
                <w:sz w:val="21"/>
                <w:szCs w:val="21"/>
                <w:color w:val="auto"/>
                <w:vertAlign w:val="superscript"/>
              </w:rPr>
              <w:t>(1)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51,381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2,753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73,144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2556.9%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42.4%</w:t>
            </w:r>
          </w:p>
        </w:tc>
      </w:tr>
      <w:tr>
        <w:trPr>
          <w:trHeight w:val="153"/>
        </w:trPr>
        <w:tc>
          <w:tcPr>
            <w:tcW w:w="3960" w:type="dxa"/>
            <w:vAlign w:val="bottom"/>
            <w:tcBorders>
              <w:left w:val="single" w:sz="8" w:color="auto"/>
              <w:bottom w:val="single" w:sz="8" w:color="auto"/>
              <w:right w:val="single" w:sz="8" w:color="auto"/>
            </w:tcBorders>
          </w:tcPr>
          <w:p>
            <w:pPr>
              <w:ind w:left="20"/>
              <w:spacing w:after="0" w:line="153" w:lineRule="exact"/>
              <w:rPr>
                <w:sz w:val="20"/>
                <w:szCs w:val="20"/>
                <w:color w:val="auto"/>
              </w:rPr>
            </w:pPr>
            <w:r>
              <w:rPr>
                <w:rFonts w:ascii="Arial" w:cs="Arial" w:eastAsia="Arial" w:hAnsi="Arial"/>
                <w:sz w:val="14"/>
                <w:szCs w:val="14"/>
                <w:b w:val="1"/>
                <w:bCs w:val="1"/>
                <w:color w:val="auto"/>
              </w:rPr>
              <w:t>Total administrative and general expenses</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580,842</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899,290</w:t>
            </w:r>
          </w:p>
        </w:tc>
        <w:tc>
          <w:tcPr>
            <w:tcW w:w="10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725,539</w:t>
            </w:r>
          </w:p>
        </w:tc>
        <w:tc>
          <w:tcPr>
            <w:tcW w:w="10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-19.3%</w:t>
            </w:r>
          </w:p>
        </w:tc>
        <w:tc>
          <w:tcPr>
            <w:tcW w:w="100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24.9%</w:t>
            </w:r>
          </w:p>
        </w:tc>
      </w:tr>
    </w:tbl>
    <w:p>
      <w:pPr>
        <w:ind w:left="920"/>
        <w:spacing w:after="0"/>
        <w:rPr>
          <w:sz w:val="20"/>
          <w:szCs w:val="20"/>
          <w:color w:val="auto"/>
        </w:rPr>
      </w:pPr>
      <w:r>
        <w:rPr>
          <w:rFonts w:ascii="Times New Roman" w:cs="Times New Roman" w:eastAsia="Times New Roman" w:hAnsi="Times New Roman"/>
          <w:sz w:val="9"/>
          <w:szCs w:val="9"/>
          <w:color w:val="auto"/>
        </w:rPr>
        <w:t>(1) Others consists mainly of security and protection services, cleaning service, representation expenses, electricity and water utilities, insurance policy expenses, subscription expenses and commission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Administrative and general expenses and taxes rose due to:</w:t>
      </w:r>
    </w:p>
    <w:p>
      <w:pPr>
        <w:spacing w:after="0" w:line="207" w:lineRule="exact"/>
        <w:rPr>
          <w:sz w:val="20"/>
          <w:szCs w:val="20"/>
          <w:color w:val="auto"/>
        </w:rPr>
      </w:pPr>
    </w:p>
    <w:p>
      <w:pPr>
        <w:ind w:left="520" w:hanging="253"/>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Growth in expenses for </w:t>
      </w:r>
      <w:r>
        <w:rPr>
          <w:rFonts w:ascii="Arial" w:cs="Arial" w:eastAsia="Arial" w:hAnsi="Arial"/>
          <w:sz w:val="14"/>
          <w:szCs w:val="14"/>
          <w:b w:val="1"/>
          <w:bCs w:val="1"/>
          <w:color w:val="auto"/>
        </w:rPr>
        <w:t>IT and System Outsourcing,</w:t>
      </w:r>
      <w:r>
        <w:rPr>
          <w:rFonts w:ascii="Arial" w:cs="Arial" w:eastAsia="Arial" w:hAnsi="Arial"/>
          <w:sz w:val="14"/>
          <w:szCs w:val="14"/>
          <w:color w:val="auto"/>
        </w:rPr>
        <w:t xml:space="preserve"> which was related to the development of IT projects; and</w:t>
      </w:r>
    </w:p>
    <w:p>
      <w:pPr>
        <w:spacing w:after="0" w:line="15" w:lineRule="exact"/>
        <w:rPr>
          <w:rFonts w:ascii="Arial" w:cs="Arial" w:eastAsia="Arial" w:hAnsi="Arial"/>
          <w:sz w:val="14"/>
          <w:szCs w:val="14"/>
          <w:color w:val="auto"/>
        </w:rPr>
      </w:pPr>
    </w:p>
    <w:p>
      <w:pPr>
        <w:ind w:left="520" w:hanging="253"/>
        <w:spacing w:after="0" w:line="265"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Higher transactional expenses for the </w:t>
      </w:r>
      <w:r>
        <w:rPr>
          <w:rFonts w:ascii="Arial" w:cs="Arial" w:eastAsia="Arial" w:hAnsi="Arial"/>
          <w:sz w:val="14"/>
          <w:szCs w:val="14"/>
          <w:b w:val="1"/>
          <w:bCs w:val="1"/>
          <w:color w:val="auto"/>
        </w:rPr>
        <w:t>Customer Loyalty Program</w:t>
      </w:r>
      <w:r>
        <w:rPr>
          <w:rFonts w:ascii="Arial" w:cs="Arial" w:eastAsia="Arial" w:hAnsi="Arial"/>
          <w:sz w:val="14"/>
          <w:szCs w:val="14"/>
          <w:color w:val="auto"/>
        </w:rPr>
        <w:t xml:space="preserve"> due to an uptick in consumption of LATAM miles through the customer loyalty program, which in turn reflect growth in 1Q22 in consumption with credit and debit cards.</w:t>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2820" w:type="dxa"/>
            <w:vAlign w:val="bottom"/>
            <w:tcBorders>
              <w:left w:val="single" w:sz="8" w:color="auto"/>
            </w:tcBorders>
            <w:shd w:val="clear" w:color="auto" w:fill="000000"/>
          </w:tcPr>
          <w:p>
            <w:pPr>
              <w:spacing w:after="0"/>
              <w:rPr>
                <w:sz w:val="22"/>
                <w:szCs w:val="22"/>
                <w:color w:val="auto"/>
              </w:rPr>
            </w:pPr>
          </w:p>
        </w:tc>
        <w:tc>
          <w:tcPr>
            <w:tcW w:w="3160" w:type="dxa"/>
            <w:vAlign w:val="bottom"/>
            <w:gridSpan w:val="3"/>
            <w:shd w:val="clear" w:color="auto" w:fill="000000"/>
          </w:tcPr>
          <w:p>
            <w:pPr>
              <w:ind w:left="1020"/>
              <w:spacing w:after="0"/>
              <w:rPr>
                <w:sz w:val="20"/>
                <w:szCs w:val="20"/>
                <w:color w:val="auto"/>
              </w:rPr>
            </w:pPr>
            <w:r>
              <w:rPr>
                <w:rFonts w:ascii="Arial" w:cs="Arial" w:eastAsia="Arial" w:hAnsi="Arial"/>
                <w:sz w:val="14"/>
                <w:szCs w:val="14"/>
                <w:b w:val="1"/>
                <w:bCs w:val="1"/>
                <w:color w:val="D4D4D4"/>
              </w:rPr>
              <w:t>Earnings Release 1Q / 2022</w:t>
            </w:r>
          </w:p>
        </w:tc>
        <w:tc>
          <w:tcPr>
            <w:tcW w:w="1000" w:type="dxa"/>
            <w:vAlign w:val="bottom"/>
            <w:tcBorders>
              <w:right w:val="single" w:sz="8" w:color="auto"/>
            </w:tcBorders>
            <w:shd w:val="clear" w:color="auto" w:fill="000000"/>
          </w:tcPr>
          <w:p>
            <w:pPr>
              <w:spacing w:after="0"/>
              <w:rPr>
                <w:sz w:val="22"/>
                <w:szCs w:val="22"/>
                <w:color w:val="auto"/>
              </w:rPr>
            </w:pPr>
          </w:p>
        </w:tc>
        <w:tc>
          <w:tcPr>
            <w:tcW w:w="260" w:type="dxa"/>
            <w:vAlign w:val="bottom"/>
            <w:shd w:val="clear" w:color="auto" w:fill="000000"/>
          </w:tcPr>
          <w:p>
            <w:pPr>
              <w:spacing w:after="0"/>
              <w:rPr>
                <w:sz w:val="22"/>
                <w:szCs w:val="22"/>
                <w:color w:val="auto"/>
              </w:rPr>
            </w:pPr>
          </w:p>
        </w:tc>
        <w:tc>
          <w:tcPr>
            <w:tcW w:w="740" w:type="dxa"/>
            <w:vAlign w:val="bottom"/>
            <w:shd w:val="clear" w:color="auto" w:fill="000000"/>
          </w:tcPr>
          <w:p>
            <w:pPr>
              <w:spacing w:after="0"/>
              <w:rPr>
                <w:sz w:val="22"/>
                <w:szCs w:val="22"/>
                <w:color w:val="auto"/>
              </w:rPr>
            </w:pPr>
          </w:p>
        </w:tc>
        <w:tc>
          <w:tcPr>
            <w:tcW w:w="260" w:type="dxa"/>
            <w:vAlign w:val="bottom"/>
            <w:shd w:val="clear" w:color="auto" w:fill="000000"/>
          </w:tcPr>
          <w:p>
            <w:pPr>
              <w:spacing w:after="0"/>
              <w:rPr>
                <w:sz w:val="22"/>
                <w:szCs w:val="22"/>
                <w:color w:val="auto"/>
              </w:rPr>
            </w:pPr>
          </w:p>
        </w:tc>
        <w:tc>
          <w:tcPr>
            <w:tcW w:w="3020" w:type="dxa"/>
            <w:vAlign w:val="bottom"/>
            <w:gridSpan w:val="2"/>
            <w:shd w:val="clear" w:color="auto" w:fill="000000"/>
          </w:tcPr>
          <w:p>
            <w:pPr>
              <w:ind w:left="80"/>
              <w:spacing w:after="0"/>
              <w:rPr>
                <w:sz w:val="20"/>
                <w:szCs w:val="20"/>
                <w:color w:val="auto"/>
              </w:rPr>
            </w:pPr>
            <w:r>
              <w:rPr>
                <w:rFonts w:ascii="Arial" w:cs="Arial" w:eastAsia="Arial" w:hAnsi="Arial"/>
                <w:sz w:val="16"/>
                <w:szCs w:val="16"/>
                <w:b w:val="1"/>
                <w:bCs w:val="1"/>
                <w:color w:val="E93CAC"/>
                <w:w w:val="98"/>
              </w:rPr>
              <w:t>Analysis of 1Q22 Consolidated Results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20" w:type="dxa"/>
            <w:vAlign w:val="bottom"/>
            <w:tcBorders>
              <w:left w:val="single" w:sz="8" w:color="auto"/>
            </w:tcBorders>
            <w:shd w:val="clear" w:color="auto" w:fill="000000"/>
          </w:tcPr>
          <w:p>
            <w:pPr>
              <w:spacing w:after="0"/>
              <w:rPr>
                <w:sz w:val="8"/>
                <w:szCs w:val="8"/>
                <w:color w:val="auto"/>
              </w:rPr>
            </w:pPr>
          </w:p>
        </w:tc>
        <w:tc>
          <w:tcPr>
            <w:tcW w:w="1120" w:type="dxa"/>
            <w:vAlign w:val="bottom"/>
            <w:tcBorders>
              <w:right w:val="single" w:sz="8" w:color="auto"/>
            </w:tcBorders>
            <w:shd w:val="clear" w:color="auto" w:fill="000000"/>
          </w:tcPr>
          <w:p>
            <w:pPr>
              <w:spacing w:after="0"/>
              <w:rPr>
                <w:sz w:val="8"/>
                <w:szCs w:val="8"/>
                <w:color w:val="auto"/>
              </w:rPr>
            </w:pPr>
          </w:p>
        </w:tc>
        <w:tc>
          <w:tcPr>
            <w:tcW w:w="1000" w:type="dxa"/>
            <w:vAlign w:val="bottom"/>
            <w:shd w:val="clear" w:color="auto" w:fill="000000"/>
          </w:tcPr>
          <w:p>
            <w:pPr>
              <w:spacing w:after="0"/>
              <w:rPr>
                <w:sz w:val="8"/>
                <w:szCs w:val="8"/>
                <w:color w:val="auto"/>
              </w:rPr>
            </w:pPr>
          </w:p>
        </w:tc>
        <w:tc>
          <w:tcPr>
            <w:tcW w:w="1040" w:type="dxa"/>
            <w:vAlign w:val="bottom"/>
            <w:shd w:val="clear" w:color="auto" w:fill="000000"/>
          </w:tcPr>
          <w:p>
            <w:pPr>
              <w:spacing w:after="0"/>
              <w:rPr>
                <w:sz w:val="8"/>
                <w:szCs w:val="8"/>
                <w:color w:val="auto"/>
              </w:rPr>
            </w:pPr>
          </w:p>
        </w:tc>
        <w:tc>
          <w:tcPr>
            <w:tcW w:w="1000" w:type="dxa"/>
            <w:vAlign w:val="bottom"/>
            <w:tcBorders>
              <w:right w:val="single" w:sz="8" w:color="auto"/>
            </w:tcBorders>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74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760" w:type="dxa"/>
            <w:vAlign w:val="bottom"/>
            <w:tcBorders>
              <w:right w:val="single" w:sz="8" w:color="auto"/>
            </w:tcBorders>
            <w:shd w:val="clear" w:color="auto" w:fill="000000"/>
          </w:tcPr>
          <w:p>
            <w:pPr>
              <w:spacing w:after="0"/>
              <w:rPr>
                <w:sz w:val="8"/>
                <w:szCs w:val="8"/>
                <w:color w:val="auto"/>
              </w:rPr>
            </w:pPr>
          </w:p>
        </w:tc>
        <w:tc>
          <w:tcPr>
            <w:tcW w:w="226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2820" w:type="dxa"/>
            <w:vAlign w:val="bottom"/>
            <w:tcBorders>
              <w:left w:val="single" w:sz="8" w:color="E93CAC"/>
            </w:tcBorders>
            <w:shd w:val="clear" w:color="auto" w:fill="E93CAC"/>
          </w:tcPr>
          <w:p>
            <w:pPr>
              <w:spacing w:after="0"/>
              <w:rPr>
                <w:sz w:val="20"/>
                <w:szCs w:val="20"/>
                <w:color w:val="auto"/>
              </w:rPr>
            </w:pPr>
            <w:r>
              <w:rPr>
                <w:rFonts w:ascii="Arial" w:cs="Arial" w:eastAsia="Arial" w:hAnsi="Arial"/>
                <w:sz w:val="16"/>
                <w:szCs w:val="16"/>
                <w:b w:val="1"/>
                <w:bCs w:val="1"/>
                <w:color w:val="FFFFFF"/>
              </w:rPr>
              <w:t>08. Operating Expenses</w:t>
            </w:r>
          </w:p>
        </w:tc>
        <w:tc>
          <w:tcPr>
            <w:tcW w:w="1120" w:type="dxa"/>
            <w:vAlign w:val="bottom"/>
            <w:tcBorders>
              <w:right w:val="single" w:sz="8" w:color="E93CAC"/>
            </w:tcBorders>
            <w:shd w:val="clear" w:color="auto" w:fill="E93CAC"/>
          </w:tcPr>
          <w:p>
            <w:pPr>
              <w:spacing w:after="0"/>
              <w:rPr>
                <w:sz w:val="18"/>
                <w:szCs w:val="18"/>
                <w:color w:val="auto"/>
              </w:rPr>
            </w:pPr>
          </w:p>
        </w:tc>
        <w:tc>
          <w:tcPr>
            <w:tcW w:w="1000" w:type="dxa"/>
            <w:vAlign w:val="bottom"/>
            <w:shd w:val="clear" w:color="auto" w:fill="E93CAC"/>
          </w:tcPr>
          <w:p>
            <w:pPr>
              <w:spacing w:after="0"/>
              <w:rPr>
                <w:sz w:val="18"/>
                <w:szCs w:val="18"/>
                <w:color w:val="auto"/>
              </w:rPr>
            </w:pPr>
          </w:p>
        </w:tc>
        <w:tc>
          <w:tcPr>
            <w:tcW w:w="1040" w:type="dxa"/>
            <w:vAlign w:val="bottom"/>
            <w:shd w:val="clear" w:color="auto" w:fill="E93CAC"/>
          </w:tcPr>
          <w:p>
            <w:pPr>
              <w:spacing w:after="0"/>
              <w:rPr>
                <w:sz w:val="18"/>
                <w:szCs w:val="18"/>
                <w:color w:val="auto"/>
              </w:rPr>
            </w:pPr>
          </w:p>
        </w:tc>
        <w:tc>
          <w:tcPr>
            <w:tcW w:w="1000" w:type="dxa"/>
            <w:vAlign w:val="bottom"/>
            <w:tcBorders>
              <w:right w:val="single" w:sz="8" w:color="E93CAC"/>
            </w:tcBorders>
            <w:shd w:val="clear" w:color="auto" w:fill="E93CAC"/>
          </w:tcPr>
          <w:p>
            <w:pPr>
              <w:spacing w:after="0"/>
              <w:rPr>
                <w:sz w:val="18"/>
                <w:szCs w:val="18"/>
                <w:color w:val="auto"/>
              </w:rPr>
            </w:pPr>
          </w:p>
        </w:tc>
        <w:tc>
          <w:tcPr>
            <w:tcW w:w="260" w:type="dxa"/>
            <w:vAlign w:val="bottom"/>
            <w:shd w:val="clear" w:color="auto" w:fill="E93CAC"/>
          </w:tcPr>
          <w:p>
            <w:pPr>
              <w:spacing w:after="0"/>
              <w:rPr>
                <w:sz w:val="18"/>
                <w:szCs w:val="18"/>
                <w:color w:val="auto"/>
              </w:rPr>
            </w:pPr>
          </w:p>
        </w:tc>
        <w:tc>
          <w:tcPr>
            <w:tcW w:w="740" w:type="dxa"/>
            <w:vAlign w:val="bottom"/>
            <w:shd w:val="clear" w:color="auto" w:fill="E93CAC"/>
          </w:tcPr>
          <w:p>
            <w:pPr>
              <w:spacing w:after="0"/>
              <w:rPr>
                <w:sz w:val="18"/>
                <w:szCs w:val="18"/>
                <w:color w:val="auto"/>
              </w:rPr>
            </w:pPr>
          </w:p>
        </w:tc>
        <w:tc>
          <w:tcPr>
            <w:tcW w:w="260" w:type="dxa"/>
            <w:vAlign w:val="bottom"/>
            <w:shd w:val="clear" w:color="auto" w:fill="E93CAC"/>
          </w:tcPr>
          <w:p>
            <w:pPr>
              <w:spacing w:after="0"/>
              <w:rPr>
                <w:sz w:val="18"/>
                <w:szCs w:val="18"/>
                <w:color w:val="auto"/>
              </w:rPr>
            </w:pPr>
          </w:p>
        </w:tc>
        <w:tc>
          <w:tcPr>
            <w:tcW w:w="760" w:type="dxa"/>
            <w:vAlign w:val="bottom"/>
            <w:tcBorders>
              <w:right w:val="single" w:sz="8" w:color="E93CAC"/>
            </w:tcBorders>
            <w:shd w:val="clear" w:color="auto" w:fill="E93CAC"/>
          </w:tcPr>
          <w:p>
            <w:pPr>
              <w:spacing w:after="0"/>
              <w:rPr>
                <w:sz w:val="18"/>
                <w:szCs w:val="18"/>
                <w:color w:val="auto"/>
              </w:rPr>
            </w:pPr>
          </w:p>
        </w:tc>
        <w:tc>
          <w:tcPr>
            <w:tcW w:w="2260" w:type="dxa"/>
            <w:vAlign w:val="bottom"/>
            <w:shd w:val="clear" w:color="auto" w:fill="E93CAC"/>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820" w:type="dxa"/>
            <w:vAlign w:val="bottom"/>
            <w:tcBorders>
              <w:left w:val="single" w:sz="8" w:color="E93CAC"/>
            </w:tcBorders>
            <w:shd w:val="clear" w:color="auto" w:fill="E93CAC"/>
          </w:tcPr>
          <w:p>
            <w:pPr>
              <w:spacing w:after="0"/>
              <w:rPr>
                <w:sz w:val="6"/>
                <w:szCs w:val="6"/>
                <w:color w:val="auto"/>
              </w:rPr>
            </w:pPr>
          </w:p>
        </w:tc>
        <w:tc>
          <w:tcPr>
            <w:tcW w:w="1120" w:type="dxa"/>
            <w:vAlign w:val="bottom"/>
            <w:tcBorders>
              <w:right w:val="single" w:sz="8" w:color="E93CAC"/>
            </w:tcBorders>
            <w:shd w:val="clear" w:color="auto" w:fill="E93CAC"/>
          </w:tcPr>
          <w:p>
            <w:pPr>
              <w:spacing w:after="0"/>
              <w:rPr>
                <w:sz w:val="6"/>
                <w:szCs w:val="6"/>
                <w:color w:val="auto"/>
              </w:rPr>
            </w:pPr>
          </w:p>
        </w:tc>
        <w:tc>
          <w:tcPr>
            <w:tcW w:w="1000" w:type="dxa"/>
            <w:vAlign w:val="bottom"/>
            <w:shd w:val="clear" w:color="auto" w:fill="E93CAC"/>
          </w:tcPr>
          <w:p>
            <w:pPr>
              <w:spacing w:after="0"/>
              <w:rPr>
                <w:sz w:val="6"/>
                <w:szCs w:val="6"/>
                <w:color w:val="auto"/>
              </w:rPr>
            </w:pPr>
          </w:p>
        </w:tc>
        <w:tc>
          <w:tcPr>
            <w:tcW w:w="1040" w:type="dxa"/>
            <w:vAlign w:val="bottom"/>
            <w:shd w:val="clear" w:color="auto" w:fill="E93CAC"/>
          </w:tcPr>
          <w:p>
            <w:pPr>
              <w:spacing w:after="0"/>
              <w:rPr>
                <w:sz w:val="6"/>
                <w:szCs w:val="6"/>
                <w:color w:val="auto"/>
              </w:rPr>
            </w:pPr>
          </w:p>
        </w:tc>
        <w:tc>
          <w:tcPr>
            <w:tcW w:w="1000" w:type="dxa"/>
            <w:vAlign w:val="bottom"/>
            <w:tcBorders>
              <w:right w:val="single" w:sz="8" w:color="E93CAC"/>
            </w:tcBorders>
            <w:shd w:val="clear" w:color="auto" w:fill="E93CAC"/>
          </w:tcPr>
          <w:p>
            <w:pPr>
              <w:spacing w:after="0"/>
              <w:rPr>
                <w:sz w:val="6"/>
                <w:szCs w:val="6"/>
                <w:color w:val="auto"/>
              </w:rPr>
            </w:pPr>
          </w:p>
        </w:tc>
        <w:tc>
          <w:tcPr>
            <w:tcW w:w="260" w:type="dxa"/>
            <w:vAlign w:val="bottom"/>
            <w:shd w:val="clear" w:color="auto" w:fill="E93CAC"/>
          </w:tcPr>
          <w:p>
            <w:pPr>
              <w:spacing w:after="0"/>
              <w:rPr>
                <w:sz w:val="6"/>
                <w:szCs w:val="6"/>
                <w:color w:val="auto"/>
              </w:rPr>
            </w:pPr>
          </w:p>
        </w:tc>
        <w:tc>
          <w:tcPr>
            <w:tcW w:w="740" w:type="dxa"/>
            <w:vAlign w:val="bottom"/>
            <w:shd w:val="clear" w:color="auto" w:fill="E93CAC"/>
          </w:tcPr>
          <w:p>
            <w:pPr>
              <w:spacing w:after="0"/>
              <w:rPr>
                <w:sz w:val="6"/>
                <w:szCs w:val="6"/>
                <w:color w:val="auto"/>
              </w:rPr>
            </w:pPr>
          </w:p>
        </w:tc>
        <w:tc>
          <w:tcPr>
            <w:tcW w:w="260" w:type="dxa"/>
            <w:vAlign w:val="bottom"/>
            <w:shd w:val="clear" w:color="auto" w:fill="E93CAC"/>
          </w:tcPr>
          <w:p>
            <w:pPr>
              <w:spacing w:after="0"/>
              <w:rPr>
                <w:sz w:val="6"/>
                <w:szCs w:val="6"/>
                <w:color w:val="auto"/>
              </w:rPr>
            </w:pPr>
          </w:p>
        </w:tc>
        <w:tc>
          <w:tcPr>
            <w:tcW w:w="760" w:type="dxa"/>
            <w:vAlign w:val="bottom"/>
            <w:tcBorders>
              <w:right w:val="single" w:sz="8" w:color="E93CAC"/>
            </w:tcBorders>
            <w:shd w:val="clear" w:color="auto" w:fill="E93CAC"/>
          </w:tcPr>
          <w:p>
            <w:pPr>
              <w:spacing w:after="0"/>
              <w:rPr>
                <w:sz w:val="6"/>
                <w:szCs w:val="6"/>
                <w:color w:val="auto"/>
              </w:rPr>
            </w:pPr>
          </w:p>
        </w:tc>
        <w:tc>
          <w:tcPr>
            <w:tcW w:w="2260" w:type="dxa"/>
            <w:vAlign w:val="bottom"/>
            <w:shd w:val="clear" w:color="auto" w:fill="E93CAC"/>
          </w:tcPr>
          <w:p>
            <w:pPr>
              <w:spacing w:after="0"/>
              <w:rPr>
                <w:sz w:val="6"/>
                <w:szCs w:val="6"/>
                <w:color w:val="auto"/>
              </w:rPr>
            </w:pPr>
          </w:p>
        </w:tc>
        <w:tc>
          <w:tcPr>
            <w:tcW w:w="0" w:type="dxa"/>
            <w:vAlign w:val="bottom"/>
          </w:tcPr>
          <w:p>
            <w:pPr>
              <w:spacing w:after="0"/>
              <w:rPr>
                <w:sz w:val="1"/>
                <w:szCs w:val="1"/>
                <w:color w:val="auto"/>
              </w:rPr>
            </w:pPr>
          </w:p>
        </w:tc>
      </w:tr>
      <w:tr>
        <w:trPr>
          <w:trHeight w:val="384"/>
        </w:trPr>
        <w:tc>
          <w:tcPr>
            <w:tcW w:w="20" w:type="dxa"/>
            <w:vAlign w:val="bottom"/>
            <w:vMerge w:val="continue"/>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xml:space="preserve">Physical Point of contact evolution </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20" w:type="dxa"/>
            <w:vAlign w:val="bottom"/>
            <w:tcBorders>
              <w:left w:val="single" w:sz="8" w:color="auto"/>
            </w:tcBorders>
            <w:shd w:val="clear" w:color="auto" w:fill="2AD2C9"/>
          </w:tcPr>
          <w:p>
            <w:pPr>
              <w:spacing w:after="0" w:line="145" w:lineRule="exact"/>
              <w:rPr>
                <w:sz w:val="20"/>
                <w:szCs w:val="20"/>
                <w:color w:val="auto"/>
              </w:rPr>
            </w:pPr>
            <w:r>
              <w:rPr>
                <w:rFonts w:ascii="Arial" w:cs="Arial" w:eastAsia="Arial" w:hAnsi="Arial"/>
                <w:sz w:val="14"/>
                <w:szCs w:val="14"/>
                <w:b w:val="1"/>
                <w:bCs w:val="1"/>
                <w:color w:val="FFFFFF"/>
              </w:rPr>
              <w:t>Physical Channels</w:t>
            </w:r>
          </w:p>
        </w:tc>
        <w:tc>
          <w:tcPr>
            <w:tcW w:w="1120" w:type="dxa"/>
            <w:vAlign w:val="bottom"/>
            <w:tcBorders>
              <w:right w:val="single" w:sz="8" w:color="auto"/>
            </w:tcBorders>
            <w:shd w:val="clear" w:color="auto" w:fill="2AD2C9"/>
          </w:tcPr>
          <w:p>
            <w:pPr>
              <w:spacing w:after="0"/>
              <w:rPr>
                <w:sz w:val="12"/>
                <w:szCs w:val="12"/>
                <w:color w:val="auto"/>
              </w:rPr>
            </w:pPr>
          </w:p>
        </w:tc>
        <w:tc>
          <w:tcPr>
            <w:tcW w:w="1000" w:type="dxa"/>
            <w:vAlign w:val="bottom"/>
            <w:shd w:val="clear" w:color="auto" w:fill="2AD2C9"/>
          </w:tcPr>
          <w:p>
            <w:pPr>
              <w:spacing w:after="0"/>
              <w:rPr>
                <w:sz w:val="12"/>
                <w:szCs w:val="12"/>
                <w:color w:val="auto"/>
              </w:rPr>
            </w:pPr>
          </w:p>
        </w:tc>
        <w:tc>
          <w:tcPr>
            <w:tcW w:w="1040" w:type="dxa"/>
            <w:vAlign w:val="bottom"/>
            <w:shd w:val="clear" w:color="auto" w:fill="2AD2C9"/>
          </w:tcPr>
          <w:p>
            <w:pPr>
              <w:jc w:val="center"/>
              <w:spacing w:after="0" w:line="145" w:lineRule="exact"/>
              <w:rPr>
                <w:sz w:val="20"/>
                <w:szCs w:val="20"/>
                <w:color w:val="auto"/>
              </w:rPr>
            </w:pPr>
            <w:r>
              <w:rPr>
                <w:rFonts w:ascii="Arial" w:cs="Arial" w:eastAsia="Arial" w:hAnsi="Arial"/>
                <w:sz w:val="14"/>
                <w:szCs w:val="14"/>
                <w:b w:val="1"/>
                <w:bCs w:val="1"/>
                <w:color w:val="FFFFFF"/>
              </w:rPr>
              <w:t>As of</w:t>
            </w:r>
          </w:p>
        </w:tc>
        <w:tc>
          <w:tcPr>
            <w:tcW w:w="1000" w:type="dxa"/>
            <w:vAlign w:val="bottom"/>
            <w:tcBorders>
              <w:right w:val="single" w:sz="8" w:color="auto"/>
            </w:tcBorders>
            <w:shd w:val="clear" w:color="auto" w:fill="2AD2C9"/>
          </w:tcPr>
          <w:p>
            <w:pPr>
              <w:spacing w:after="0"/>
              <w:rPr>
                <w:sz w:val="12"/>
                <w:szCs w:val="12"/>
                <w:color w:val="auto"/>
              </w:rPr>
            </w:pPr>
          </w:p>
        </w:tc>
        <w:tc>
          <w:tcPr>
            <w:tcW w:w="260" w:type="dxa"/>
            <w:vAlign w:val="bottom"/>
            <w:shd w:val="clear" w:color="auto" w:fill="2AD2C9"/>
          </w:tcPr>
          <w:p>
            <w:pPr>
              <w:spacing w:after="0"/>
              <w:rPr>
                <w:sz w:val="12"/>
                <w:szCs w:val="12"/>
                <w:color w:val="auto"/>
              </w:rPr>
            </w:pPr>
          </w:p>
        </w:tc>
        <w:tc>
          <w:tcPr>
            <w:tcW w:w="1760" w:type="dxa"/>
            <w:vAlign w:val="bottom"/>
            <w:tcBorders>
              <w:right w:val="single" w:sz="8" w:color="auto"/>
            </w:tcBorders>
            <w:gridSpan w:val="3"/>
            <w:shd w:val="clear" w:color="auto" w:fill="2AD2C9"/>
          </w:tcPr>
          <w:p>
            <w:pPr>
              <w:jc w:val="right"/>
              <w:ind w:right="467"/>
              <w:spacing w:after="0" w:line="145" w:lineRule="exact"/>
              <w:rPr>
                <w:sz w:val="20"/>
                <w:szCs w:val="20"/>
                <w:color w:val="auto"/>
              </w:rPr>
            </w:pPr>
            <w:r>
              <w:rPr>
                <w:rFonts w:ascii="Arial" w:cs="Arial" w:eastAsia="Arial" w:hAnsi="Arial"/>
                <w:sz w:val="14"/>
                <w:szCs w:val="14"/>
                <w:b w:val="1"/>
                <w:bCs w:val="1"/>
                <w:color w:val="FFFFFF"/>
              </w:rPr>
              <w:t>change (units)</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Borders>
              <w:left w:val="single" w:sz="8" w:color="auto"/>
            </w:tcBorders>
            <w:shd w:val="clear" w:color="auto" w:fill="2AD2C9"/>
          </w:tcPr>
          <w:p>
            <w:pPr>
              <w:spacing w:after="0"/>
              <w:rPr>
                <w:sz w:val="15"/>
                <w:szCs w:val="15"/>
                <w:color w:val="auto"/>
              </w:rPr>
            </w:pPr>
          </w:p>
        </w:tc>
        <w:tc>
          <w:tcPr>
            <w:tcW w:w="1120" w:type="dxa"/>
            <w:vAlign w:val="bottom"/>
            <w:tcBorders>
              <w:right w:val="single" w:sz="8" w:color="auto"/>
            </w:tcBorders>
            <w:shd w:val="clear" w:color="auto" w:fill="2AD2C9"/>
          </w:tcPr>
          <w:p>
            <w:pPr>
              <w:spacing w:after="0"/>
              <w:rPr>
                <w:sz w:val="15"/>
                <w:szCs w:val="15"/>
                <w:color w:val="auto"/>
              </w:rPr>
            </w:pPr>
          </w:p>
        </w:tc>
        <w:tc>
          <w:tcPr>
            <w:tcW w:w="1000" w:type="dxa"/>
            <w:vAlign w:val="bottom"/>
            <w:shd w:val="clear" w:color="auto" w:fill="2AD2C9"/>
          </w:tcPr>
          <w:p>
            <w:pPr>
              <w:ind w:left="260"/>
              <w:spacing w:after="0"/>
              <w:rPr>
                <w:sz w:val="20"/>
                <w:szCs w:val="20"/>
                <w:color w:val="auto"/>
              </w:rPr>
            </w:pPr>
            <w:r>
              <w:rPr>
                <w:rFonts w:ascii="Arial" w:cs="Arial" w:eastAsia="Arial" w:hAnsi="Arial"/>
                <w:sz w:val="14"/>
                <w:szCs w:val="14"/>
                <w:b w:val="1"/>
                <w:bCs w:val="1"/>
                <w:color w:val="FFFFFF"/>
              </w:rPr>
              <w:t>Mar 21</w:t>
            </w:r>
          </w:p>
        </w:tc>
        <w:tc>
          <w:tcPr>
            <w:tcW w:w="104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Dec 21</w:t>
            </w:r>
          </w:p>
        </w:tc>
        <w:tc>
          <w:tcPr>
            <w:tcW w:w="1000" w:type="dxa"/>
            <w:vAlign w:val="bottom"/>
            <w:tcBorders>
              <w:right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Mar 22</w:t>
            </w:r>
          </w:p>
        </w:tc>
        <w:tc>
          <w:tcPr>
            <w:tcW w:w="260" w:type="dxa"/>
            <w:vAlign w:val="bottom"/>
            <w:shd w:val="clear" w:color="auto" w:fill="2AD2C9"/>
          </w:tcPr>
          <w:p>
            <w:pPr>
              <w:spacing w:after="0"/>
              <w:rPr>
                <w:sz w:val="15"/>
                <w:szCs w:val="15"/>
                <w:color w:val="auto"/>
              </w:rPr>
            </w:pPr>
          </w:p>
        </w:tc>
        <w:tc>
          <w:tcPr>
            <w:tcW w:w="740" w:type="dxa"/>
            <w:vAlign w:val="bottom"/>
            <w:shd w:val="clear" w:color="auto" w:fill="2AD2C9"/>
          </w:tcPr>
          <w:p>
            <w:pPr>
              <w:jc w:val="right"/>
              <w:ind w:right="288"/>
              <w:spacing w:after="0"/>
              <w:rPr>
                <w:sz w:val="20"/>
                <w:szCs w:val="20"/>
                <w:color w:val="auto"/>
              </w:rPr>
            </w:pPr>
            <w:r>
              <w:rPr>
                <w:rFonts w:ascii="Arial" w:cs="Arial" w:eastAsia="Arial" w:hAnsi="Arial"/>
                <w:sz w:val="14"/>
                <w:szCs w:val="14"/>
                <w:b w:val="1"/>
                <w:bCs w:val="1"/>
                <w:color w:val="FFFFFF"/>
              </w:rPr>
              <w:t>QoQ</w:t>
            </w:r>
          </w:p>
        </w:tc>
        <w:tc>
          <w:tcPr>
            <w:tcW w:w="260" w:type="dxa"/>
            <w:vAlign w:val="bottom"/>
            <w:shd w:val="clear" w:color="auto" w:fill="2AD2C9"/>
          </w:tcPr>
          <w:p>
            <w:pPr>
              <w:spacing w:after="0"/>
              <w:rPr>
                <w:sz w:val="15"/>
                <w:szCs w:val="15"/>
                <w:color w:val="auto"/>
              </w:rPr>
            </w:pPr>
          </w:p>
        </w:tc>
        <w:tc>
          <w:tcPr>
            <w:tcW w:w="760" w:type="dxa"/>
            <w:vAlign w:val="bottom"/>
            <w:tcBorders>
              <w:right w:val="single" w:sz="8" w:color="auto"/>
            </w:tcBorders>
            <w:shd w:val="clear" w:color="auto" w:fill="2AD2C9"/>
          </w:tcPr>
          <w:p>
            <w:pPr>
              <w:jc w:val="right"/>
              <w:ind w:right="307"/>
              <w:spacing w:after="0"/>
              <w:rPr>
                <w:sz w:val="20"/>
                <w:szCs w:val="20"/>
                <w:color w:val="auto"/>
              </w:rPr>
            </w:pPr>
            <w:r>
              <w:rPr>
                <w:rFonts w:ascii="Arial" w:cs="Arial" w:eastAsia="Arial" w:hAnsi="Arial"/>
                <w:sz w:val="14"/>
                <w:szCs w:val="14"/>
                <w:b w:val="1"/>
                <w:bCs w:val="1"/>
                <w:color w:val="FFFFFF"/>
              </w:rPr>
              <w:t>YoY</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Borders>
              <w:left w:val="single" w:sz="8" w:color="auto"/>
            </w:tcBorders>
          </w:tcPr>
          <w:p>
            <w:pPr>
              <w:spacing w:after="0" w:line="148" w:lineRule="exact"/>
              <w:rPr>
                <w:sz w:val="20"/>
                <w:szCs w:val="20"/>
                <w:color w:val="auto"/>
              </w:rPr>
            </w:pPr>
            <w:r>
              <w:rPr>
                <w:rFonts w:ascii="Arial" w:cs="Arial" w:eastAsia="Arial" w:hAnsi="Arial"/>
                <w:sz w:val="14"/>
                <w:szCs w:val="14"/>
                <w:color w:val="auto"/>
              </w:rPr>
              <w:t>Branches</w:t>
            </w:r>
          </w:p>
        </w:tc>
        <w:tc>
          <w:tcPr>
            <w:tcW w:w="1120" w:type="dxa"/>
            <w:vAlign w:val="bottom"/>
            <w:tcBorders>
              <w:right w:val="single" w:sz="8" w:color="auto"/>
            </w:tcBorders>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760</w:t>
            </w:r>
          </w:p>
        </w:tc>
        <w:tc>
          <w:tcPr>
            <w:tcW w:w="1040" w:type="dxa"/>
            <w:vAlign w:val="bottom"/>
          </w:tcPr>
          <w:p>
            <w:pPr>
              <w:jc w:val="center"/>
              <w:spacing w:after="0" w:line="148" w:lineRule="exact"/>
              <w:rPr>
                <w:sz w:val="20"/>
                <w:szCs w:val="20"/>
                <w:color w:val="auto"/>
              </w:rPr>
            </w:pPr>
            <w:r>
              <w:rPr>
                <w:rFonts w:ascii="Arial" w:cs="Arial" w:eastAsia="Arial" w:hAnsi="Arial"/>
                <w:sz w:val="14"/>
                <w:szCs w:val="14"/>
                <w:color w:val="auto"/>
              </w:rPr>
              <w:t>716</w:t>
            </w:r>
          </w:p>
        </w:tc>
        <w:tc>
          <w:tcPr>
            <w:tcW w:w="1000" w:type="dxa"/>
            <w:vAlign w:val="bottom"/>
            <w:tcBorders>
              <w:right w:val="single" w:sz="8" w:color="auto"/>
            </w:tcBorders>
          </w:tcPr>
          <w:p>
            <w:pPr>
              <w:jc w:val="center"/>
              <w:ind w:right="8"/>
              <w:spacing w:after="0" w:line="148" w:lineRule="exact"/>
              <w:rPr>
                <w:sz w:val="20"/>
                <w:szCs w:val="20"/>
                <w:color w:val="auto"/>
              </w:rPr>
            </w:pPr>
            <w:r>
              <w:rPr>
                <w:rFonts w:ascii="Arial" w:cs="Arial" w:eastAsia="Arial" w:hAnsi="Arial"/>
                <w:sz w:val="14"/>
                <w:szCs w:val="14"/>
                <w:color w:val="auto"/>
              </w:rPr>
              <w:t>706</w:t>
            </w:r>
          </w:p>
        </w:tc>
        <w:tc>
          <w:tcPr>
            <w:tcW w:w="260" w:type="dxa"/>
            <w:vAlign w:val="bottom"/>
          </w:tcPr>
          <w:p>
            <w:pPr>
              <w:jc w:val="right"/>
              <w:ind w:right="8"/>
              <w:spacing w:after="0" w:line="148"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line="148" w:lineRule="exact"/>
              <w:rPr>
                <w:sz w:val="20"/>
                <w:szCs w:val="20"/>
                <w:color w:val="auto"/>
              </w:rPr>
            </w:pPr>
            <w:r>
              <w:rPr>
                <w:rFonts w:ascii="Arial" w:cs="Arial" w:eastAsia="Arial" w:hAnsi="Arial"/>
                <w:sz w:val="14"/>
                <w:szCs w:val="14"/>
                <w:color w:val="auto"/>
              </w:rPr>
              <w:t>10</w:t>
            </w:r>
          </w:p>
        </w:tc>
        <w:tc>
          <w:tcPr>
            <w:tcW w:w="2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07"/>
              <w:spacing w:after="0" w:line="148" w:lineRule="exact"/>
              <w:rPr>
                <w:sz w:val="20"/>
                <w:szCs w:val="20"/>
                <w:color w:val="auto"/>
              </w:rPr>
            </w:pPr>
            <w:r>
              <w:rPr>
                <w:rFonts w:ascii="Arial" w:cs="Arial" w:eastAsia="Arial" w:hAnsi="Arial"/>
                <w:sz w:val="14"/>
                <w:szCs w:val="14"/>
                <w:color w:val="auto"/>
              </w:rPr>
              <w:t>54</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Borders>
              <w:left w:val="single" w:sz="8" w:color="auto"/>
            </w:tcBorders>
          </w:tcPr>
          <w:p>
            <w:pPr>
              <w:spacing w:after="0"/>
              <w:rPr>
                <w:sz w:val="20"/>
                <w:szCs w:val="20"/>
                <w:color w:val="auto"/>
              </w:rPr>
            </w:pPr>
            <w:r>
              <w:rPr>
                <w:rFonts w:ascii="Arial" w:cs="Arial" w:eastAsia="Arial" w:hAnsi="Arial"/>
                <w:sz w:val="14"/>
                <w:szCs w:val="14"/>
                <w:color w:val="auto"/>
              </w:rPr>
              <w:t>ATMs</w:t>
            </w:r>
          </w:p>
        </w:tc>
        <w:tc>
          <w:tcPr>
            <w:tcW w:w="1120" w:type="dxa"/>
            <w:vAlign w:val="bottom"/>
            <w:tcBorders>
              <w:right w:val="single" w:sz="8" w:color="auto"/>
            </w:tcBorders>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3,156</w:t>
            </w:r>
          </w:p>
        </w:tc>
        <w:tc>
          <w:tcPr>
            <w:tcW w:w="1040" w:type="dxa"/>
            <w:vAlign w:val="bottom"/>
          </w:tcPr>
          <w:p>
            <w:pPr>
              <w:jc w:val="center"/>
              <w:spacing w:after="0"/>
              <w:rPr>
                <w:sz w:val="20"/>
                <w:szCs w:val="20"/>
                <w:color w:val="auto"/>
              </w:rPr>
            </w:pPr>
            <w:r>
              <w:rPr>
                <w:rFonts w:ascii="Arial" w:cs="Arial" w:eastAsia="Arial" w:hAnsi="Arial"/>
                <w:sz w:val="14"/>
                <w:szCs w:val="14"/>
                <w:color w:val="auto"/>
              </w:rPr>
              <w:t>3,233</w:t>
            </w:r>
          </w:p>
        </w:tc>
        <w:tc>
          <w:tcPr>
            <w:tcW w:w="100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rPr>
              <w:t>3,319</w:t>
            </w:r>
          </w:p>
        </w:tc>
        <w:tc>
          <w:tcPr>
            <w:tcW w:w="26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86</w:t>
            </w:r>
          </w:p>
        </w:tc>
        <w:tc>
          <w:tcPr>
            <w:tcW w:w="260" w:type="dxa"/>
            <w:vAlign w:val="bottom"/>
          </w:tcPr>
          <w:p>
            <w:pPr>
              <w:spacing w:after="0"/>
              <w:rPr>
                <w:sz w:val="14"/>
                <w:szCs w:val="14"/>
                <w:color w:val="auto"/>
              </w:rPr>
            </w:pPr>
          </w:p>
        </w:tc>
        <w:tc>
          <w:tcPr>
            <w:tcW w:w="760" w:type="dxa"/>
            <w:vAlign w:val="bottom"/>
            <w:tcBorders>
              <w:right w:val="single" w:sz="8" w:color="auto"/>
            </w:tcBorders>
          </w:tcPr>
          <w:p>
            <w:pPr>
              <w:jc w:val="right"/>
              <w:ind w:right="107"/>
              <w:spacing w:after="0"/>
              <w:rPr>
                <w:sz w:val="20"/>
                <w:szCs w:val="20"/>
                <w:color w:val="auto"/>
              </w:rPr>
            </w:pPr>
            <w:r>
              <w:rPr>
                <w:rFonts w:ascii="Arial" w:cs="Arial" w:eastAsia="Arial" w:hAnsi="Arial"/>
                <w:sz w:val="14"/>
                <w:szCs w:val="14"/>
                <w:color w:val="auto"/>
              </w:rPr>
              <w:t>163</w:t>
            </w: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820" w:type="dxa"/>
            <w:vAlign w:val="bottom"/>
            <w:tcBorders>
              <w:left w:val="single" w:sz="8" w:color="auto"/>
              <w:bottom w:val="single" w:sz="8" w:color="auto"/>
            </w:tcBorders>
          </w:tcPr>
          <w:p>
            <w:pPr>
              <w:spacing w:after="0"/>
              <w:rPr>
                <w:sz w:val="20"/>
                <w:szCs w:val="20"/>
                <w:color w:val="auto"/>
              </w:rPr>
            </w:pPr>
            <w:r>
              <w:rPr>
                <w:rFonts w:ascii="Arial" w:cs="Arial" w:eastAsia="Arial" w:hAnsi="Arial"/>
                <w:sz w:val="14"/>
                <w:szCs w:val="14"/>
                <w:color w:val="auto"/>
              </w:rPr>
              <w:t>Agentes</w:t>
            </w:r>
          </w:p>
        </w:tc>
        <w:tc>
          <w:tcPr>
            <w:tcW w:w="112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7,170</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8,364</w:t>
            </w:r>
          </w:p>
        </w:tc>
        <w:tc>
          <w:tcPr>
            <w:tcW w:w="100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rPr>
              <w:t>8,148</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216</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4"/>
                <w:szCs w:val="14"/>
                <w:color w:val="auto"/>
              </w:rPr>
              <w:t>978</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820" w:type="dxa"/>
            <w:vAlign w:val="bottom"/>
            <w:tcBorders>
              <w:left w:val="single" w:sz="8" w:color="auto"/>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Total</w:t>
            </w:r>
          </w:p>
        </w:tc>
        <w:tc>
          <w:tcPr>
            <w:tcW w:w="11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11,086</w:t>
            </w:r>
          </w:p>
        </w:tc>
        <w:tc>
          <w:tcPr>
            <w:tcW w:w="10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12,313</w:t>
            </w:r>
          </w:p>
        </w:tc>
        <w:tc>
          <w:tcPr>
            <w:tcW w:w="1000" w:type="dxa"/>
            <w:vAlign w:val="bottom"/>
            <w:tcBorders>
              <w:bottom w:val="single" w:sz="8" w:color="auto"/>
              <w:right w:val="single" w:sz="8" w:color="auto"/>
            </w:tcBorders>
          </w:tcPr>
          <w:p>
            <w:pPr>
              <w:jc w:val="center"/>
              <w:ind w:right="8"/>
              <w:spacing w:after="0" w:line="153" w:lineRule="exact"/>
              <w:rPr>
                <w:sz w:val="20"/>
                <w:szCs w:val="20"/>
                <w:color w:val="auto"/>
              </w:rPr>
            </w:pPr>
            <w:r>
              <w:rPr>
                <w:rFonts w:ascii="Arial" w:cs="Arial" w:eastAsia="Arial" w:hAnsi="Arial"/>
                <w:sz w:val="14"/>
                <w:szCs w:val="14"/>
                <w:b w:val="1"/>
                <w:bCs w:val="1"/>
                <w:color w:val="auto"/>
              </w:rPr>
              <w:t>12,173</w:t>
            </w:r>
          </w:p>
        </w:tc>
        <w:tc>
          <w:tcPr>
            <w:tcW w:w="260" w:type="dxa"/>
            <w:vAlign w:val="bottom"/>
            <w:tcBorders>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88"/>
              <w:spacing w:after="0" w:line="153" w:lineRule="exact"/>
              <w:rPr>
                <w:sz w:val="20"/>
                <w:szCs w:val="20"/>
                <w:color w:val="auto"/>
              </w:rPr>
            </w:pPr>
            <w:r>
              <w:rPr>
                <w:rFonts w:ascii="Arial" w:cs="Arial" w:eastAsia="Arial" w:hAnsi="Arial"/>
                <w:sz w:val="14"/>
                <w:szCs w:val="14"/>
                <w:b w:val="1"/>
                <w:bCs w:val="1"/>
                <w:color w:val="auto"/>
              </w:rPr>
              <w:t>140</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jc w:val="right"/>
              <w:ind w:right="107"/>
              <w:spacing w:after="0" w:line="153" w:lineRule="exact"/>
              <w:rPr>
                <w:sz w:val="20"/>
                <w:szCs w:val="20"/>
                <w:color w:val="auto"/>
              </w:rPr>
            </w:pPr>
            <w:r>
              <w:rPr>
                <w:rFonts w:ascii="Arial" w:cs="Arial" w:eastAsia="Arial" w:hAnsi="Arial"/>
                <w:sz w:val="14"/>
                <w:szCs w:val="14"/>
                <w:b w:val="1"/>
                <w:bCs w:val="1"/>
                <w:color w:val="auto"/>
              </w:rPr>
              <w:t>1,087</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-439420</wp:posOffset>
            </wp:positionV>
            <wp:extent cx="2540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400" cy="698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60" w:hanging="253"/>
        <w:spacing w:after="0"/>
        <w:tabs>
          <w:tab w:leader="none" w:pos="260" w:val="left"/>
        </w:tabs>
        <w:numPr>
          <w:ilvl w:val="0"/>
          <w:numId w:val="40"/>
        </w:numPr>
        <w:rPr>
          <w:rFonts w:ascii="Arial" w:cs="Arial" w:eastAsia="Arial" w:hAnsi="Arial"/>
          <w:sz w:val="9"/>
          <w:szCs w:val="9"/>
          <w:color w:val="auto"/>
        </w:rPr>
      </w:pPr>
      <w:r>
        <w:rPr>
          <w:rFonts w:ascii="Arial" w:cs="Arial" w:eastAsia="Arial" w:hAnsi="Arial"/>
          <w:sz w:val="9"/>
          <w:szCs w:val="9"/>
          <w:color w:val="auto"/>
        </w:rPr>
        <w:t>Includes physical point of contact of BCP Stand-alone, BCP Bolivia and Mibanco Peru</w:t>
      </w:r>
    </w:p>
    <w:p>
      <w:pPr>
        <w:spacing w:after="0" w:line="17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Credicorp’s digital transformation strategy allowed it to reduce its number of branches by 10 in QoQ terms and 54 in the YoY comparison. The Group is betting on cost-efficient physical channels such as ATMs and Agentes, which rose by 163 and 978 in YoY terms, respectively. Credicorp expects that digital transformation will continue to drive down total expenses.</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35"/>
          <w:szCs w:val="35"/>
          <w:b w:val="1"/>
          <w:bCs w:val="1"/>
          <w:color w:val="E93CAC"/>
        </w:rPr>
        <w:t xml:space="preserve">09 </w:t>
      </w:r>
      <w:r>
        <w:rPr>
          <w:rFonts w:ascii="Times New Roman" w:cs="Times New Roman" w:eastAsia="Times New Roman" w:hAnsi="Times New Roman"/>
          <w:sz w:val="25"/>
          <w:szCs w:val="25"/>
          <w:color w:val="E93C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59625" cy="5022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9625" cy="502285"/>
                    </a:xfrm>
                    <a:prstGeom prst="rect">
                      <a:avLst/>
                    </a:prstGeom>
                    <a:noFill/>
                  </pic:spPr>
                </pic:pic>
              </a:graphicData>
            </a:graphic>
          </wp:anchor>
        </w:drawing>
      </w:r>
    </w:p>
    <w:p>
      <w:pPr>
        <w:spacing w:after="0" w:line="275" w:lineRule="exact"/>
        <w:rPr>
          <w:sz w:val="20"/>
          <w:szCs w:val="20"/>
          <w:color w:val="auto"/>
        </w:rPr>
      </w:pPr>
    </w:p>
    <w:p>
      <w:pPr>
        <w:jc w:val="both"/>
        <w:ind w:left="120" w:right="120"/>
        <w:spacing w:after="0" w:line="264" w:lineRule="auto"/>
        <w:rPr>
          <w:sz w:val="20"/>
          <w:szCs w:val="20"/>
          <w:color w:val="auto"/>
        </w:rPr>
      </w:pPr>
      <w:r>
        <w:rPr>
          <w:rFonts w:ascii="Arial" w:cs="Arial" w:eastAsia="Arial" w:hAnsi="Arial"/>
          <w:sz w:val="14"/>
          <w:szCs w:val="14"/>
          <w:color w:val="FFFFFF"/>
        </w:rPr>
        <w:t>The efficiency ratio deteriorated 50bps YoY due to higher transactional cost and growth in expenses related to digital transformation. If we exclude expenses related to disruptive initiatives (Yape + Krealo), the efficiency ratio stands at 42.5%, or 200bps lower than reported. If we exclude these expenses in the calculation for 1Q21 and 1Q22, the efficiency improves 50bps YoY.</w:t>
      </w:r>
    </w:p>
    <w:p>
      <w:pPr>
        <w:spacing w:after="0" w:line="200" w:lineRule="exact"/>
        <w:rPr>
          <w:sz w:val="20"/>
          <w:szCs w:val="20"/>
          <w:color w:val="auto"/>
        </w:rPr>
      </w:pPr>
    </w:p>
    <w:p>
      <w:pPr>
        <w:spacing w:after="0" w:line="206" w:lineRule="exact"/>
        <w:rPr>
          <w:sz w:val="20"/>
          <w:szCs w:val="20"/>
          <w:color w:val="auto"/>
        </w:rPr>
      </w:pPr>
    </w:p>
    <w:tbl>
      <w:tblPr>
        <w:tblLayout w:type="fixed"/>
        <w:tblInd w:w="1150" w:type="dxa"/>
        <w:tblCellMar>
          <w:top w:w="0" w:type="dxa"/>
          <w:left w:w="0" w:type="dxa"/>
          <w:bottom w:w="0" w:type="dxa"/>
          <w:right w:w="0" w:type="dxa"/>
        </w:tblCellMar>
      </w:tblPr>
      <w:tr>
        <w:trPr>
          <w:trHeight w:val="159"/>
        </w:trPr>
        <w:tc>
          <w:tcPr>
            <w:tcW w:w="396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4"/>
                <w:szCs w:val="14"/>
                <w:b w:val="1"/>
                <w:bCs w:val="1"/>
                <w:color w:val="FFFFFF"/>
              </w:rPr>
              <w:t>Operating efficiency</w:t>
            </w:r>
          </w:p>
        </w:tc>
        <w:tc>
          <w:tcPr>
            <w:tcW w:w="1000" w:type="dxa"/>
            <w:vAlign w:val="bottom"/>
            <w:tcBorders>
              <w:top w:val="single" w:sz="8" w:color="auto"/>
            </w:tcBorders>
            <w:shd w:val="clear" w:color="auto" w:fill="2AD2C9"/>
          </w:tcPr>
          <w:p>
            <w:pPr>
              <w:spacing w:after="0"/>
              <w:rPr>
                <w:sz w:val="13"/>
                <w:szCs w:val="13"/>
                <w:color w:val="auto"/>
              </w:rPr>
            </w:pPr>
          </w:p>
        </w:tc>
        <w:tc>
          <w:tcPr>
            <w:tcW w:w="1000" w:type="dxa"/>
            <w:vAlign w:val="bottom"/>
            <w:tcBorders>
              <w:top w:val="single" w:sz="8" w:color="auto"/>
            </w:tcBorders>
            <w:shd w:val="clear" w:color="auto" w:fill="2AD2C9"/>
          </w:tcPr>
          <w:p>
            <w:pPr>
              <w:ind w:left="240"/>
              <w:spacing w:after="0" w:line="159" w:lineRule="exact"/>
              <w:rPr>
                <w:sz w:val="20"/>
                <w:szCs w:val="20"/>
                <w:color w:val="auto"/>
              </w:rPr>
            </w:pPr>
            <w:r>
              <w:rPr>
                <w:rFonts w:ascii="Arial" w:cs="Arial" w:eastAsia="Arial" w:hAnsi="Arial"/>
                <w:sz w:val="14"/>
                <w:szCs w:val="14"/>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13"/>
                <w:szCs w:val="13"/>
                <w:color w:val="auto"/>
              </w:rPr>
            </w:pPr>
          </w:p>
        </w:tc>
        <w:tc>
          <w:tcPr>
            <w:tcW w:w="2040" w:type="dxa"/>
            <w:vAlign w:val="bottom"/>
            <w:tcBorders>
              <w:top w:val="single" w:sz="8" w:color="auto"/>
              <w:right w:val="single" w:sz="8" w:color="auto"/>
            </w:tcBorders>
            <w:gridSpan w:val="2"/>
            <w:shd w:val="clear" w:color="auto" w:fill="2AD2C9"/>
          </w:tcPr>
          <w:p>
            <w:pPr>
              <w:ind w:left="660"/>
              <w:spacing w:after="0" w:line="159" w:lineRule="exact"/>
              <w:rPr>
                <w:sz w:val="20"/>
                <w:szCs w:val="20"/>
                <w:color w:val="auto"/>
              </w:rPr>
            </w:pPr>
            <w:r>
              <w:rPr>
                <w:rFonts w:ascii="Arial" w:cs="Arial" w:eastAsia="Arial" w:hAnsi="Arial"/>
                <w:sz w:val="14"/>
                <w:szCs w:val="14"/>
                <w:b w:val="1"/>
                <w:bCs w:val="1"/>
                <w:color w:val="FFFFFF"/>
              </w:rPr>
              <w:t>% change</w:t>
            </w:r>
          </w:p>
        </w:tc>
      </w:tr>
      <w:tr>
        <w:trPr>
          <w:trHeight w:val="177"/>
        </w:trPr>
        <w:tc>
          <w:tcPr>
            <w:tcW w:w="396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S/000</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1Q21</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4Q21</w:t>
            </w:r>
          </w:p>
        </w:tc>
        <w:tc>
          <w:tcPr>
            <w:tcW w:w="10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1Q22</w:t>
            </w:r>
          </w:p>
        </w:tc>
        <w:tc>
          <w:tcPr>
            <w:tcW w:w="10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r>
      <w:tr>
        <w:trPr>
          <w:trHeight w:val="130"/>
        </w:trPr>
        <w:tc>
          <w:tcPr>
            <w:tcW w:w="396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0"/>
                <w:szCs w:val="10"/>
                <w:color w:val="auto"/>
              </w:rPr>
              <w:t xml:space="preserve">Operating expenses </w:t>
            </w:r>
            <w:r>
              <w:rPr>
                <w:rFonts w:ascii="Arial" w:cs="Arial" w:eastAsia="Arial" w:hAnsi="Arial"/>
                <w:sz w:val="15"/>
                <w:szCs w:val="15"/>
                <w:color w:val="auto"/>
                <w:vertAlign w:val="superscript"/>
              </w:rPr>
              <w:t>(1)</w:t>
            </w:r>
          </w:p>
        </w:tc>
        <w:tc>
          <w:tcPr>
            <w:tcW w:w="1000" w:type="dxa"/>
            <w:vAlign w:val="bottom"/>
          </w:tcPr>
          <w:p>
            <w:pPr>
              <w:jc w:val="center"/>
              <w:spacing w:after="0" w:line="130" w:lineRule="exact"/>
              <w:rPr>
                <w:sz w:val="20"/>
                <w:szCs w:val="20"/>
                <w:color w:val="auto"/>
              </w:rPr>
            </w:pPr>
            <w:r>
              <w:rPr>
                <w:rFonts w:ascii="Arial" w:cs="Arial" w:eastAsia="Arial" w:hAnsi="Arial"/>
                <w:sz w:val="14"/>
                <w:szCs w:val="14"/>
                <w:color w:val="auto"/>
              </w:rPr>
              <w:t>1,704,894</w:t>
            </w:r>
          </w:p>
        </w:tc>
        <w:tc>
          <w:tcPr>
            <w:tcW w:w="1000" w:type="dxa"/>
            <w:vAlign w:val="bottom"/>
          </w:tcPr>
          <w:p>
            <w:pPr>
              <w:jc w:val="center"/>
              <w:spacing w:after="0" w:line="130" w:lineRule="exact"/>
              <w:rPr>
                <w:sz w:val="20"/>
                <w:szCs w:val="20"/>
                <w:color w:val="auto"/>
              </w:rPr>
            </w:pPr>
            <w:r>
              <w:rPr>
                <w:rFonts w:ascii="Arial" w:cs="Arial" w:eastAsia="Arial" w:hAnsi="Arial"/>
                <w:sz w:val="14"/>
                <w:szCs w:val="14"/>
                <w:color w:val="auto"/>
              </w:rPr>
              <w:t>2,183,243</w:t>
            </w:r>
          </w:p>
        </w:tc>
        <w:tc>
          <w:tcPr>
            <w:tcW w:w="10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rPr>
              <w:t>1,946,181</w:t>
            </w:r>
          </w:p>
        </w:tc>
        <w:tc>
          <w:tcPr>
            <w:tcW w:w="1040" w:type="dxa"/>
            <w:vAlign w:val="bottom"/>
          </w:tcPr>
          <w:p>
            <w:pPr>
              <w:jc w:val="right"/>
              <w:ind w:right="248"/>
              <w:spacing w:after="0" w:line="130" w:lineRule="exact"/>
              <w:rPr>
                <w:sz w:val="20"/>
                <w:szCs w:val="20"/>
                <w:color w:val="auto"/>
              </w:rPr>
            </w:pPr>
            <w:r>
              <w:rPr>
                <w:rFonts w:ascii="Arial" w:cs="Arial" w:eastAsia="Arial" w:hAnsi="Arial"/>
                <w:sz w:val="14"/>
                <w:szCs w:val="14"/>
                <w:color w:val="auto"/>
              </w:rPr>
              <w:t>-10.9%</w:t>
            </w:r>
          </w:p>
        </w:tc>
        <w:tc>
          <w:tcPr>
            <w:tcW w:w="100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rPr>
              <w:t>14.2%</w:t>
            </w:r>
          </w:p>
        </w:tc>
      </w:tr>
      <w:tr>
        <w:trPr>
          <w:trHeight w:val="162"/>
        </w:trPr>
        <w:tc>
          <w:tcPr>
            <w:tcW w:w="396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color w:val="auto"/>
              </w:rPr>
              <w:t xml:space="preserve">Operating income </w:t>
            </w:r>
            <w:r>
              <w:rPr>
                <w:rFonts w:ascii="Arial" w:cs="Arial" w:eastAsia="Arial" w:hAnsi="Arial"/>
                <w:sz w:val="18"/>
                <w:szCs w:val="18"/>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4"/>
                <w:szCs w:val="14"/>
                <w:color w:val="auto"/>
              </w:rPr>
              <w:t>3,871,563</w:t>
            </w:r>
          </w:p>
        </w:tc>
        <w:tc>
          <w:tcPr>
            <w:tcW w:w="1000" w:type="dxa"/>
            <w:vAlign w:val="bottom"/>
          </w:tcPr>
          <w:p>
            <w:pPr>
              <w:jc w:val="center"/>
              <w:spacing w:after="0"/>
              <w:rPr>
                <w:sz w:val="20"/>
                <w:szCs w:val="20"/>
                <w:color w:val="auto"/>
              </w:rPr>
            </w:pPr>
            <w:r>
              <w:rPr>
                <w:rFonts w:ascii="Arial" w:cs="Arial" w:eastAsia="Arial" w:hAnsi="Arial"/>
                <w:sz w:val="14"/>
                <w:szCs w:val="14"/>
                <w:color w:val="auto"/>
              </w:rPr>
              <w:t>4,414,799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4,376,339</w:t>
            </w:r>
          </w:p>
        </w:tc>
        <w:tc>
          <w:tcPr>
            <w:tcW w:w="1040" w:type="dxa"/>
            <w:vAlign w:val="bottom"/>
          </w:tcPr>
          <w:p>
            <w:pPr>
              <w:jc w:val="right"/>
              <w:ind w:right="288"/>
              <w:spacing w:after="0"/>
              <w:rPr>
                <w:sz w:val="20"/>
                <w:szCs w:val="20"/>
                <w:color w:val="auto"/>
              </w:rPr>
            </w:pPr>
            <w:r>
              <w:rPr>
                <w:rFonts w:ascii="Arial" w:cs="Arial" w:eastAsia="Arial" w:hAnsi="Arial"/>
                <w:sz w:val="14"/>
                <w:szCs w:val="14"/>
                <w:color w:val="auto"/>
              </w:rPr>
              <w:t>-0.9%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13.0%</w:t>
            </w:r>
          </w:p>
        </w:tc>
      </w:tr>
      <w:tr>
        <w:trPr>
          <w:trHeight w:val="186"/>
        </w:trPr>
        <w:tc>
          <w:tcPr>
            <w:tcW w:w="3960" w:type="dxa"/>
            <w:vAlign w:val="bottom"/>
            <w:tcBorders>
              <w:left w:val="single" w:sz="8" w:color="auto"/>
              <w:bottom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49.5%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44.5%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-500 pbs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 pbs</w:t>
            </w:r>
          </w:p>
        </w:tc>
      </w:tr>
    </w:tbl>
    <w:p>
      <w:pPr>
        <w:ind w:left="1040" w:hanging="232"/>
        <w:spacing w:after="0"/>
        <w:tabs>
          <w:tab w:leader="none" w:pos="1040" w:val="left"/>
        </w:tabs>
        <w:numPr>
          <w:ilvl w:val="0"/>
          <w:numId w:val="41"/>
        </w:numPr>
        <w:rPr>
          <w:rFonts w:ascii="Arial" w:cs="Arial" w:eastAsia="Arial" w:hAnsi="Arial"/>
          <w:sz w:val="9"/>
          <w:szCs w:val="9"/>
          <w:color w:val="auto"/>
        </w:rPr>
      </w:pPr>
      <w:r>
        <w:rPr>
          <w:rFonts w:ascii="Arial" w:cs="Arial" w:eastAsia="Arial" w:hAnsi="Arial"/>
          <w:sz w:val="9"/>
          <w:szCs w:val="9"/>
          <w:color w:val="auto"/>
        </w:rPr>
        <w:t>Operating expenses = Salaries and employee’s benefits + Administrative expenses + Depreciation and amortization + Association in participation + Acquisition cost.</w:t>
      </w:r>
    </w:p>
    <w:p>
      <w:pPr>
        <w:spacing w:after="0" w:line="41" w:lineRule="exact"/>
        <w:rPr>
          <w:rFonts w:ascii="Arial" w:cs="Arial" w:eastAsia="Arial" w:hAnsi="Arial"/>
          <w:sz w:val="9"/>
          <w:szCs w:val="9"/>
          <w:color w:val="auto"/>
        </w:rPr>
      </w:pPr>
    </w:p>
    <w:p>
      <w:pPr>
        <w:ind w:left="1040" w:right="80" w:hanging="232"/>
        <w:spacing w:after="0" w:line="260" w:lineRule="auto"/>
        <w:tabs>
          <w:tab w:leader="none" w:pos="1040" w:val="left"/>
        </w:tabs>
        <w:numPr>
          <w:ilvl w:val="0"/>
          <w:numId w:val="41"/>
        </w:numPr>
        <w:rPr>
          <w:rFonts w:ascii="Arial" w:cs="Arial" w:eastAsia="Arial" w:hAnsi="Arial"/>
          <w:sz w:val="9"/>
          <w:szCs w:val="9"/>
          <w:color w:val="auto"/>
        </w:rPr>
      </w:pPr>
      <w:r>
        <w:rPr>
          <w:rFonts w:ascii="Arial" w:cs="Arial" w:eastAsia="Arial" w:hAnsi="Arial"/>
          <w:sz w:val="9"/>
          <w:szCs w:val="9"/>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spacing w:after="0" w:line="112" w:lineRule="exact"/>
        <w:rPr>
          <w:rFonts w:ascii="Arial" w:cs="Arial" w:eastAsia="Arial" w:hAnsi="Arial"/>
          <w:sz w:val="9"/>
          <w:szCs w:val="9"/>
          <w:color w:val="auto"/>
        </w:rPr>
      </w:pPr>
    </w:p>
    <w:p>
      <w:pPr>
        <w:ind w:left="1040" w:hanging="232"/>
        <w:spacing w:after="0"/>
        <w:tabs>
          <w:tab w:leader="none" w:pos="1040" w:val="left"/>
        </w:tabs>
        <w:numPr>
          <w:ilvl w:val="0"/>
          <w:numId w:val="41"/>
        </w:numPr>
        <w:rPr>
          <w:rFonts w:ascii="Arial" w:cs="Arial" w:eastAsia="Arial" w:hAnsi="Arial"/>
          <w:sz w:val="9"/>
          <w:szCs w:val="9"/>
          <w:color w:val="auto"/>
        </w:rPr>
      </w:pPr>
      <w:r>
        <w:rPr>
          <w:rFonts w:ascii="Arial" w:cs="Arial" w:eastAsia="Arial" w:hAnsi="Arial"/>
          <w:sz w:val="9"/>
          <w:szCs w:val="9"/>
          <w:color w:val="auto"/>
        </w:rPr>
        <w:t>Operating expenses / Operating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Efficiency ratio reported by subsidiary</w:t>
            </w:r>
          </w:p>
        </w:tc>
        <w:tc>
          <w:tcPr>
            <w:tcW w:w="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940" w:type="dxa"/>
            <w:vAlign w:val="bottom"/>
            <w:shd w:val="clear" w:color="auto" w:fill="2AD2C9"/>
          </w:tcPr>
          <w:p>
            <w:pPr>
              <w:jc w:val="center"/>
              <w:spacing w:after="0" w:line="139" w:lineRule="exact"/>
              <w:rPr>
                <w:sz w:val="20"/>
                <w:szCs w:val="20"/>
                <w:color w:val="auto"/>
              </w:rPr>
            </w:pPr>
            <w:r>
              <w:rPr>
                <w:rFonts w:ascii="Arial" w:cs="Arial" w:eastAsia="Arial" w:hAnsi="Arial"/>
                <w:sz w:val="14"/>
                <w:szCs w:val="14"/>
                <w:b w:val="1"/>
                <w:bCs w:val="1"/>
                <w:color w:val="FFFFFF"/>
              </w:rPr>
              <w:t>BCP</w:t>
            </w:r>
          </w:p>
        </w:tc>
        <w:tc>
          <w:tcPr>
            <w:tcW w:w="1020" w:type="dxa"/>
            <w:vAlign w:val="bottom"/>
            <w:vMerge w:val="restart"/>
            <w:shd w:val="clear" w:color="auto" w:fill="2AD2C9"/>
          </w:tcPr>
          <w:p>
            <w:pPr>
              <w:jc w:val="center"/>
              <w:ind w:left="8"/>
              <w:spacing w:after="0"/>
              <w:rPr>
                <w:sz w:val="20"/>
                <w:szCs w:val="20"/>
                <w:color w:val="auto"/>
              </w:rPr>
            </w:pPr>
            <w:r>
              <w:rPr>
                <w:rFonts w:ascii="Arial" w:cs="Arial" w:eastAsia="Arial" w:hAnsi="Arial"/>
                <w:sz w:val="14"/>
                <w:szCs w:val="14"/>
                <w:b w:val="1"/>
                <w:bCs w:val="1"/>
                <w:color w:val="FFFFFF"/>
              </w:rPr>
              <w:t>BCP Bolivia</w:t>
            </w:r>
          </w:p>
        </w:tc>
        <w:tc>
          <w:tcPr>
            <w:tcW w:w="1100" w:type="dxa"/>
            <w:vAlign w:val="bottom"/>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Mibanco Peru</w:t>
            </w:r>
          </w:p>
        </w:tc>
        <w:tc>
          <w:tcPr>
            <w:tcW w:w="960" w:type="dxa"/>
            <w:vAlign w:val="bottom"/>
            <w:shd w:val="clear" w:color="auto" w:fill="2AD2C9"/>
          </w:tcPr>
          <w:p>
            <w:pPr>
              <w:jc w:val="center"/>
              <w:ind w:right="8"/>
              <w:spacing w:after="0" w:line="139" w:lineRule="exact"/>
              <w:rPr>
                <w:sz w:val="20"/>
                <w:szCs w:val="20"/>
                <w:color w:val="auto"/>
              </w:rPr>
            </w:pPr>
            <w:r>
              <w:rPr>
                <w:rFonts w:ascii="Arial" w:cs="Arial" w:eastAsia="Arial" w:hAnsi="Arial"/>
                <w:sz w:val="14"/>
                <w:szCs w:val="14"/>
                <w:b w:val="1"/>
                <w:bCs w:val="1"/>
                <w:color w:val="FFFFFF"/>
              </w:rPr>
              <w:t>Mibanco</w:t>
            </w:r>
          </w:p>
        </w:tc>
        <w:tc>
          <w:tcPr>
            <w:tcW w:w="1000" w:type="dxa"/>
            <w:vAlign w:val="bottom"/>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Pacífico</w:t>
            </w:r>
          </w:p>
        </w:tc>
        <w:tc>
          <w:tcPr>
            <w:tcW w:w="1040" w:type="dxa"/>
            <w:vAlign w:val="bottom"/>
            <w:tcBorders>
              <w:right w:val="single" w:sz="8" w:color="auto"/>
            </w:tcBorders>
            <w:shd w:val="clear" w:color="auto" w:fill="2AD2C9"/>
          </w:tcPr>
          <w:p>
            <w:pPr>
              <w:jc w:val="center"/>
              <w:spacing w:after="0" w:line="139" w:lineRule="exact"/>
              <w:rPr>
                <w:sz w:val="20"/>
                <w:szCs w:val="20"/>
                <w:color w:val="auto"/>
              </w:rPr>
            </w:pPr>
            <w:r>
              <w:rPr>
                <w:rFonts w:ascii="Arial" w:cs="Arial" w:eastAsia="Arial" w:hAnsi="Arial"/>
                <w:sz w:val="14"/>
                <w:szCs w:val="14"/>
                <w:b w:val="1"/>
                <w:bCs w:val="1"/>
                <w:color w:val="FFFFFF"/>
              </w:rPr>
              <w:t>Prima</w:t>
            </w:r>
          </w:p>
        </w:tc>
        <w:tc>
          <w:tcPr>
            <w:tcW w:w="10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Credicorp</w:t>
            </w:r>
          </w:p>
        </w:tc>
        <w:tc>
          <w:tcPr>
            <w:tcW w:w="0" w:type="dxa"/>
            <w:vAlign w:val="bottom"/>
          </w:tcPr>
          <w:p>
            <w:pPr>
              <w:spacing w:after="0"/>
              <w:rPr>
                <w:sz w:val="1"/>
                <w:szCs w:val="1"/>
                <w:color w:val="auto"/>
              </w:rPr>
            </w:pPr>
          </w:p>
        </w:tc>
      </w:tr>
      <w:tr>
        <w:trPr>
          <w:trHeight w:val="112"/>
        </w:trPr>
        <w:tc>
          <w:tcPr>
            <w:tcW w:w="1160" w:type="dxa"/>
            <w:vAlign w:val="bottom"/>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940" w:type="dxa"/>
            <w:vAlign w:val="bottom"/>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Individual</w:t>
            </w:r>
          </w:p>
        </w:tc>
        <w:tc>
          <w:tcPr>
            <w:tcW w:w="1020" w:type="dxa"/>
            <w:vAlign w:val="bottom"/>
            <w:vMerge w:val="continue"/>
            <w:shd w:val="clear" w:color="auto" w:fill="2AD2C9"/>
          </w:tcPr>
          <w:p>
            <w:pPr>
              <w:spacing w:after="0"/>
              <w:rPr>
                <w:sz w:val="9"/>
                <w:szCs w:val="9"/>
                <w:color w:val="auto"/>
              </w:rPr>
            </w:pPr>
          </w:p>
        </w:tc>
        <w:tc>
          <w:tcPr>
            <w:tcW w:w="1100" w:type="dxa"/>
            <w:vAlign w:val="bottom"/>
            <w:vMerge w:val="continue"/>
            <w:shd w:val="clear" w:color="auto" w:fill="2AD2C9"/>
          </w:tcPr>
          <w:p>
            <w:pPr>
              <w:spacing w:after="0"/>
              <w:rPr>
                <w:sz w:val="9"/>
                <w:szCs w:val="9"/>
                <w:color w:val="auto"/>
              </w:rPr>
            </w:pPr>
          </w:p>
        </w:tc>
        <w:tc>
          <w:tcPr>
            <w:tcW w:w="960" w:type="dxa"/>
            <w:vAlign w:val="bottom"/>
            <w:vMerge w:val="restart"/>
            <w:shd w:val="clear" w:color="auto" w:fill="2AD2C9"/>
          </w:tcPr>
          <w:p>
            <w:pPr>
              <w:jc w:val="center"/>
              <w:ind w:right="8"/>
              <w:spacing w:after="0"/>
              <w:rPr>
                <w:sz w:val="20"/>
                <w:szCs w:val="20"/>
                <w:color w:val="auto"/>
              </w:rPr>
            </w:pPr>
            <w:r>
              <w:rPr>
                <w:rFonts w:ascii="Arial" w:cs="Arial" w:eastAsia="Arial" w:hAnsi="Arial"/>
                <w:sz w:val="14"/>
                <w:szCs w:val="14"/>
                <w:b w:val="1"/>
                <w:bCs w:val="1"/>
                <w:color w:val="FFFFFF"/>
              </w:rPr>
              <w:t>Colombia</w:t>
            </w:r>
          </w:p>
        </w:tc>
        <w:tc>
          <w:tcPr>
            <w:tcW w:w="1000" w:type="dxa"/>
            <w:vAlign w:val="bottom"/>
            <w:vMerge w:val="continue"/>
            <w:shd w:val="clear" w:color="auto" w:fill="2AD2C9"/>
          </w:tcPr>
          <w:p>
            <w:pPr>
              <w:spacing w:after="0"/>
              <w:rPr>
                <w:sz w:val="9"/>
                <w:szCs w:val="9"/>
                <w:color w:val="auto"/>
              </w:rPr>
            </w:pPr>
          </w:p>
        </w:tc>
        <w:tc>
          <w:tcPr>
            <w:tcW w:w="104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AFP</w:t>
            </w:r>
          </w:p>
        </w:tc>
        <w:tc>
          <w:tcPr>
            <w:tcW w:w="1020" w:type="dxa"/>
            <w:vAlign w:val="bottom"/>
            <w:tcBorders>
              <w:right w:val="single" w:sz="8" w:color="auto"/>
            </w:tcBorders>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940" w:type="dxa"/>
            <w:vAlign w:val="bottom"/>
            <w:vMerge w:val="continue"/>
            <w:shd w:val="clear" w:color="auto" w:fill="2AD2C9"/>
          </w:tcPr>
          <w:p>
            <w:pPr>
              <w:spacing w:after="0"/>
              <w:rPr>
                <w:sz w:val="5"/>
                <w:szCs w:val="5"/>
                <w:color w:val="auto"/>
              </w:rPr>
            </w:pPr>
          </w:p>
        </w:tc>
        <w:tc>
          <w:tcPr>
            <w:tcW w:w="1020" w:type="dxa"/>
            <w:vAlign w:val="bottom"/>
            <w:shd w:val="clear" w:color="auto" w:fill="2AD2C9"/>
          </w:tcPr>
          <w:p>
            <w:pPr>
              <w:spacing w:after="0"/>
              <w:rPr>
                <w:sz w:val="5"/>
                <w:szCs w:val="5"/>
                <w:color w:val="auto"/>
              </w:rPr>
            </w:pPr>
          </w:p>
        </w:tc>
        <w:tc>
          <w:tcPr>
            <w:tcW w:w="1100" w:type="dxa"/>
            <w:vAlign w:val="bottom"/>
            <w:shd w:val="clear" w:color="auto" w:fill="2AD2C9"/>
          </w:tcPr>
          <w:p>
            <w:pPr>
              <w:spacing w:after="0"/>
              <w:rPr>
                <w:sz w:val="5"/>
                <w:szCs w:val="5"/>
                <w:color w:val="auto"/>
              </w:rPr>
            </w:pPr>
          </w:p>
        </w:tc>
        <w:tc>
          <w:tcPr>
            <w:tcW w:w="960" w:type="dxa"/>
            <w:vAlign w:val="bottom"/>
            <w:vMerge w:val="continue"/>
            <w:shd w:val="clear" w:color="auto" w:fill="2AD2C9"/>
          </w:tcPr>
          <w:p>
            <w:pPr>
              <w:spacing w:after="0"/>
              <w:rPr>
                <w:sz w:val="5"/>
                <w:szCs w:val="5"/>
                <w:color w:val="auto"/>
              </w:rPr>
            </w:pPr>
          </w:p>
        </w:tc>
        <w:tc>
          <w:tcPr>
            <w:tcW w:w="1000" w:type="dxa"/>
            <w:vAlign w:val="bottom"/>
            <w:shd w:val="clear" w:color="auto" w:fill="2AD2C9"/>
          </w:tcPr>
          <w:p>
            <w:pPr>
              <w:spacing w:after="0"/>
              <w:rPr>
                <w:sz w:val="5"/>
                <w:szCs w:val="5"/>
                <w:color w:val="auto"/>
              </w:rPr>
            </w:pPr>
          </w:p>
        </w:tc>
        <w:tc>
          <w:tcPr>
            <w:tcW w:w="1040" w:type="dxa"/>
            <w:vAlign w:val="bottom"/>
            <w:tcBorders>
              <w:right w:val="single" w:sz="8" w:color="auto"/>
            </w:tcBorders>
            <w:vMerge w:val="continue"/>
            <w:shd w:val="clear" w:color="auto" w:fill="2AD2C9"/>
          </w:tcPr>
          <w:p>
            <w:pPr>
              <w:spacing w:after="0"/>
              <w:rPr>
                <w:sz w:val="5"/>
                <w:szCs w:val="5"/>
                <w:color w:val="auto"/>
              </w:rPr>
            </w:pPr>
          </w:p>
        </w:tc>
        <w:tc>
          <w:tcPr>
            <w:tcW w:w="1020" w:type="dxa"/>
            <w:vAlign w:val="bottom"/>
            <w:tcBorders>
              <w:right w:val="single" w:sz="8" w:color="auto"/>
            </w:tcBorders>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116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4Q20</w:t>
            </w:r>
          </w:p>
        </w:tc>
        <w:tc>
          <w:tcPr>
            <w:tcW w:w="940" w:type="dxa"/>
            <w:vAlign w:val="bottom"/>
          </w:tcPr>
          <w:p>
            <w:pPr>
              <w:jc w:val="center"/>
              <w:spacing w:after="0" w:line="139" w:lineRule="exact"/>
              <w:rPr>
                <w:sz w:val="20"/>
                <w:szCs w:val="20"/>
                <w:color w:val="auto"/>
              </w:rPr>
            </w:pPr>
            <w:r>
              <w:rPr>
                <w:rFonts w:ascii="Arial" w:cs="Arial" w:eastAsia="Arial" w:hAnsi="Arial"/>
                <w:sz w:val="14"/>
                <w:szCs w:val="14"/>
                <w:color w:val="auto"/>
              </w:rPr>
              <w:t>40.2%</w:t>
            </w:r>
          </w:p>
        </w:tc>
        <w:tc>
          <w:tcPr>
            <w:tcW w:w="1020" w:type="dxa"/>
            <w:vAlign w:val="bottom"/>
          </w:tcPr>
          <w:p>
            <w:pPr>
              <w:jc w:val="center"/>
              <w:ind w:left="8"/>
              <w:spacing w:after="0" w:line="139" w:lineRule="exact"/>
              <w:rPr>
                <w:sz w:val="20"/>
                <w:szCs w:val="20"/>
                <w:color w:val="auto"/>
              </w:rPr>
            </w:pPr>
            <w:r>
              <w:rPr>
                <w:rFonts w:ascii="Arial" w:cs="Arial" w:eastAsia="Arial" w:hAnsi="Arial"/>
                <w:sz w:val="14"/>
                <w:szCs w:val="14"/>
                <w:color w:val="auto"/>
              </w:rPr>
              <w:t>59.7%</w:t>
            </w:r>
          </w:p>
        </w:tc>
        <w:tc>
          <w:tcPr>
            <w:tcW w:w="1100" w:type="dxa"/>
            <w:vAlign w:val="bottom"/>
          </w:tcPr>
          <w:p>
            <w:pPr>
              <w:jc w:val="center"/>
              <w:spacing w:after="0" w:line="139" w:lineRule="exact"/>
              <w:rPr>
                <w:sz w:val="20"/>
                <w:szCs w:val="20"/>
                <w:color w:val="auto"/>
              </w:rPr>
            </w:pPr>
            <w:r>
              <w:rPr>
                <w:rFonts w:ascii="Arial" w:cs="Arial" w:eastAsia="Arial" w:hAnsi="Arial"/>
                <w:sz w:val="14"/>
                <w:szCs w:val="14"/>
                <w:color w:val="auto"/>
              </w:rPr>
              <w:t>62.0%</w:t>
            </w:r>
          </w:p>
        </w:tc>
        <w:tc>
          <w:tcPr>
            <w:tcW w:w="960" w:type="dxa"/>
            <w:vAlign w:val="bottom"/>
          </w:tcPr>
          <w:p>
            <w:pPr>
              <w:jc w:val="center"/>
              <w:ind w:right="8"/>
              <w:spacing w:after="0" w:line="139" w:lineRule="exact"/>
              <w:rPr>
                <w:sz w:val="20"/>
                <w:szCs w:val="20"/>
                <w:color w:val="auto"/>
              </w:rPr>
            </w:pPr>
            <w:r>
              <w:rPr>
                <w:rFonts w:ascii="Arial" w:cs="Arial" w:eastAsia="Arial" w:hAnsi="Arial"/>
                <w:sz w:val="14"/>
                <w:szCs w:val="14"/>
                <w:color w:val="auto"/>
              </w:rPr>
              <w:t>78.3%</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37.4%</w:t>
            </w: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46.5%</w:t>
            </w:r>
          </w:p>
        </w:tc>
        <w:tc>
          <w:tcPr>
            <w:tcW w:w="102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62"/>
        </w:trPr>
        <w:tc>
          <w:tcPr>
            <w:tcW w:w="116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3Q21</w:t>
            </w:r>
          </w:p>
        </w:tc>
        <w:tc>
          <w:tcPr>
            <w:tcW w:w="940" w:type="dxa"/>
            <w:vAlign w:val="bottom"/>
          </w:tcPr>
          <w:p>
            <w:pPr>
              <w:jc w:val="center"/>
              <w:spacing w:after="0"/>
              <w:rPr>
                <w:sz w:val="20"/>
                <w:szCs w:val="20"/>
                <w:color w:val="auto"/>
              </w:rPr>
            </w:pPr>
            <w:r>
              <w:rPr>
                <w:rFonts w:ascii="Arial" w:cs="Arial" w:eastAsia="Arial" w:hAnsi="Arial"/>
                <w:sz w:val="14"/>
                <w:szCs w:val="14"/>
                <w:color w:val="auto"/>
              </w:rPr>
              <w:t>47.4%</w:t>
            </w:r>
          </w:p>
        </w:tc>
        <w:tc>
          <w:tcPr>
            <w:tcW w:w="1020" w:type="dxa"/>
            <w:vAlign w:val="bottom"/>
          </w:tcPr>
          <w:p>
            <w:pPr>
              <w:jc w:val="center"/>
              <w:ind w:left="8"/>
              <w:spacing w:after="0"/>
              <w:rPr>
                <w:sz w:val="20"/>
                <w:szCs w:val="20"/>
                <w:color w:val="auto"/>
              </w:rPr>
            </w:pPr>
            <w:r>
              <w:rPr>
                <w:rFonts w:ascii="Arial" w:cs="Arial" w:eastAsia="Arial" w:hAnsi="Arial"/>
                <w:sz w:val="14"/>
                <w:szCs w:val="14"/>
                <w:color w:val="auto"/>
              </w:rPr>
              <w:t>70.0%</w:t>
            </w:r>
          </w:p>
        </w:tc>
        <w:tc>
          <w:tcPr>
            <w:tcW w:w="1100" w:type="dxa"/>
            <w:vAlign w:val="bottom"/>
          </w:tcPr>
          <w:p>
            <w:pPr>
              <w:jc w:val="center"/>
              <w:spacing w:after="0"/>
              <w:rPr>
                <w:sz w:val="20"/>
                <w:szCs w:val="20"/>
                <w:color w:val="auto"/>
              </w:rPr>
            </w:pPr>
            <w:r>
              <w:rPr>
                <w:rFonts w:ascii="Arial" w:cs="Arial" w:eastAsia="Arial" w:hAnsi="Arial"/>
                <w:sz w:val="14"/>
                <w:szCs w:val="14"/>
                <w:color w:val="auto"/>
              </w:rPr>
              <w:t>55.6%</w:t>
            </w:r>
          </w:p>
        </w:tc>
        <w:tc>
          <w:tcPr>
            <w:tcW w:w="960" w:type="dxa"/>
            <w:vAlign w:val="bottom"/>
          </w:tcPr>
          <w:p>
            <w:pPr>
              <w:jc w:val="center"/>
              <w:ind w:right="8"/>
              <w:spacing w:after="0"/>
              <w:rPr>
                <w:sz w:val="20"/>
                <w:szCs w:val="20"/>
                <w:color w:val="auto"/>
              </w:rPr>
            </w:pPr>
            <w:r>
              <w:rPr>
                <w:rFonts w:ascii="Arial" w:cs="Arial" w:eastAsia="Arial" w:hAnsi="Arial"/>
                <w:sz w:val="14"/>
                <w:szCs w:val="14"/>
                <w:color w:val="auto"/>
              </w:rPr>
              <w:t>67.4%</w:t>
            </w:r>
          </w:p>
        </w:tc>
        <w:tc>
          <w:tcPr>
            <w:tcW w:w="1000" w:type="dxa"/>
            <w:vAlign w:val="bottom"/>
          </w:tcPr>
          <w:p>
            <w:pPr>
              <w:jc w:val="center"/>
              <w:spacing w:after="0"/>
              <w:rPr>
                <w:sz w:val="20"/>
                <w:szCs w:val="20"/>
                <w:color w:val="auto"/>
              </w:rPr>
            </w:pPr>
            <w:r>
              <w:rPr>
                <w:rFonts w:ascii="Arial" w:cs="Arial" w:eastAsia="Arial" w:hAnsi="Arial"/>
                <w:sz w:val="14"/>
                <w:szCs w:val="14"/>
                <w:color w:val="auto"/>
              </w:rPr>
              <w:t>35.2%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77"/>
        </w:trPr>
        <w:tc>
          <w:tcPr>
            <w:tcW w:w="1160" w:type="dxa"/>
            <w:vAlign w:val="bottom"/>
            <w:tcBorders>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4Q21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40.6%</w:t>
            </w: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59.9%</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53.0%</w:t>
            </w:r>
          </w:p>
        </w:tc>
        <w:tc>
          <w:tcPr>
            <w:tcW w:w="9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79.2%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36.1%</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54.5%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53"/>
        </w:trPr>
        <w:tc>
          <w:tcPr>
            <w:tcW w:w="1160" w:type="dxa"/>
            <w:vAlign w:val="bottom"/>
            <w:tcBorders>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 change QoQ</w:t>
            </w:r>
          </w:p>
        </w:tc>
        <w:tc>
          <w:tcPr>
            <w:tcW w:w="9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-680 pbs</w:t>
            </w:r>
          </w:p>
        </w:tc>
        <w:tc>
          <w:tcPr>
            <w:tcW w:w="1020" w:type="dxa"/>
            <w:vAlign w:val="bottom"/>
            <w:tcBorders>
              <w:bottom w:val="single" w:sz="8" w:color="auto"/>
            </w:tcBorders>
          </w:tcPr>
          <w:p>
            <w:pPr>
              <w:jc w:val="center"/>
              <w:ind w:left="8"/>
              <w:spacing w:after="0" w:line="153" w:lineRule="exact"/>
              <w:rPr>
                <w:sz w:val="20"/>
                <w:szCs w:val="20"/>
                <w:color w:val="auto"/>
              </w:rPr>
            </w:pPr>
            <w:r>
              <w:rPr>
                <w:rFonts w:ascii="Arial" w:cs="Arial" w:eastAsia="Arial" w:hAnsi="Arial"/>
                <w:sz w:val="14"/>
                <w:szCs w:val="14"/>
                <w:b w:val="1"/>
                <w:bCs w:val="1"/>
                <w:color w:val="auto"/>
              </w:rPr>
              <w:t>-1010 pbs</w:t>
            </w:r>
          </w:p>
        </w:tc>
        <w:tc>
          <w:tcPr>
            <w:tcW w:w="11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-260 pbs</w:t>
            </w:r>
          </w:p>
        </w:tc>
        <w:tc>
          <w:tcPr>
            <w:tcW w:w="960" w:type="dxa"/>
            <w:vAlign w:val="bottom"/>
            <w:tcBorders>
              <w:bottom w:val="single" w:sz="8" w:color="auto"/>
            </w:tcBorders>
          </w:tcPr>
          <w:p>
            <w:pPr>
              <w:jc w:val="center"/>
              <w:ind w:right="8"/>
              <w:spacing w:after="0" w:line="153" w:lineRule="exact"/>
              <w:rPr>
                <w:sz w:val="20"/>
                <w:szCs w:val="20"/>
                <w:color w:val="auto"/>
              </w:rPr>
            </w:pPr>
            <w:r>
              <w:rPr>
                <w:rFonts w:ascii="Arial" w:cs="Arial" w:eastAsia="Arial" w:hAnsi="Arial"/>
                <w:sz w:val="14"/>
                <w:szCs w:val="14"/>
                <w:b w:val="1"/>
                <w:bCs w:val="1"/>
                <w:color w:val="auto"/>
              </w:rPr>
              <w:t>1180 pbs</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90 pbs</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-670 pbs</w:t>
            </w:r>
          </w:p>
        </w:tc>
        <w:tc>
          <w:tcPr>
            <w:tcW w:w="10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-500 pbs</w:t>
            </w:r>
          </w:p>
        </w:tc>
        <w:tc>
          <w:tcPr>
            <w:tcW w:w="0" w:type="dxa"/>
            <w:vAlign w:val="bottom"/>
          </w:tcPr>
          <w:p>
            <w:pPr>
              <w:spacing w:after="0"/>
              <w:rPr>
                <w:sz w:val="1"/>
                <w:szCs w:val="1"/>
                <w:color w:val="auto"/>
              </w:rPr>
            </w:pPr>
          </w:p>
        </w:tc>
      </w:tr>
      <w:tr>
        <w:trPr>
          <w:trHeight w:val="153"/>
        </w:trPr>
        <w:tc>
          <w:tcPr>
            <w:tcW w:w="1160" w:type="dxa"/>
            <w:vAlign w:val="bottom"/>
            <w:tcBorders>
              <w:right w:val="single" w:sz="8" w:color="auto"/>
            </w:tcBorders>
          </w:tcPr>
          <w:p>
            <w:pPr>
              <w:spacing w:after="0"/>
              <w:rPr>
                <w:sz w:val="13"/>
                <w:szCs w:val="13"/>
                <w:color w:val="auto"/>
              </w:rPr>
            </w:pPr>
          </w:p>
        </w:tc>
        <w:tc>
          <w:tcPr>
            <w:tcW w:w="19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 change YoY</w:t>
            </w:r>
          </w:p>
        </w:tc>
        <w:tc>
          <w:tcPr>
            <w:tcW w:w="9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40 pbs</w:t>
            </w:r>
          </w:p>
        </w:tc>
        <w:tc>
          <w:tcPr>
            <w:tcW w:w="1020" w:type="dxa"/>
            <w:vAlign w:val="bottom"/>
            <w:tcBorders>
              <w:bottom w:val="single" w:sz="8" w:color="auto"/>
            </w:tcBorders>
          </w:tcPr>
          <w:p>
            <w:pPr>
              <w:jc w:val="center"/>
              <w:ind w:left="8"/>
              <w:spacing w:after="0" w:line="153" w:lineRule="exact"/>
              <w:rPr>
                <w:sz w:val="20"/>
                <w:szCs w:val="20"/>
                <w:color w:val="auto"/>
              </w:rPr>
            </w:pPr>
            <w:r>
              <w:rPr>
                <w:rFonts w:ascii="Arial" w:cs="Arial" w:eastAsia="Arial" w:hAnsi="Arial"/>
                <w:sz w:val="14"/>
                <w:szCs w:val="14"/>
                <w:b w:val="1"/>
                <w:bCs w:val="1"/>
                <w:color w:val="auto"/>
              </w:rPr>
              <w:t>20 pbs</w:t>
            </w:r>
          </w:p>
        </w:tc>
        <w:tc>
          <w:tcPr>
            <w:tcW w:w="11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-900 pbs</w:t>
            </w:r>
          </w:p>
        </w:tc>
        <w:tc>
          <w:tcPr>
            <w:tcW w:w="960" w:type="dxa"/>
            <w:vAlign w:val="bottom"/>
            <w:tcBorders>
              <w:bottom w:val="single" w:sz="8" w:color="auto"/>
            </w:tcBorders>
          </w:tcPr>
          <w:p>
            <w:pPr>
              <w:jc w:val="center"/>
              <w:ind w:right="8"/>
              <w:spacing w:after="0" w:line="153" w:lineRule="exact"/>
              <w:rPr>
                <w:sz w:val="20"/>
                <w:szCs w:val="20"/>
                <w:color w:val="auto"/>
              </w:rPr>
            </w:pPr>
            <w:r>
              <w:rPr>
                <w:rFonts w:ascii="Arial" w:cs="Arial" w:eastAsia="Arial" w:hAnsi="Arial"/>
                <w:sz w:val="14"/>
                <w:szCs w:val="14"/>
                <w:b w:val="1"/>
                <w:bCs w:val="1"/>
                <w:color w:val="auto"/>
                <w:w w:val="99"/>
              </w:rPr>
              <w:t>90 pbs</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-130 pbs</w:t>
            </w:r>
          </w:p>
        </w:tc>
        <w:tc>
          <w:tcPr>
            <w:tcW w:w="104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800 pbs</w:t>
            </w:r>
          </w:p>
        </w:tc>
        <w:tc>
          <w:tcPr>
            <w:tcW w:w="1020" w:type="dxa"/>
            <w:vAlign w:val="bottom"/>
            <w:tcBorders>
              <w:bottom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50 pbs</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QoQ, </w:t>
      </w:r>
      <w:r>
        <w:rPr>
          <w:rFonts w:ascii="Times New Roman" w:cs="Times New Roman" w:eastAsia="Times New Roman" w:hAnsi="Times New Roman"/>
          <w:sz w:val="14"/>
          <w:szCs w:val="14"/>
          <w:color w:val="auto"/>
        </w:rPr>
        <w:t>the efficiency ratio registered an improvement given that expenses are higher in the last quarter of every year due to seasonality.</w:t>
      </w:r>
    </w:p>
    <w:p>
      <w:pPr>
        <w:spacing w:after="0" w:line="20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4"/>
          <w:szCs w:val="14"/>
          <w:b w:val="1"/>
          <w:bCs w:val="1"/>
          <w:color w:val="auto"/>
        </w:rPr>
        <w:t xml:space="preserve">YoY </w:t>
      </w:r>
      <w:r>
        <w:rPr>
          <w:rFonts w:ascii="Times New Roman" w:cs="Times New Roman" w:eastAsia="Times New Roman" w:hAnsi="Times New Roman"/>
          <w:sz w:val="14"/>
          <w:szCs w:val="14"/>
          <w:color w:val="auto"/>
        </w:rPr>
        <w:t>the deterioration in the efficiency ratio was primarily due to growth in expenses at</w:t>
      </w:r>
      <w:r>
        <w:rPr>
          <w:rFonts w:ascii="Times New Roman" w:cs="Times New Roman" w:eastAsia="Times New Roman" w:hAnsi="Times New Roman"/>
          <w:sz w:val="14"/>
          <w:szCs w:val="14"/>
          <w:b w:val="1"/>
          <w:bCs w:val="1"/>
          <w:color w:val="auto"/>
        </w:rPr>
        <w:t xml:space="preserve"> BCP Stand-alone, </w:t>
      </w:r>
      <w:r>
        <w:rPr>
          <w:rFonts w:ascii="Times New Roman" w:cs="Times New Roman" w:eastAsia="Times New Roman" w:hAnsi="Times New Roman"/>
          <w:sz w:val="14"/>
          <w:szCs w:val="14"/>
          <w:color w:val="auto"/>
        </w:rPr>
        <w:t>which were attributable to higher transactional cost; digital strategy investments; and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increase in reserves due to an uptick in earnings this quarter.</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The 900bps YoY improvement in efficiency at Mibanco Peru, which was driven by advances in the process to implement the hybrid model, were insufficient to offset the aforementioned deterioration. Mibanco’s hybrid model has generated an uptick in income due to an increase in loans generated by leads and disbursed through alternative channels, which has bolstered growth in volumes and int the loan margin while holding related costs down.</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It is important to note that Credicorp continues to invest in internal disruptive initiatives (Yape) and in its Corporate Venture Capital Center (Krealo) to expand existing markets while generating efficiencies. The impact of these initiatives on the efficiency ratio for 1Q21 is 200bps. If we exclude these initiatives from the calculations for 1Q21 and 1Q22, Credicorp's efficiency ratio improves 50bps YoY.</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42"/>
          <w:szCs w:val="42"/>
          <w:b w:val="1"/>
          <w:bCs w:val="1"/>
          <w:color w:val="E93CAC"/>
        </w:rPr>
        <w:t xml:space="preserve">10 </w:t>
      </w:r>
      <w:r>
        <w:rPr>
          <w:rFonts w:ascii="Times New Roman" w:cs="Times New Roman" w:eastAsia="Times New Roman" w:hAnsi="Times New Roman"/>
          <w:sz w:val="25"/>
          <w:szCs w:val="25"/>
          <w:b w:val="1"/>
          <w:bCs w:val="1"/>
          <w:color w:val="E93C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159625" cy="811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9625" cy="811530"/>
                    </a:xfrm>
                    <a:prstGeom prst="rect">
                      <a:avLst/>
                    </a:prstGeom>
                    <a:noFill/>
                  </pic:spPr>
                </pic:pic>
              </a:graphicData>
            </a:graphic>
          </wp:anchor>
        </w:drawing>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Credicorp’s Regulatory capital ratio was 1.51 times the capital requirement.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The CET1 capital ratio at BCP Stand-alone increase 62bps YoY to 11.6%, which reflected a 9.5% growth in capital &amp; reserves and higher accumulated earnings.</w:t>
      </w:r>
    </w:p>
    <w:p>
      <w:pPr>
        <w:spacing w:after="0" w:line="164" w:lineRule="exact"/>
        <w:rPr>
          <w:sz w:val="20"/>
          <w:szCs w:val="20"/>
          <w:color w:val="auto"/>
        </w:rPr>
      </w:pPr>
    </w:p>
    <w:p>
      <w:pPr>
        <w:ind w:left="120" w:right="120"/>
        <w:spacing w:after="0" w:line="263" w:lineRule="auto"/>
        <w:rPr>
          <w:sz w:val="20"/>
          <w:szCs w:val="20"/>
          <w:color w:val="auto"/>
        </w:rPr>
      </w:pPr>
      <w:r>
        <w:rPr>
          <w:rFonts w:ascii="Arial" w:cs="Arial" w:eastAsia="Arial" w:hAnsi="Arial"/>
          <w:sz w:val="14"/>
          <w:szCs w:val="14"/>
          <w:color w:val="FFFFFF"/>
        </w:rPr>
        <w:t>The CET1 ratio at Mibanco remained relatively stable QoQ and stood at 15.2%, while YoY increase 48bps attributable to an uptick in retained earnings and higher capitalization.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9.1 Credicorp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-90805</wp:posOffset>
            </wp:positionV>
            <wp:extent cx="2475865" cy="1443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75865" cy="1443990"/>
                    </a:xfrm>
                    <a:prstGeom prst="rect">
                      <a:avLst/>
                    </a:prstGeom>
                    <a:noFill/>
                  </pic:spPr>
                </pic:pic>
              </a:graphicData>
            </a:graphic>
          </wp:anchor>
        </w:drawing>
      </w:r>
    </w:p>
    <w:p>
      <w:pPr>
        <w:spacing w:after="0" w:line="168" w:lineRule="exact"/>
        <w:rPr>
          <w:sz w:val="20"/>
          <w:szCs w:val="20"/>
          <w:color w:val="auto"/>
        </w:rPr>
      </w:pPr>
    </w:p>
    <w:p>
      <w:pPr>
        <w:jc w:val="both"/>
        <w:ind w:right="5860"/>
        <w:spacing w:after="0" w:line="265" w:lineRule="auto"/>
        <w:rPr>
          <w:sz w:val="20"/>
          <w:szCs w:val="20"/>
          <w:color w:val="auto"/>
        </w:rPr>
      </w:pPr>
      <w:r>
        <w:rPr>
          <w:rFonts w:ascii="Times New Roman" w:cs="Times New Roman" w:eastAsia="Times New Roman" w:hAnsi="Times New Roman"/>
          <w:sz w:val="14"/>
          <w:szCs w:val="14"/>
          <w:color w:val="auto"/>
        </w:rPr>
        <w:t>Credicorp’s Regulatory Capital ratio stood 1.51 times above the capital requirement at the end of 4Q21. On a QoQ basis, the ratio declined 2bps due to a decrease in the subordinated debt balance, which was impacted by a drop in the exchange rate.</w:t>
      </w:r>
    </w:p>
    <w:p>
      <w:pPr>
        <w:spacing w:after="0" w:line="2" w:lineRule="exact"/>
        <w:rPr>
          <w:sz w:val="20"/>
          <w:szCs w:val="20"/>
          <w:color w:val="auto"/>
        </w:rPr>
      </w:pPr>
    </w:p>
    <w:p>
      <w:pPr>
        <w:jc w:val="both"/>
        <w:ind w:right="5860"/>
        <w:spacing w:after="0" w:line="262" w:lineRule="auto"/>
        <w:rPr>
          <w:sz w:val="20"/>
          <w:szCs w:val="20"/>
          <w:color w:val="auto"/>
        </w:rPr>
      </w:pPr>
      <w:r>
        <w:rPr>
          <w:rFonts w:ascii="Times New Roman" w:cs="Times New Roman" w:eastAsia="Times New Roman" w:hAnsi="Times New Roman"/>
          <w:sz w:val="14"/>
          <w:szCs w:val="14"/>
          <w:color w:val="auto"/>
        </w:rPr>
        <w:t>On a YoY basis, the Regulatory Capital ratio increased 4bps. Growth was attributable to a 7.8% decrease in regulatory capital, which reflected a temporary reduction in SBS’s credit risk requirement for companies in the financial system. This was partially offset by: (i) a reduction in the subordinated debt balance as 1Q20 was impacted by bond issuances in BCP Stand-alone and (ii) a decline in reserves after dividends were declared in August of last year.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9.1 Regulatory Capital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2111375" cy="12242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11375" cy="1224280"/>
                    </a:xfrm>
                    <a:prstGeom prst="rect">
                      <a:avLst/>
                    </a:prstGeom>
                    <a:noFill/>
                  </pic:spPr>
                </pic:pic>
              </a:graphicData>
            </a:graphic>
          </wp:anchor>
        </w:drawing>
      </w:r>
    </w:p>
    <w:p>
      <w:pPr>
        <w:spacing w:after="0" w:line="384" w:lineRule="exact"/>
        <w:rPr>
          <w:sz w:val="20"/>
          <w:szCs w:val="20"/>
          <w:color w:val="auto"/>
        </w:rPr>
      </w:pPr>
    </w:p>
    <w:p>
      <w:pPr>
        <w:jc w:val="both"/>
        <w:ind w:left="5860"/>
        <w:spacing w:after="0" w:line="265" w:lineRule="auto"/>
        <w:rPr>
          <w:sz w:val="20"/>
          <w:szCs w:val="20"/>
          <w:color w:val="auto"/>
        </w:rPr>
      </w:pPr>
      <w:r>
        <w:rPr>
          <w:rFonts w:ascii="Times New Roman" w:cs="Times New Roman" w:eastAsia="Times New Roman" w:hAnsi="Times New Roman"/>
          <w:sz w:val="14"/>
          <w:szCs w:val="14"/>
          <w:color w:val="auto"/>
        </w:rPr>
        <w:t>At the end of 1Q22, BCP Stand-alone the regulatory Tier 1 capital ratio and the regulatory global capital ratio at BCP Stand-alone rose to 10.7% (+80bps QoQ) and 15.8% (+85bps QoQ) respectively. Growth in both ratios was attributable to a 4.7% increase in total regulatory capital due to: (i) capitalization of earnings from the previous year and (ii) other capital reserves. This was accompanied by a 0.9% decline in total RWAs, which was attributable to a decrease in total loans. For the Regulatory Capital ratio, the aforementioned dynamics were partially offset by an exchange rate effect on subordinated debt balances.</w:t>
      </w:r>
    </w:p>
    <w:p>
      <w:pPr>
        <w:spacing w:after="0" w:line="200" w:lineRule="exact"/>
        <w:rPr>
          <w:sz w:val="20"/>
          <w:szCs w:val="20"/>
          <w:color w:val="auto"/>
        </w:rPr>
      </w:pPr>
    </w:p>
    <w:p>
      <w:pPr>
        <w:spacing w:after="0" w:line="36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In the YoY analysis, regulatory Tier 1 capital ratio rose 15bps, driven by a 7.2% increase in Tier 1 regulatory capital. However, the Regulatory Global ratio declined 67bps; this reflected a decrease in the subordinated debt balance which was attributable to a debt issued in 1Q21.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2022, BCP Stand-alone will report management solvency levels in IFRS accounting. Therefore, backward looking CET1 ratio figures will differ from what is reported for 1Q22 and on.</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FFFFFF"/>
        </w:rPr>
        <w:t>10.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59625" cy="1854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9625" cy="18542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Ratio Common Equity Tier 1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18415</wp:posOffset>
            </wp:positionV>
            <wp:extent cx="4910455" cy="908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10455" cy="90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BCP’s Common Equity Tier 1 (CET 1) ratio fell 28bps QoQ to 11.63% at the end of 1Q22. This evolution reflected a 51.9% decrease in accumulated earnings following the dividend declared at BCP in March 2022, and higher in unrealized losses (-57.5%) in a context marked by interest rate hikes. Finally, in the YoY analysis, the CET1 ratio rose 62bps; this reflected an increase of 9.5% in capital and reserves due to capitalization of earnings from the previous year, which was partially mitigated by growth of 4.8% in RWAs.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9.3 Mibanco Regulatory Capital</w:t>
      </w:r>
    </w:p>
    <w:p>
      <w:pPr>
        <w:spacing w:after="0" w:line="188" w:lineRule="exact"/>
        <w:rPr>
          <w:sz w:val="20"/>
          <w:szCs w:val="20"/>
          <w:color w:val="auto"/>
        </w:rPr>
      </w:pPr>
    </w:p>
    <w:p>
      <w:pPr>
        <w:jc w:val="both"/>
        <w:ind w:right="5860"/>
        <w:spacing w:after="0" w:line="276" w:lineRule="auto"/>
        <w:rPr>
          <w:sz w:val="20"/>
          <w:szCs w:val="20"/>
          <w:color w:val="auto"/>
        </w:rPr>
      </w:pPr>
      <w:r>
        <w:rPr>
          <w:rFonts w:ascii="Times New Roman" w:cs="Times New Roman" w:eastAsia="Times New Roman" w:hAnsi="Times New Roman"/>
          <w:sz w:val="14"/>
          <w:szCs w:val="14"/>
          <w:color w:val="auto"/>
        </w:rPr>
        <w:t>At Mibanco, the Regulatory Tier 1 Capital ratio and the Global Capital ratio at Mibanco stood at 13.2% (-72bps QoQ) and 15.6% (-79bps QoQ) respectively. This was largely due to an 5.5% increase in Regulatory RWAs (+5.5%), which was in turn driven loan portfolio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-342900</wp:posOffset>
            </wp:positionV>
            <wp:extent cx="2111375" cy="11760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11375" cy="1176020"/>
                    </a:xfrm>
                    <a:prstGeom prst="rect">
                      <a:avLst/>
                    </a:prstGeom>
                    <a:noFill/>
                  </pic:spPr>
                </pic:pic>
              </a:graphicData>
            </a:graphic>
          </wp:anchor>
        </w:drawing>
      </w:r>
    </w:p>
    <w:p>
      <w:pPr>
        <w:spacing w:after="0" w:line="291"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4"/>
          <w:szCs w:val="14"/>
          <w:color w:val="auto"/>
        </w:rPr>
        <w:t>The YoY evolution shows decreases of 124bps and 222bps in the Tier 1 Regulatory capital and the Regulatory Global capital ratios respectively. Both variations were attributable to growth in regulatory RWAs of 17.7% in line with loan growth.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As mentioned, in 2022, Mibanco will report management solvency levels in IFRS accounting. Therefore, backward looking CET1 ratio figures will differ from what is reported for 1Q22 and on. Finally, the CET1 Ratio remained relatively stable QoQ at 15.21% at the close of 1Q22. In the YoY analysis, the CET1 ratio increased 48bps. This growth was attributable to an uptick in retained earnings and to higher levels of capitalization but offset by higher RWAs.</w:t>
      </w: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35"/>
          <w:szCs w:val="35"/>
          <w:b w:val="1"/>
          <w:bCs w:val="1"/>
          <w:color w:val="E93CAC"/>
        </w:rPr>
        <w:t xml:space="preserve">11 </w:t>
      </w:r>
      <w:r>
        <w:rPr>
          <w:rFonts w:ascii="Times New Roman" w:cs="Times New Roman" w:eastAsia="Times New Roman" w:hAnsi="Times New Roman"/>
          <w:sz w:val="25"/>
          <w:szCs w:val="25"/>
          <w:color w:val="E93C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59625" cy="914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9625" cy="914400"/>
                    </a:xfrm>
                    <a:prstGeom prst="rect">
                      <a:avLst/>
                    </a:prstGeom>
                    <a:noFill/>
                  </pic:spPr>
                </pic:pic>
              </a:graphicData>
            </a:graphic>
          </wp:anchor>
        </w:drawing>
      </w:r>
    </w:p>
    <w:p>
      <w:pPr>
        <w:spacing w:after="0" w:line="275" w:lineRule="exact"/>
        <w:rPr>
          <w:sz w:val="20"/>
          <w:szCs w:val="20"/>
          <w:color w:val="auto"/>
        </w:rPr>
      </w:pPr>
    </w:p>
    <w:p>
      <w:pPr>
        <w:ind w:left="120" w:right="120"/>
        <w:spacing w:after="0" w:line="286" w:lineRule="auto"/>
        <w:rPr>
          <w:sz w:val="20"/>
          <w:szCs w:val="20"/>
          <w:color w:val="auto"/>
        </w:rPr>
      </w:pPr>
      <w:r>
        <w:rPr>
          <w:rFonts w:ascii="Arial" w:cs="Arial" w:eastAsia="Arial" w:hAnsi="Arial"/>
          <w:sz w:val="14"/>
          <w:szCs w:val="14"/>
          <w:color w:val="FFFFFF"/>
        </w:rPr>
        <w:t>Peruvian economy is expected to have grown 3.5% YoY in 1Q22 in a context marked by more typical levels of economic activity, and by favorable prices for export commodities. In 2021, GDP increased 13.3%.</w:t>
      </w:r>
    </w:p>
    <w:p>
      <w:pPr>
        <w:spacing w:after="0" w:line="104" w:lineRule="exact"/>
        <w:rPr>
          <w:sz w:val="20"/>
          <w:szCs w:val="20"/>
          <w:color w:val="auto"/>
        </w:rPr>
      </w:pPr>
    </w:p>
    <w:p>
      <w:pPr>
        <w:ind w:left="120" w:right="100"/>
        <w:spacing w:after="0" w:line="286" w:lineRule="auto"/>
        <w:rPr>
          <w:sz w:val="20"/>
          <w:szCs w:val="20"/>
          <w:color w:val="auto"/>
        </w:rPr>
      </w:pPr>
      <w:r>
        <w:rPr>
          <w:rFonts w:ascii="Arial" w:cs="Arial" w:eastAsia="Arial" w:hAnsi="Arial"/>
          <w:sz w:val="14"/>
          <w:szCs w:val="14"/>
          <w:color w:val="FFFFFF"/>
        </w:rPr>
        <w:t>The annual Inflation rate for 1Q22 closed at 6.8% YoY, which represented the highest level since August 1998. The uptick in the inflation rate was primarily driven by increases in food and energy prices due to the conflict in Ukraine, which began in February.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4"/>
          <w:szCs w:val="14"/>
          <w:color w:val="FFFFFF"/>
        </w:rPr>
        <w:t>According to BCRP, the exchange rate closed at USDPEN 3.67 in 1Q22, which represents a decrease of 7.9% from the 3.99 registered in 4Q21.</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142240</wp:posOffset>
            </wp:positionV>
            <wp:extent cx="6985" cy="1924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85" cy="19240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142240</wp:posOffset>
            </wp:positionV>
            <wp:extent cx="6985" cy="1924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85" cy="19240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142240</wp:posOffset>
            </wp:positionV>
            <wp:extent cx="6985" cy="1924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85" cy="19240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142240</wp:posOffset>
            </wp:positionV>
            <wp:extent cx="6985" cy="1924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85" cy="1924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142240</wp:posOffset>
            </wp:positionV>
            <wp:extent cx="6985" cy="1924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85" cy="192405"/>
                    </a:xfrm>
                    <a:prstGeom prst="rect">
                      <a:avLst/>
                    </a:prstGeom>
                    <a:noFill/>
                  </pic:spPr>
                </pic:pic>
              </a:graphicData>
            </a:graphic>
          </wp:anchor>
        </w:drawing>
        <w:drawing>
          <wp:anchor simplePos="0" relativeHeight="251657728" behindDoc="1" locked="0" layoutInCell="0" allowOverlap="1">
            <wp:simplePos x="0" y="0"/>
            <wp:positionH relativeFrom="column">
              <wp:posOffset>2872105</wp:posOffset>
            </wp:positionH>
            <wp:positionV relativeFrom="paragraph">
              <wp:posOffset>142240</wp:posOffset>
            </wp:positionV>
            <wp:extent cx="6985" cy="1924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85" cy="19240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680" w:type="dxa"/>
            <w:vAlign w:val="bottom"/>
            <w:shd w:val="clear" w:color="auto" w:fill="2AD2C9"/>
          </w:tcPr>
          <w:p>
            <w:pPr>
              <w:ind w:left="2100"/>
              <w:spacing w:after="0"/>
              <w:rPr>
                <w:sz w:val="20"/>
                <w:szCs w:val="20"/>
                <w:color w:val="auto"/>
              </w:rPr>
            </w:pPr>
            <w:r>
              <w:rPr>
                <w:rFonts w:ascii="Arial" w:cs="Arial" w:eastAsia="Arial" w:hAnsi="Arial"/>
                <w:sz w:val="14"/>
                <w:szCs w:val="14"/>
                <w:b w:val="1"/>
                <w:bCs w:val="1"/>
                <w:color w:val="FFFFFF"/>
              </w:rPr>
              <w:t>Peru</w:t>
            </w:r>
          </w:p>
        </w:tc>
        <w:tc>
          <w:tcPr>
            <w:tcW w:w="1860" w:type="dxa"/>
            <w:vAlign w:val="bottom"/>
            <w:shd w:val="clear" w:color="auto" w:fill="2AD2C9"/>
          </w:tcPr>
          <w:p>
            <w:pPr>
              <w:jc w:val="center"/>
              <w:ind w:left="788"/>
              <w:spacing w:after="0"/>
              <w:rPr>
                <w:sz w:val="20"/>
                <w:szCs w:val="20"/>
                <w:color w:val="auto"/>
              </w:rPr>
            </w:pPr>
            <w:r>
              <w:rPr>
                <w:rFonts w:ascii="Arial" w:cs="Arial" w:eastAsia="Arial" w:hAnsi="Arial"/>
                <w:sz w:val="14"/>
                <w:szCs w:val="14"/>
                <w:b w:val="1"/>
                <w:bCs w:val="1"/>
                <w:color w:val="FFFFFF"/>
              </w:rPr>
              <w:t>2018</w:t>
            </w:r>
          </w:p>
        </w:tc>
        <w:tc>
          <w:tcPr>
            <w:tcW w:w="100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2019</w:t>
            </w:r>
          </w:p>
        </w:tc>
        <w:tc>
          <w:tcPr>
            <w:tcW w:w="100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2020</w:t>
            </w:r>
          </w:p>
        </w:tc>
        <w:tc>
          <w:tcPr>
            <w:tcW w:w="102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2021</w:t>
            </w:r>
          </w:p>
        </w:tc>
        <w:tc>
          <w:tcPr>
            <w:tcW w:w="102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 xml:space="preserve">2022 </w:t>
            </w:r>
            <w:r>
              <w:rPr>
                <w:rFonts w:ascii="Arial" w:cs="Arial" w:eastAsia="Arial" w:hAnsi="Arial"/>
                <w:sz w:val="24"/>
                <w:szCs w:val="24"/>
                <w:b w:val="1"/>
                <w:bCs w:val="1"/>
                <w:color w:val="FFFFFF"/>
                <w:w w:val="95"/>
                <w:vertAlign w:val="superscript"/>
              </w:rPr>
              <w:t>(3)</w:t>
            </w:r>
          </w:p>
        </w:tc>
      </w:tr>
      <w:tr>
        <w:trPr>
          <w:trHeight w:val="148"/>
        </w:trPr>
        <w:tc>
          <w:tcPr>
            <w:tcW w:w="3680" w:type="dxa"/>
            <w:vAlign w:val="bottom"/>
          </w:tcPr>
          <w:p>
            <w:pPr>
              <w:spacing w:after="0" w:line="148" w:lineRule="exact"/>
              <w:rPr>
                <w:sz w:val="20"/>
                <w:szCs w:val="20"/>
                <w:color w:val="auto"/>
              </w:rPr>
            </w:pPr>
            <w:r>
              <w:rPr>
                <w:rFonts w:ascii="Arial" w:cs="Arial" w:eastAsia="Arial" w:hAnsi="Arial"/>
                <w:sz w:val="14"/>
                <w:szCs w:val="14"/>
                <w:color w:val="auto"/>
              </w:rPr>
              <w:t>GDP (US$ Millions)</w:t>
            </w:r>
          </w:p>
        </w:tc>
        <w:tc>
          <w:tcPr>
            <w:tcW w:w="1860" w:type="dxa"/>
            <w:vAlign w:val="bottom"/>
          </w:tcPr>
          <w:p>
            <w:pPr>
              <w:jc w:val="center"/>
              <w:ind w:left="748"/>
              <w:spacing w:after="0" w:line="148" w:lineRule="exact"/>
              <w:rPr>
                <w:sz w:val="20"/>
                <w:szCs w:val="20"/>
                <w:color w:val="auto"/>
              </w:rPr>
            </w:pPr>
            <w:r>
              <w:rPr>
                <w:rFonts w:ascii="Arial" w:cs="Arial" w:eastAsia="Arial" w:hAnsi="Arial"/>
                <w:sz w:val="14"/>
                <w:szCs w:val="14"/>
                <w:color w:val="auto"/>
              </w:rPr>
              <w:t>226,856</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232,447</w:t>
            </w:r>
          </w:p>
        </w:tc>
        <w:tc>
          <w:tcPr>
            <w:tcW w:w="1000" w:type="dxa"/>
            <w:vAlign w:val="bottom"/>
          </w:tcPr>
          <w:p>
            <w:pPr>
              <w:jc w:val="center"/>
              <w:spacing w:after="0" w:line="148" w:lineRule="exact"/>
              <w:rPr>
                <w:sz w:val="20"/>
                <w:szCs w:val="20"/>
                <w:color w:val="auto"/>
              </w:rPr>
            </w:pPr>
            <w:r>
              <w:rPr>
                <w:rFonts w:ascii="Arial" w:cs="Arial" w:eastAsia="Arial" w:hAnsi="Arial"/>
                <w:sz w:val="14"/>
                <w:szCs w:val="14"/>
                <w:color w:val="auto"/>
              </w:rPr>
              <w:t>205,689</w:t>
            </w:r>
          </w:p>
        </w:tc>
        <w:tc>
          <w:tcPr>
            <w:tcW w:w="1020" w:type="dxa"/>
            <w:vAlign w:val="bottom"/>
          </w:tcPr>
          <w:p>
            <w:pPr>
              <w:jc w:val="center"/>
              <w:spacing w:after="0" w:line="148" w:lineRule="exact"/>
              <w:rPr>
                <w:sz w:val="20"/>
                <w:szCs w:val="20"/>
                <w:color w:val="auto"/>
              </w:rPr>
            </w:pPr>
            <w:r>
              <w:rPr>
                <w:rFonts w:ascii="Arial" w:cs="Arial" w:eastAsia="Arial" w:hAnsi="Arial"/>
                <w:sz w:val="14"/>
                <w:szCs w:val="14"/>
                <w:color w:val="auto"/>
              </w:rPr>
              <w:t>225,433</w:t>
            </w:r>
          </w:p>
        </w:tc>
        <w:tc>
          <w:tcPr>
            <w:tcW w:w="1020" w:type="dxa"/>
            <w:vAlign w:val="bottom"/>
            <w:shd w:val="clear" w:color="auto" w:fill="AAAAAA"/>
          </w:tcPr>
          <w:p>
            <w:pPr>
              <w:jc w:val="center"/>
              <w:spacing w:after="0" w:line="148" w:lineRule="exact"/>
              <w:rPr>
                <w:sz w:val="20"/>
                <w:szCs w:val="20"/>
                <w:color w:val="auto"/>
              </w:rPr>
            </w:pPr>
            <w:r>
              <w:rPr>
                <w:rFonts w:ascii="Arial" w:cs="Arial" w:eastAsia="Arial" w:hAnsi="Arial"/>
                <w:sz w:val="14"/>
                <w:szCs w:val="14"/>
                <w:color w:val="auto"/>
              </w:rPr>
              <w:t>252,571</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Real GDP (% change)</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4.0</w:t>
            </w:r>
          </w:p>
        </w:tc>
        <w:tc>
          <w:tcPr>
            <w:tcW w:w="1000" w:type="dxa"/>
            <w:vAlign w:val="bottom"/>
          </w:tcPr>
          <w:p>
            <w:pPr>
              <w:jc w:val="center"/>
              <w:spacing w:after="0"/>
              <w:rPr>
                <w:sz w:val="20"/>
                <w:szCs w:val="20"/>
                <w:color w:val="auto"/>
              </w:rPr>
            </w:pPr>
            <w:r>
              <w:rPr>
                <w:rFonts w:ascii="Arial" w:cs="Arial" w:eastAsia="Arial" w:hAnsi="Arial"/>
                <w:sz w:val="14"/>
                <w:szCs w:val="14"/>
                <w:color w:val="auto"/>
              </w:rPr>
              <w:t>2.2</w:t>
            </w:r>
          </w:p>
        </w:tc>
        <w:tc>
          <w:tcPr>
            <w:tcW w:w="1000" w:type="dxa"/>
            <w:vAlign w:val="bottom"/>
          </w:tcPr>
          <w:p>
            <w:pPr>
              <w:jc w:val="center"/>
              <w:spacing w:after="0"/>
              <w:rPr>
                <w:sz w:val="20"/>
                <w:szCs w:val="20"/>
                <w:color w:val="auto"/>
              </w:rPr>
            </w:pPr>
            <w:r>
              <w:rPr>
                <w:rFonts w:ascii="Arial" w:cs="Arial" w:eastAsia="Arial" w:hAnsi="Arial"/>
                <w:sz w:val="14"/>
                <w:szCs w:val="14"/>
                <w:color w:val="auto"/>
              </w:rPr>
              <w:t>-11.0</w:t>
            </w:r>
          </w:p>
        </w:tc>
        <w:tc>
          <w:tcPr>
            <w:tcW w:w="1020" w:type="dxa"/>
            <w:vAlign w:val="bottom"/>
          </w:tcPr>
          <w:p>
            <w:pPr>
              <w:jc w:val="center"/>
              <w:spacing w:after="0"/>
              <w:rPr>
                <w:sz w:val="20"/>
                <w:szCs w:val="20"/>
                <w:color w:val="auto"/>
              </w:rPr>
            </w:pPr>
            <w:r>
              <w:rPr>
                <w:rFonts w:ascii="Arial" w:cs="Arial" w:eastAsia="Arial" w:hAnsi="Arial"/>
                <w:sz w:val="14"/>
                <w:szCs w:val="14"/>
                <w:color w:val="auto"/>
              </w:rPr>
              <w:t>13.3</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2.5</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GDP per capita (US$)</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7,045</w:t>
            </w:r>
          </w:p>
        </w:tc>
        <w:tc>
          <w:tcPr>
            <w:tcW w:w="1000" w:type="dxa"/>
            <w:vAlign w:val="bottom"/>
          </w:tcPr>
          <w:p>
            <w:pPr>
              <w:jc w:val="center"/>
              <w:spacing w:after="0"/>
              <w:rPr>
                <w:sz w:val="20"/>
                <w:szCs w:val="20"/>
                <w:color w:val="auto"/>
              </w:rPr>
            </w:pPr>
            <w:r>
              <w:rPr>
                <w:rFonts w:ascii="Arial" w:cs="Arial" w:eastAsia="Arial" w:hAnsi="Arial"/>
                <w:sz w:val="14"/>
                <w:szCs w:val="14"/>
                <w:color w:val="auto"/>
              </w:rPr>
              <w:t>7,152</w:t>
            </w:r>
          </w:p>
        </w:tc>
        <w:tc>
          <w:tcPr>
            <w:tcW w:w="1000" w:type="dxa"/>
            <w:vAlign w:val="bottom"/>
          </w:tcPr>
          <w:p>
            <w:pPr>
              <w:jc w:val="center"/>
              <w:spacing w:after="0"/>
              <w:rPr>
                <w:sz w:val="20"/>
                <w:szCs w:val="20"/>
                <w:color w:val="auto"/>
              </w:rPr>
            </w:pPr>
            <w:r>
              <w:rPr>
                <w:rFonts w:ascii="Arial" w:cs="Arial" w:eastAsia="Arial" w:hAnsi="Arial"/>
                <w:sz w:val="14"/>
                <w:szCs w:val="14"/>
                <w:color w:val="auto"/>
              </w:rPr>
              <w:t>6,304</w:t>
            </w:r>
          </w:p>
        </w:tc>
        <w:tc>
          <w:tcPr>
            <w:tcW w:w="1020" w:type="dxa"/>
            <w:vAlign w:val="bottom"/>
          </w:tcPr>
          <w:p>
            <w:pPr>
              <w:jc w:val="center"/>
              <w:spacing w:after="0"/>
              <w:rPr>
                <w:sz w:val="20"/>
                <w:szCs w:val="20"/>
                <w:color w:val="auto"/>
              </w:rPr>
            </w:pPr>
            <w:r>
              <w:rPr>
                <w:rFonts w:ascii="Arial" w:cs="Arial" w:eastAsia="Arial" w:hAnsi="Arial"/>
                <w:sz w:val="14"/>
                <w:szCs w:val="14"/>
                <w:color w:val="auto"/>
              </w:rPr>
              <w:t>6,834</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7,570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Domestic demand (% change)</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4.2</w:t>
            </w:r>
          </w:p>
        </w:tc>
        <w:tc>
          <w:tcPr>
            <w:tcW w:w="1000" w:type="dxa"/>
            <w:vAlign w:val="bottom"/>
          </w:tcPr>
          <w:p>
            <w:pPr>
              <w:jc w:val="center"/>
              <w:spacing w:after="0"/>
              <w:rPr>
                <w:sz w:val="20"/>
                <w:szCs w:val="20"/>
                <w:color w:val="auto"/>
              </w:rPr>
            </w:pPr>
            <w:r>
              <w:rPr>
                <w:rFonts w:ascii="Arial" w:cs="Arial" w:eastAsia="Arial" w:hAnsi="Arial"/>
                <w:sz w:val="14"/>
                <w:szCs w:val="14"/>
                <w:color w:val="auto"/>
              </w:rPr>
              <w:t>2.3</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-9.5</w:t>
            </w:r>
          </w:p>
        </w:tc>
        <w:tc>
          <w:tcPr>
            <w:tcW w:w="1020" w:type="dxa"/>
            <w:vAlign w:val="bottom"/>
          </w:tcPr>
          <w:p>
            <w:pPr>
              <w:jc w:val="center"/>
              <w:spacing w:after="0"/>
              <w:rPr>
                <w:sz w:val="20"/>
                <w:szCs w:val="20"/>
                <w:color w:val="auto"/>
              </w:rPr>
            </w:pPr>
            <w:r>
              <w:rPr>
                <w:rFonts w:ascii="Arial" w:cs="Arial" w:eastAsia="Arial" w:hAnsi="Arial"/>
                <w:sz w:val="14"/>
                <w:szCs w:val="14"/>
                <w:color w:val="auto"/>
              </w:rPr>
              <w:t>14.4</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2.0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Gross fixed investment (as % GDP)</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21.6</w:t>
            </w:r>
          </w:p>
        </w:tc>
        <w:tc>
          <w:tcPr>
            <w:tcW w:w="1000" w:type="dxa"/>
            <w:vAlign w:val="bottom"/>
          </w:tcPr>
          <w:p>
            <w:pPr>
              <w:jc w:val="center"/>
              <w:spacing w:after="0"/>
              <w:rPr>
                <w:sz w:val="20"/>
                <w:szCs w:val="20"/>
                <w:color w:val="auto"/>
              </w:rPr>
            </w:pPr>
            <w:r>
              <w:rPr>
                <w:rFonts w:ascii="Arial" w:cs="Arial" w:eastAsia="Arial" w:hAnsi="Arial"/>
                <w:sz w:val="14"/>
                <w:szCs w:val="14"/>
                <w:color w:val="auto"/>
              </w:rPr>
              <w:t>21.1</w:t>
            </w:r>
          </w:p>
        </w:tc>
        <w:tc>
          <w:tcPr>
            <w:tcW w:w="1000" w:type="dxa"/>
            <w:vAlign w:val="bottom"/>
          </w:tcPr>
          <w:p>
            <w:pPr>
              <w:jc w:val="center"/>
              <w:spacing w:after="0"/>
              <w:rPr>
                <w:sz w:val="20"/>
                <w:szCs w:val="20"/>
                <w:color w:val="auto"/>
              </w:rPr>
            </w:pPr>
            <w:r>
              <w:rPr>
                <w:rFonts w:ascii="Arial" w:cs="Arial" w:eastAsia="Arial" w:hAnsi="Arial"/>
                <w:sz w:val="14"/>
                <w:szCs w:val="14"/>
                <w:color w:val="auto"/>
              </w:rPr>
              <w:t>19.3</w:t>
            </w:r>
          </w:p>
        </w:tc>
        <w:tc>
          <w:tcPr>
            <w:tcW w:w="1020" w:type="dxa"/>
            <w:vAlign w:val="bottom"/>
          </w:tcPr>
          <w:p>
            <w:pPr>
              <w:jc w:val="center"/>
              <w:spacing w:after="0"/>
              <w:rPr>
                <w:sz w:val="20"/>
                <w:szCs w:val="20"/>
                <w:color w:val="auto"/>
              </w:rPr>
            </w:pPr>
            <w:r>
              <w:rPr>
                <w:rFonts w:ascii="Arial" w:cs="Arial" w:eastAsia="Arial" w:hAnsi="Arial"/>
                <w:sz w:val="14"/>
                <w:szCs w:val="14"/>
                <w:color w:val="auto"/>
              </w:rPr>
              <w:t>21.3</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20.6</w:t>
            </w:r>
          </w:p>
        </w:tc>
      </w:tr>
      <w:tr>
        <w:trPr>
          <w:trHeight w:val="154"/>
        </w:trPr>
        <w:tc>
          <w:tcPr>
            <w:tcW w:w="3680" w:type="dxa"/>
            <w:vAlign w:val="bottom"/>
          </w:tcPr>
          <w:p>
            <w:pPr>
              <w:spacing w:after="0" w:line="154" w:lineRule="exact"/>
              <w:rPr>
                <w:sz w:val="20"/>
                <w:szCs w:val="20"/>
                <w:color w:val="auto"/>
              </w:rPr>
            </w:pPr>
            <w:r>
              <w:rPr>
                <w:rFonts w:ascii="Arial" w:cs="Arial" w:eastAsia="Arial" w:hAnsi="Arial"/>
                <w:sz w:val="14"/>
                <w:szCs w:val="14"/>
                <w:color w:val="auto"/>
              </w:rPr>
              <w:t>Public Debt (as % GDP)</w:t>
            </w:r>
          </w:p>
        </w:tc>
        <w:tc>
          <w:tcPr>
            <w:tcW w:w="1860" w:type="dxa"/>
            <w:vAlign w:val="bottom"/>
          </w:tcPr>
          <w:p>
            <w:pPr>
              <w:jc w:val="center"/>
              <w:ind w:left="748"/>
              <w:spacing w:after="0" w:line="154" w:lineRule="exact"/>
              <w:rPr>
                <w:sz w:val="20"/>
                <w:szCs w:val="20"/>
                <w:color w:val="auto"/>
              </w:rPr>
            </w:pPr>
            <w:r>
              <w:rPr>
                <w:rFonts w:ascii="Arial" w:cs="Arial" w:eastAsia="Arial" w:hAnsi="Arial"/>
                <w:sz w:val="14"/>
                <w:szCs w:val="14"/>
                <w:color w:val="auto"/>
              </w:rPr>
              <w:t>25.8</w:t>
            </w: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rPr>
              <w:t>26.8</w:t>
            </w: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rPr>
              <w:t>34.6</w:t>
            </w: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rPr>
              <w:t>36.0</w:t>
            </w:r>
          </w:p>
        </w:tc>
        <w:tc>
          <w:tcPr>
            <w:tcW w:w="1020" w:type="dxa"/>
            <w:vAlign w:val="bottom"/>
            <w:shd w:val="clear" w:color="auto" w:fill="AAAAAA"/>
          </w:tcPr>
          <w:p>
            <w:pPr>
              <w:jc w:val="center"/>
              <w:spacing w:after="0" w:line="154" w:lineRule="exact"/>
              <w:rPr>
                <w:sz w:val="20"/>
                <w:szCs w:val="20"/>
                <w:color w:val="auto"/>
              </w:rPr>
            </w:pPr>
            <w:r>
              <w:rPr>
                <w:rFonts w:ascii="Arial" w:cs="Arial" w:eastAsia="Arial" w:hAnsi="Arial"/>
                <w:sz w:val="14"/>
                <w:szCs w:val="14"/>
                <w:color w:val="auto"/>
              </w:rPr>
              <w:t>35.5</w:t>
            </w:r>
          </w:p>
        </w:tc>
      </w:tr>
      <w:tr>
        <w:trPr>
          <w:trHeight w:val="186"/>
        </w:trPr>
        <w:tc>
          <w:tcPr>
            <w:tcW w:w="3680" w:type="dxa"/>
            <w:vAlign w:val="bottom"/>
            <w:tcBorders>
              <w:bottom w:val="single" w:sz="8" w:color="2AD2C9"/>
            </w:tcBorders>
          </w:tcPr>
          <w:p>
            <w:pPr>
              <w:spacing w:after="0" w:line="186" w:lineRule="exact"/>
              <w:rPr>
                <w:sz w:val="20"/>
                <w:szCs w:val="20"/>
                <w:color w:val="auto"/>
              </w:rPr>
            </w:pPr>
            <w:r>
              <w:rPr>
                <w:rFonts w:ascii="Arial" w:cs="Arial" w:eastAsia="Arial" w:hAnsi="Arial"/>
                <w:sz w:val="13"/>
                <w:szCs w:val="13"/>
                <w:color w:val="auto"/>
              </w:rPr>
              <w:t>System loan growth (% change)</w:t>
            </w:r>
            <w:r>
              <w:rPr>
                <w:rFonts w:ascii="Arial" w:cs="Arial" w:eastAsia="Arial" w:hAnsi="Arial"/>
                <w:sz w:val="21"/>
                <w:szCs w:val="21"/>
                <w:color w:val="auto"/>
                <w:vertAlign w:val="superscript"/>
              </w:rPr>
              <w:t>(1)</w:t>
            </w:r>
          </w:p>
        </w:tc>
        <w:tc>
          <w:tcPr>
            <w:tcW w:w="1860" w:type="dxa"/>
            <w:vAlign w:val="bottom"/>
            <w:tcBorders>
              <w:bottom w:val="single" w:sz="8" w:color="2AD2C9"/>
            </w:tcBorders>
          </w:tcPr>
          <w:p>
            <w:pPr>
              <w:jc w:val="center"/>
              <w:ind w:left="748"/>
              <w:spacing w:after="0"/>
              <w:rPr>
                <w:sz w:val="20"/>
                <w:szCs w:val="20"/>
                <w:color w:val="auto"/>
              </w:rPr>
            </w:pPr>
            <w:r>
              <w:rPr>
                <w:rFonts w:ascii="Arial" w:cs="Arial" w:eastAsia="Arial" w:hAnsi="Arial"/>
                <w:sz w:val="14"/>
                <w:szCs w:val="14"/>
                <w:color w:val="auto"/>
              </w:rPr>
              <w:t>10.3</w:t>
            </w:r>
          </w:p>
        </w:tc>
        <w:tc>
          <w:tcPr>
            <w:tcW w:w="100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6.4</w:t>
            </w:r>
          </w:p>
        </w:tc>
        <w:tc>
          <w:tcPr>
            <w:tcW w:w="100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12.9</w:t>
            </w:r>
          </w:p>
        </w:tc>
        <w:tc>
          <w:tcPr>
            <w:tcW w:w="102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7.0</w:t>
            </w:r>
          </w:p>
        </w:tc>
        <w:tc>
          <w:tcPr>
            <w:tcW w:w="1020" w:type="dxa"/>
            <w:vAlign w:val="bottom"/>
            <w:tcBorders>
              <w:bottom w:val="single" w:sz="8" w:color="2AD2C9"/>
            </w:tcBorders>
            <w:shd w:val="clear" w:color="auto" w:fill="AAAAAA"/>
          </w:tcPr>
          <w:p>
            <w:pPr>
              <w:jc w:val="center"/>
              <w:spacing w:after="0"/>
              <w:rPr>
                <w:sz w:val="20"/>
                <w:szCs w:val="20"/>
                <w:color w:val="auto"/>
              </w:rPr>
            </w:pPr>
            <w:r>
              <w:rPr>
                <w:rFonts w:ascii="Arial" w:cs="Arial" w:eastAsia="Arial" w:hAnsi="Arial"/>
                <w:sz w:val="14"/>
                <w:szCs w:val="14"/>
                <w:color w:val="auto"/>
              </w:rPr>
              <w:t>1.5</w:t>
            </w:r>
          </w:p>
        </w:tc>
      </w:tr>
      <w:tr>
        <w:trPr>
          <w:trHeight w:val="153"/>
        </w:trPr>
        <w:tc>
          <w:tcPr>
            <w:tcW w:w="3680" w:type="dxa"/>
            <w:vAlign w:val="bottom"/>
            <w:tcBorders>
              <w:bottom w:val="single" w:sz="8" w:color="2AD2C9"/>
            </w:tcBorders>
          </w:tcPr>
          <w:p>
            <w:pPr>
              <w:spacing w:after="0" w:line="154" w:lineRule="exact"/>
              <w:rPr>
                <w:sz w:val="20"/>
                <w:szCs w:val="20"/>
                <w:color w:val="auto"/>
              </w:rPr>
            </w:pPr>
            <w:r>
              <w:rPr>
                <w:rFonts w:ascii="Arial" w:cs="Arial" w:eastAsia="Arial" w:hAnsi="Arial"/>
                <w:sz w:val="11"/>
                <w:szCs w:val="11"/>
                <w:color w:val="auto"/>
              </w:rPr>
              <w:t>Inflation</w:t>
            </w:r>
            <w:r>
              <w:rPr>
                <w:rFonts w:ascii="Arial" w:cs="Arial" w:eastAsia="Arial" w:hAnsi="Arial"/>
                <w:sz w:val="17"/>
                <w:szCs w:val="17"/>
                <w:color w:val="auto"/>
                <w:vertAlign w:val="superscript"/>
              </w:rPr>
              <w:t>(2)</w:t>
            </w:r>
          </w:p>
        </w:tc>
        <w:tc>
          <w:tcPr>
            <w:tcW w:w="1860" w:type="dxa"/>
            <w:vAlign w:val="bottom"/>
            <w:tcBorders>
              <w:bottom w:val="single" w:sz="8" w:color="2AD2C9"/>
            </w:tcBorders>
          </w:tcPr>
          <w:p>
            <w:pPr>
              <w:jc w:val="center"/>
              <w:ind w:left="748"/>
              <w:spacing w:after="0" w:line="153" w:lineRule="exact"/>
              <w:rPr>
                <w:sz w:val="20"/>
                <w:szCs w:val="20"/>
                <w:color w:val="auto"/>
              </w:rPr>
            </w:pPr>
            <w:r>
              <w:rPr>
                <w:rFonts w:ascii="Arial" w:cs="Arial" w:eastAsia="Arial" w:hAnsi="Arial"/>
                <w:sz w:val="14"/>
                <w:szCs w:val="14"/>
                <w:color w:val="auto"/>
              </w:rPr>
              <w:t>2.2</w:t>
            </w:r>
          </w:p>
        </w:tc>
        <w:tc>
          <w:tcPr>
            <w:tcW w:w="1000" w:type="dxa"/>
            <w:vAlign w:val="bottom"/>
            <w:tcBorders>
              <w:bottom w:val="single" w:sz="8" w:color="2AD2C9"/>
            </w:tcBorders>
          </w:tcPr>
          <w:p>
            <w:pPr>
              <w:jc w:val="center"/>
              <w:spacing w:after="0" w:line="153" w:lineRule="exact"/>
              <w:rPr>
                <w:sz w:val="20"/>
                <w:szCs w:val="20"/>
                <w:color w:val="auto"/>
              </w:rPr>
            </w:pPr>
            <w:r>
              <w:rPr>
                <w:rFonts w:ascii="Arial" w:cs="Arial" w:eastAsia="Arial" w:hAnsi="Arial"/>
                <w:sz w:val="14"/>
                <w:szCs w:val="14"/>
                <w:color w:val="auto"/>
              </w:rPr>
              <w:t>1.9</w:t>
            </w:r>
          </w:p>
        </w:tc>
        <w:tc>
          <w:tcPr>
            <w:tcW w:w="1000" w:type="dxa"/>
            <w:vAlign w:val="bottom"/>
            <w:tcBorders>
              <w:bottom w:val="single" w:sz="8" w:color="2AD2C9"/>
            </w:tcBorders>
          </w:tcPr>
          <w:p>
            <w:pPr>
              <w:jc w:val="center"/>
              <w:spacing w:after="0" w:line="153" w:lineRule="exact"/>
              <w:rPr>
                <w:sz w:val="20"/>
                <w:szCs w:val="20"/>
                <w:color w:val="auto"/>
              </w:rPr>
            </w:pPr>
            <w:r>
              <w:rPr>
                <w:rFonts w:ascii="Arial" w:cs="Arial" w:eastAsia="Arial" w:hAnsi="Arial"/>
                <w:sz w:val="14"/>
                <w:szCs w:val="14"/>
                <w:color w:val="auto"/>
              </w:rPr>
              <w:t>2.0</w:t>
            </w:r>
          </w:p>
        </w:tc>
        <w:tc>
          <w:tcPr>
            <w:tcW w:w="1020" w:type="dxa"/>
            <w:vAlign w:val="bottom"/>
            <w:tcBorders>
              <w:bottom w:val="single" w:sz="8" w:color="2AD2C9"/>
            </w:tcBorders>
          </w:tcPr>
          <w:p>
            <w:pPr>
              <w:jc w:val="center"/>
              <w:spacing w:after="0" w:line="153" w:lineRule="exact"/>
              <w:rPr>
                <w:sz w:val="20"/>
                <w:szCs w:val="20"/>
                <w:color w:val="auto"/>
              </w:rPr>
            </w:pPr>
            <w:r>
              <w:rPr>
                <w:rFonts w:ascii="Arial" w:cs="Arial" w:eastAsia="Arial" w:hAnsi="Arial"/>
                <w:sz w:val="14"/>
                <w:szCs w:val="14"/>
                <w:color w:val="auto"/>
              </w:rPr>
              <w:t>6.4</w:t>
            </w:r>
          </w:p>
        </w:tc>
        <w:tc>
          <w:tcPr>
            <w:tcW w:w="1020" w:type="dxa"/>
            <w:vAlign w:val="bottom"/>
            <w:tcBorders>
              <w:bottom w:val="single" w:sz="8" w:color="2AD2C9"/>
            </w:tcBorders>
            <w:shd w:val="clear" w:color="auto" w:fill="AAAAAA"/>
          </w:tcPr>
          <w:p>
            <w:pPr>
              <w:jc w:val="center"/>
              <w:spacing w:after="0" w:line="153" w:lineRule="exact"/>
              <w:rPr>
                <w:sz w:val="20"/>
                <w:szCs w:val="20"/>
                <w:color w:val="auto"/>
              </w:rPr>
            </w:pPr>
            <w:r>
              <w:rPr>
                <w:rFonts w:ascii="Arial" w:cs="Arial" w:eastAsia="Arial" w:hAnsi="Arial"/>
                <w:sz w:val="14"/>
                <w:szCs w:val="14"/>
                <w:color w:val="auto"/>
              </w:rPr>
              <w:t>5.5</w:t>
            </w:r>
          </w:p>
        </w:tc>
      </w:tr>
      <w:tr>
        <w:trPr>
          <w:trHeight w:val="139"/>
        </w:trPr>
        <w:tc>
          <w:tcPr>
            <w:tcW w:w="3680" w:type="dxa"/>
            <w:vAlign w:val="bottom"/>
          </w:tcPr>
          <w:p>
            <w:pPr>
              <w:spacing w:after="0" w:line="139" w:lineRule="exact"/>
              <w:rPr>
                <w:sz w:val="20"/>
                <w:szCs w:val="20"/>
                <w:color w:val="auto"/>
              </w:rPr>
            </w:pPr>
            <w:r>
              <w:rPr>
                <w:rFonts w:ascii="Arial" w:cs="Arial" w:eastAsia="Arial" w:hAnsi="Arial"/>
                <w:sz w:val="14"/>
                <w:szCs w:val="14"/>
                <w:color w:val="auto"/>
              </w:rPr>
              <w:t>Reference Rate</w:t>
            </w:r>
          </w:p>
        </w:tc>
        <w:tc>
          <w:tcPr>
            <w:tcW w:w="1860" w:type="dxa"/>
            <w:vAlign w:val="bottom"/>
          </w:tcPr>
          <w:p>
            <w:pPr>
              <w:jc w:val="center"/>
              <w:ind w:left="748"/>
              <w:spacing w:after="0" w:line="139" w:lineRule="exact"/>
              <w:rPr>
                <w:sz w:val="20"/>
                <w:szCs w:val="20"/>
                <w:color w:val="auto"/>
              </w:rPr>
            </w:pPr>
            <w:r>
              <w:rPr>
                <w:rFonts w:ascii="Arial" w:cs="Arial" w:eastAsia="Arial" w:hAnsi="Arial"/>
                <w:sz w:val="14"/>
                <w:szCs w:val="14"/>
                <w:color w:val="auto"/>
              </w:rPr>
              <w:t>2.75</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2.25</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0.25</w:t>
            </w: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rPr>
              <w:t>2.50</w:t>
            </w:r>
          </w:p>
        </w:tc>
        <w:tc>
          <w:tcPr>
            <w:tcW w:w="1020" w:type="dxa"/>
            <w:vAlign w:val="bottom"/>
            <w:shd w:val="clear" w:color="auto" w:fill="AAAAAA"/>
          </w:tcPr>
          <w:p>
            <w:pPr>
              <w:jc w:val="center"/>
              <w:spacing w:after="0" w:line="139" w:lineRule="exact"/>
              <w:rPr>
                <w:sz w:val="20"/>
                <w:szCs w:val="20"/>
                <w:color w:val="auto"/>
              </w:rPr>
            </w:pPr>
            <w:r>
              <w:rPr>
                <w:rFonts w:ascii="Arial" w:cs="Arial" w:eastAsia="Arial" w:hAnsi="Arial"/>
                <w:sz w:val="14"/>
                <w:szCs w:val="14"/>
                <w:color w:val="auto"/>
              </w:rPr>
              <w:t>6.00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Exchange rate, end of period</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3.37</w:t>
            </w:r>
          </w:p>
        </w:tc>
        <w:tc>
          <w:tcPr>
            <w:tcW w:w="1000" w:type="dxa"/>
            <w:vAlign w:val="bottom"/>
          </w:tcPr>
          <w:p>
            <w:pPr>
              <w:jc w:val="center"/>
              <w:spacing w:after="0"/>
              <w:rPr>
                <w:sz w:val="20"/>
                <w:szCs w:val="20"/>
                <w:color w:val="auto"/>
              </w:rPr>
            </w:pPr>
            <w:r>
              <w:rPr>
                <w:rFonts w:ascii="Arial" w:cs="Arial" w:eastAsia="Arial" w:hAnsi="Arial"/>
                <w:sz w:val="14"/>
                <w:szCs w:val="14"/>
                <w:color w:val="auto"/>
              </w:rPr>
              <w:t>3.31</w:t>
            </w:r>
          </w:p>
        </w:tc>
        <w:tc>
          <w:tcPr>
            <w:tcW w:w="1000" w:type="dxa"/>
            <w:vAlign w:val="bottom"/>
          </w:tcPr>
          <w:p>
            <w:pPr>
              <w:jc w:val="center"/>
              <w:spacing w:after="0"/>
              <w:rPr>
                <w:sz w:val="20"/>
                <w:szCs w:val="20"/>
                <w:color w:val="auto"/>
              </w:rPr>
            </w:pPr>
            <w:r>
              <w:rPr>
                <w:rFonts w:ascii="Arial" w:cs="Arial" w:eastAsia="Arial" w:hAnsi="Arial"/>
                <w:sz w:val="14"/>
                <w:szCs w:val="14"/>
                <w:color w:val="auto"/>
              </w:rPr>
              <w:t>3.62</w:t>
            </w:r>
          </w:p>
        </w:tc>
        <w:tc>
          <w:tcPr>
            <w:tcW w:w="1020" w:type="dxa"/>
            <w:vAlign w:val="bottom"/>
          </w:tcPr>
          <w:p>
            <w:pPr>
              <w:jc w:val="center"/>
              <w:spacing w:after="0"/>
              <w:rPr>
                <w:sz w:val="20"/>
                <w:szCs w:val="20"/>
                <w:color w:val="auto"/>
              </w:rPr>
            </w:pPr>
            <w:r>
              <w:rPr>
                <w:rFonts w:ascii="Arial" w:cs="Arial" w:eastAsia="Arial" w:hAnsi="Arial"/>
                <w:sz w:val="14"/>
                <w:szCs w:val="14"/>
                <w:color w:val="auto"/>
              </w:rPr>
              <w:t>3.99</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3.75</w:t>
            </w:r>
          </w:p>
        </w:tc>
      </w:tr>
      <w:tr>
        <w:trPr>
          <w:trHeight w:val="177"/>
        </w:trPr>
        <w:tc>
          <w:tcPr>
            <w:tcW w:w="3680" w:type="dxa"/>
            <w:vAlign w:val="bottom"/>
            <w:tcBorders>
              <w:bottom w:val="single" w:sz="8" w:color="2AD2C9"/>
            </w:tcBorders>
          </w:tcPr>
          <w:p>
            <w:pPr>
              <w:spacing w:after="0"/>
              <w:rPr>
                <w:sz w:val="20"/>
                <w:szCs w:val="20"/>
                <w:color w:val="auto"/>
              </w:rPr>
            </w:pPr>
            <w:r>
              <w:rPr>
                <w:rFonts w:ascii="Arial" w:cs="Arial" w:eastAsia="Arial" w:hAnsi="Arial"/>
                <w:sz w:val="14"/>
                <w:szCs w:val="14"/>
                <w:color w:val="auto"/>
              </w:rPr>
              <w:t>Exchange rate, (% change)</w:t>
            </w:r>
          </w:p>
        </w:tc>
        <w:tc>
          <w:tcPr>
            <w:tcW w:w="1860" w:type="dxa"/>
            <w:vAlign w:val="bottom"/>
            <w:tcBorders>
              <w:bottom w:val="single" w:sz="8" w:color="2AD2C9"/>
            </w:tcBorders>
          </w:tcPr>
          <w:p>
            <w:pPr>
              <w:jc w:val="center"/>
              <w:ind w:left="768"/>
              <w:spacing w:after="0"/>
              <w:rPr>
                <w:sz w:val="20"/>
                <w:szCs w:val="20"/>
                <w:color w:val="auto"/>
              </w:rPr>
            </w:pPr>
            <w:r>
              <w:rPr>
                <w:rFonts w:ascii="Arial" w:cs="Arial" w:eastAsia="Arial" w:hAnsi="Arial"/>
                <w:sz w:val="14"/>
                <w:szCs w:val="14"/>
                <w:color w:val="auto"/>
              </w:rPr>
              <w:t>0.9%</w:t>
            </w:r>
          </w:p>
        </w:tc>
        <w:tc>
          <w:tcPr>
            <w:tcW w:w="100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1.4%</w:t>
            </w:r>
          </w:p>
        </w:tc>
        <w:tc>
          <w:tcPr>
            <w:tcW w:w="100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9.3%</w:t>
            </w:r>
          </w:p>
        </w:tc>
        <w:tc>
          <w:tcPr>
            <w:tcW w:w="102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10.3%</w:t>
            </w:r>
          </w:p>
        </w:tc>
        <w:tc>
          <w:tcPr>
            <w:tcW w:w="1020" w:type="dxa"/>
            <w:vAlign w:val="bottom"/>
            <w:tcBorders>
              <w:bottom w:val="single" w:sz="8" w:color="2AD2C9"/>
            </w:tcBorders>
            <w:shd w:val="clear" w:color="auto" w:fill="AAAAAA"/>
          </w:tcPr>
          <w:p>
            <w:pPr>
              <w:jc w:val="center"/>
              <w:spacing w:after="0"/>
              <w:rPr>
                <w:sz w:val="20"/>
                <w:szCs w:val="20"/>
                <w:color w:val="auto"/>
              </w:rPr>
            </w:pPr>
            <w:r>
              <w:rPr>
                <w:rFonts w:ascii="Arial" w:cs="Arial" w:eastAsia="Arial" w:hAnsi="Arial"/>
                <w:sz w:val="14"/>
                <w:szCs w:val="14"/>
                <w:color w:val="auto"/>
              </w:rPr>
              <w:t>-6.0%</w:t>
            </w:r>
          </w:p>
        </w:tc>
      </w:tr>
      <w:tr>
        <w:trPr>
          <w:trHeight w:val="153"/>
        </w:trPr>
        <w:tc>
          <w:tcPr>
            <w:tcW w:w="3680" w:type="dxa"/>
            <w:vAlign w:val="bottom"/>
            <w:tcBorders>
              <w:bottom w:val="single" w:sz="8" w:color="2AD2C9"/>
            </w:tcBorders>
          </w:tcPr>
          <w:p>
            <w:pPr>
              <w:spacing w:after="0" w:line="153" w:lineRule="exact"/>
              <w:rPr>
                <w:sz w:val="20"/>
                <w:szCs w:val="20"/>
                <w:color w:val="auto"/>
              </w:rPr>
            </w:pPr>
            <w:r>
              <w:rPr>
                <w:rFonts w:ascii="Arial" w:cs="Arial" w:eastAsia="Arial" w:hAnsi="Arial"/>
                <w:sz w:val="14"/>
                <w:szCs w:val="14"/>
                <w:color w:val="auto"/>
              </w:rPr>
              <w:t>Fiscal balance (% GDP)</w:t>
            </w:r>
          </w:p>
        </w:tc>
        <w:tc>
          <w:tcPr>
            <w:tcW w:w="1860" w:type="dxa"/>
            <w:vAlign w:val="bottom"/>
            <w:tcBorders>
              <w:bottom w:val="single" w:sz="8" w:color="2AD2C9"/>
            </w:tcBorders>
          </w:tcPr>
          <w:p>
            <w:pPr>
              <w:jc w:val="center"/>
              <w:ind w:left="768"/>
              <w:spacing w:after="0" w:line="153" w:lineRule="exact"/>
              <w:rPr>
                <w:sz w:val="20"/>
                <w:szCs w:val="20"/>
                <w:color w:val="auto"/>
              </w:rPr>
            </w:pPr>
            <w:r>
              <w:rPr>
                <w:rFonts w:ascii="Arial" w:cs="Arial" w:eastAsia="Arial" w:hAnsi="Arial"/>
                <w:sz w:val="14"/>
                <w:szCs w:val="14"/>
                <w:color w:val="auto"/>
              </w:rPr>
              <w:t>-2.3</w:t>
            </w:r>
          </w:p>
        </w:tc>
        <w:tc>
          <w:tcPr>
            <w:tcW w:w="1000" w:type="dxa"/>
            <w:vAlign w:val="bottom"/>
            <w:tcBorders>
              <w:bottom w:val="single" w:sz="8" w:color="2AD2C9"/>
            </w:tcBorders>
          </w:tcPr>
          <w:p>
            <w:pPr>
              <w:jc w:val="center"/>
              <w:spacing w:after="0" w:line="153" w:lineRule="exact"/>
              <w:rPr>
                <w:sz w:val="20"/>
                <w:szCs w:val="20"/>
                <w:color w:val="auto"/>
              </w:rPr>
            </w:pPr>
            <w:r>
              <w:rPr>
                <w:rFonts w:ascii="Arial" w:cs="Arial" w:eastAsia="Arial" w:hAnsi="Arial"/>
                <w:sz w:val="14"/>
                <w:szCs w:val="14"/>
                <w:color w:val="auto"/>
              </w:rPr>
              <w:t>-1.6</w:t>
            </w:r>
          </w:p>
        </w:tc>
        <w:tc>
          <w:tcPr>
            <w:tcW w:w="1000" w:type="dxa"/>
            <w:vAlign w:val="bottom"/>
            <w:tcBorders>
              <w:bottom w:val="single" w:sz="8" w:color="2AD2C9"/>
            </w:tcBorders>
          </w:tcPr>
          <w:p>
            <w:pPr>
              <w:jc w:val="center"/>
              <w:spacing w:after="0" w:line="153" w:lineRule="exact"/>
              <w:rPr>
                <w:sz w:val="20"/>
                <w:szCs w:val="20"/>
                <w:color w:val="auto"/>
              </w:rPr>
            </w:pPr>
            <w:r>
              <w:rPr>
                <w:rFonts w:ascii="Arial" w:cs="Arial" w:eastAsia="Arial" w:hAnsi="Arial"/>
                <w:sz w:val="14"/>
                <w:szCs w:val="14"/>
                <w:color w:val="auto"/>
                <w:w w:val="99"/>
              </w:rPr>
              <w:t>-8.9</w:t>
            </w:r>
          </w:p>
        </w:tc>
        <w:tc>
          <w:tcPr>
            <w:tcW w:w="1020" w:type="dxa"/>
            <w:vAlign w:val="bottom"/>
            <w:tcBorders>
              <w:bottom w:val="single" w:sz="8" w:color="2AD2C9"/>
            </w:tcBorders>
          </w:tcPr>
          <w:p>
            <w:pPr>
              <w:jc w:val="center"/>
              <w:spacing w:after="0" w:line="153" w:lineRule="exact"/>
              <w:rPr>
                <w:sz w:val="20"/>
                <w:szCs w:val="20"/>
                <w:color w:val="auto"/>
              </w:rPr>
            </w:pPr>
            <w:r>
              <w:rPr>
                <w:rFonts w:ascii="Arial" w:cs="Arial" w:eastAsia="Arial" w:hAnsi="Arial"/>
                <w:sz w:val="14"/>
                <w:szCs w:val="14"/>
                <w:color w:val="auto"/>
              </w:rPr>
              <w:t>-2.5</w:t>
            </w:r>
          </w:p>
        </w:tc>
        <w:tc>
          <w:tcPr>
            <w:tcW w:w="1020" w:type="dxa"/>
            <w:vAlign w:val="bottom"/>
            <w:tcBorders>
              <w:bottom w:val="single" w:sz="8" w:color="2AD2C9"/>
            </w:tcBorders>
            <w:shd w:val="clear" w:color="auto" w:fill="AAAAAA"/>
          </w:tcPr>
          <w:p>
            <w:pPr>
              <w:jc w:val="center"/>
              <w:spacing w:after="0" w:line="153" w:lineRule="exact"/>
              <w:rPr>
                <w:sz w:val="20"/>
                <w:szCs w:val="20"/>
                <w:color w:val="auto"/>
              </w:rPr>
            </w:pPr>
            <w:r>
              <w:rPr>
                <w:rFonts w:ascii="Arial" w:cs="Arial" w:eastAsia="Arial" w:hAnsi="Arial"/>
                <w:sz w:val="14"/>
                <w:szCs w:val="14"/>
                <w:color w:val="auto"/>
              </w:rPr>
              <w:t>-2.5</w:t>
            </w:r>
          </w:p>
        </w:tc>
      </w:tr>
      <w:tr>
        <w:trPr>
          <w:trHeight w:val="139"/>
        </w:trPr>
        <w:tc>
          <w:tcPr>
            <w:tcW w:w="3680" w:type="dxa"/>
            <w:vAlign w:val="bottom"/>
          </w:tcPr>
          <w:p>
            <w:pPr>
              <w:spacing w:after="0" w:line="139" w:lineRule="exact"/>
              <w:rPr>
                <w:sz w:val="20"/>
                <w:szCs w:val="20"/>
                <w:color w:val="auto"/>
              </w:rPr>
            </w:pPr>
            <w:r>
              <w:rPr>
                <w:rFonts w:ascii="Arial" w:cs="Arial" w:eastAsia="Arial" w:hAnsi="Arial"/>
                <w:sz w:val="14"/>
                <w:szCs w:val="14"/>
                <w:color w:val="auto"/>
              </w:rPr>
              <w:t>Trade balance (US$ Millions)</w:t>
            </w:r>
          </w:p>
        </w:tc>
        <w:tc>
          <w:tcPr>
            <w:tcW w:w="1860" w:type="dxa"/>
            <w:vAlign w:val="bottom"/>
          </w:tcPr>
          <w:p>
            <w:pPr>
              <w:jc w:val="center"/>
              <w:ind w:left="748"/>
              <w:spacing w:after="0" w:line="139" w:lineRule="exact"/>
              <w:rPr>
                <w:sz w:val="20"/>
                <w:szCs w:val="20"/>
                <w:color w:val="auto"/>
              </w:rPr>
            </w:pPr>
            <w:r>
              <w:rPr>
                <w:rFonts w:ascii="Arial" w:cs="Arial" w:eastAsia="Arial" w:hAnsi="Arial"/>
                <w:sz w:val="14"/>
                <w:szCs w:val="14"/>
                <w:color w:val="auto"/>
              </w:rPr>
              <w:t>7,197</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6,614</w:t>
            </w:r>
          </w:p>
        </w:tc>
        <w:tc>
          <w:tcPr>
            <w:tcW w:w="1000" w:type="dxa"/>
            <w:vAlign w:val="bottom"/>
          </w:tcPr>
          <w:p>
            <w:pPr>
              <w:jc w:val="center"/>
              <w:spacing w:after="0" w:line="139" w:lineRule="exact"/>
              <w:rPr>
                <w:sz w:val="20"/>
                <w:szCs w:val="20"/>
                <w:color w:val="auto"/>
              </w:rPr>
            </w:pPr>
            <w:r>
              <w:rPr>
                <w:rFonts w:ascii="Arial" w:cs="Arial" w:eastAsia="Arial" w:hAnsi="Arial"/>
                <w:sz w:val="14"/>
                <w:szCs w:val="14"/>
                <w:color w:val="auto"/>
              </w:rPr>
              <w:t>8,196</w:t>
            </w:r>
          </w:p>
        </w:tc>
        <w:tc>
          <w:tcPr>
            <w:tcW w:w="1020" w:type="dxa"/>
            <w:vAlign w:val="bottom"/>
          </w:tcPr>
          <w:p>
            <w:pPr>
              <w:jc w:val="center"/>
              <w:spacing w:after="0" w:line="139" w:lineRule="exact"/>
              <w:rPr>
                <w:sz w:val="20"/>
                <w:szCs w:val="20"/>
                <w:color w:val="auto"/>
              </w:rPr>
            </w:pPr>
            <w:r>
              <w:rPr>
                <w:rFonts w:ascii="Arial" w:cs="Arial" w:eastAsia="Arial" w:hAnsi="Arial"/>
                <w:sz w:val="14"/>
                <w:szCs w:val="14"/>
                <w:color w:val="auto"/>
              </w:rPr>
              <w:t>14,756</w:t>
            </w:r>
          </w:p>
        </w:tc>
        <w:tc>
          <w:tcPr>
            <w:tcW w:w="1020" w:type="dxa"/>
            <w:vAlign w:val="bottom"/>
            <w:shd w:val="clear" w:color="auto" w:fill="AAAAAA"/>
          </w:tcPr>
          <w:p>
            <w:pPr>
              <w:jc w:val="center"/>
              <w:spacing w:after="0" w:line="139" w:lineRule="exact"/>
              <w:rPr>
                <w:sz w:val="20"/>
                <w:szCs w:val="20"/>
                <w:color w:val="auto"/>
              </w:rPr>
            </w:pPr>
            <w:r>
              <w:rPr>
                <w:rFonts w:ascii="Arial" w:cs="Arial" w:eastAsia="Arial" w:hAnsi="Arial"/>
                <w:sz w:val="14"/>
                <w:szCs w:val="14"/>
                <w:color w:val="auto"/>
              </w:rPr>
              <w:t>16,500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(As % GDP)</w:t>
            </w:r>
          </w:p>
        </w:tc>
        <w:tc>
          <w:tcPr>
            <w:tcW w:w="1860" w:type="dxa"/>
            <w:vAlign w:val="bottom"/>
          </w:tcPr>
          <w:p>
            <w:pPr>
              <w:jc w:val="center"/>
              <w:ind w:left="768"/>
              <w:spacing w:after="0"/>
              <w:rPr>
                <w:sz w:val="20"/>
                <w:szCs w:val="20"/>
                <w:color w:val="auto"/>
              </w:rPr>
            </w:pPr>
            <w:r>
              <w:rPr>
                <w:rFonts w:ascii="Arial" w:cs="Arial" w:eastAsia="Arial" w:hAnsi="Arial"/>
                <w:sz w:val="14"/>
                <w:szCs w:val="14"/>
                <w:color w:val="auto"/>
              </w:rPr>
              <w:t>3.2%</w:t>
            </w:r>
          </w:p>
        </w:tc>
        <w:tc>
          <w:tcPr>
            <w:tcW w:w="1000" w:type="dxa"/>
            <w:vAlign w:val="bottom"/>
          </w:tcPr>
          <w:p>
            <w:pPr>
              <w:jc w:val="center"/>
              <w:spacing w:after="0"/>
              <w:rPr>
                <w:sz w:val="20"/>
                <w:szCs w:val="20"/>
                <w:color w:val="auto"/>
              </w:rPr>
            </w:pPr>
            <w:r>
              <w:rPr>
                <w:rFonts w:ascii="Arial" w:cs="Arial" w:eastAsia="Arial" w:hAnsi="Arial"/>
                <w:sz w:val="14"/>
                <w:szCs w:val="14"/>
                <w:color w:val="auto"/>
              </w:rPr>
              <w:t>2.8%</w:t>
            </w:r>
          </w:p>
        </w:tc>
        <w:tc>
          <w:tcPr>
            <w:tcW w:w="1000" w:type="dxa"/>
            <w:vAlign w:val="bottom"/>
          </w:tcPr>
          <w:p>
            <w:pPr>
              <w:jc w:val="center"/>
              <w:spacing w:after="0"/>
              <w:rPr>
                <w:sz w:val="20"/>
                <w:szCs w:val="20"/>
                <w:color w:val="auto"/>
              </w:rPr>
            </w:pPr>
            <w:r>
              <w:rPr>
                <w:rFonts w:ascii="Arial" w:cs="Arial" w:eastAsia="Arial" w:hAnsi="Arial"/>
                <w:sz w:val="14"/>
                <w:szCs w:val="14"/>
                <w:color w:val="auto"/>
              </w:rPr>
              <w:t>4.0%</w:t>
            </w:r>
          </w:p>
        </w:tc>
        <w:tc>
          <w:tcPr>
            <w:tcW w:w="1020" w:type="dxa"/>
            <w:vAlign w:val="bottom"/>
          </w:tcPr>
          <w:p>
            <w:pPr>
              <w:jc w:val="center"/>
              <w:spacing w:after="0"/>
              <w:rPr>
                <w:sz w:val="20"/>
                <w:szCs w:val="20"/>
                <w:color w:val="auto"/>
              </w:rPr>
            </w:pPr>
            <w:r>
              <w:rPr>
                <w:rFonts w:ascii="Arial" w:cs="Arial" w:eastAsia="Arial" w:hAnsi="Arial"/>
                <w:sz w:val="14"/>
                <w:szCs w:val="14"/>
                <w:color w:val="auto"/>
              </w:rPr>
              <w:t>6.5%</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6.5%</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Exports</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49,066</w:t>
            </w:r>
          </w:p>
        </w:tc>
        <w:tc>
          <w:tcPr>
            <w:tcW w:w="1000" w:type="dxa"/>
            <w:vAlign w:val="bottom"/>
          </w:tcPr>
          <w:p>
            <w:pPr>
              <w:jc w:val="center"/>
              <w:spacing w:after="0"/>
              <w:rPr>
                <w:sz w:val="20"/>
                <w:szCs w:val="20"/>
                <w:color w:val="auto"/>
              </w:rPr>
            </w:pPr>
            <w:r>
              <w:rPr>
                <w:rFonts w:ascii="Arial" w:cs="Arial" w:eastAsia="Arial" w:hAnsi="Arial"/>
                <w:sz w:val="14"/>
                <w:szCs w:val="14"/>
                <w:color w:val="auto"/>
              </w:rPr>
              <w:t>47,688</w:t>
            </w:r>
          </w:p>
        </w:tc>
        <w:tc>
          <w:tcPr>
            <w:tcW w:w="1000" w:type="dxa"/>
            <w:vAlign w:val="bottom"/>
          </w:tcPr>
          <w:p>
            <w:pPr>
              <w:jc w:val="center"/>
              <w:spacing w:after="0"/>
              <w:rPr>
                <w:sz w:val="20"/>
                <w:szCs w:val="20"/>
                <w:color w:val="auto"/>
              </w:rPr>
            </w:pPr>
            <w:r>
              <w:rPr>
                <w:rFonts w:ascii="Arial" w:cs="Arial" w:eastAsia="Arial" w:hAnsi="Arial"/>
                <w:sz w:val="14"/>
                <w:szCs w:val="14"/>
                <w:color w:val="auto"/>
              </w:rPr>
              <w:t>42,905</w:t>
            </w:r>
          </w:p>
        </w:tc>
        <w:tc>
          <w:tcPr>
            <w:tcW w:w="1020" w:type="dxa"/>
            <w:vAlign w:val="bottom"/>
          </w:tcPr>
          <w:p>
            <w:pPr>
              <w:jc w:val="center"/>
              <w:spacing w:after="0"/>
              <w:rPr>
                <w:sz w:val="20"/>
                <w:szCs w:val="20"/>
                <w:color w:val="auto"/>
              </w:rPr>
            </w:pPr>
            <w:r>
              <w:rPr>
                <w:rFonts w:ascii="Arial" w:cs="Arial" w:eastAsia="Arial" w:hAnsi="Arial"/>
                <w:sz w:val="14"/>
                <w:szCs w:val="14"/>
                <w:color w:val="auto"/>
              </w:rPr>
              <w:t>63,106</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68,000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Imports</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41,870</w:t>
            </w:r>
          </w:p>
        </w:tc>
        <w:tc>
          <w:tcPr>
            <w:tcW w:w="1000" w:type="dxa"/>
            <w:vAlign w:val="bottom"/>
          </w:tcPr>
          <w:p>
            <w:pPr>
              <w:jc w:val="center"/>
              <w:spacing w:after="0"/>
              <w:rPr>
                <w:sz w:val="20"/>
                <w:szCs w:val="20"/>
                <w:color w:val="auto"/>
              </w:rPr>
            </w:pPr>
            <w:r>
              <w:rPr>
                <w:rFonts w:ascii="Arial" w:cs="Arial" w:eastAsia="Arial" w:hAnsi="Arial"/>
                <w:sz w:val="14"/>
                <w:szCs w:val="14"/>
                <w:color w:val="auto"/>
              </w:rPr>
              <w:t>41,074</w:t>
            </w:r>
          </w:p>
        </w:tc>
        <w:tc>
          <w:tcPr>
            <w:tcW w:w="1000" w:type="dxa"/>
            <w:vAlign w:val="bottom"/>
          </w:tcPr>
          <w:p>
            <w:pPr>
              <w:jc w:val="center"/>
              <w:spacing w:after="0"/>
              <w:rPr>
                <w:sz w:val="20"/>
                <w:szCs w:val="20"/>
                <w:color w:val="auto"/>
              </w:rPr>
            </w:pPr>
            <w:r>
              <w:rPr>
                <w:rFonts w:ascii="Arial" w:cs="Arial" w:eastAsia="Arial" w:hAnsi="Arial"/>
                <w:sz w:val="14"/>
                <w:szCs w:val="14"/>
                <w:color w:val="auto"/>
              </w:rPr>
              <w:t>34,709</w:t>
            </w:r>
          </w:p>
        </w:tc>
        <w:tc>
          <w:tcPr>
            <w:tcW w:w="1020" w:type="dxa"/>
            <w:vAlign w:val="bottom"/>
          </w:tcPr>
          <w:p>
            <w:pPr>
              <w:jc w:val="center"/>
              <w:spacing w:after="0"/>
              <w:rPr>
                <w:sz w:val="20"/>
                <w:szCs w:val="20"/>
                <w:color w:val="auto"/>
              </w:rPr>
            </w:pPr>
            <w:r>
              <w:rPr>
                <w:rFonts w:ascii="Arial" w:cs="Arial" w:eastAsia="Arial" w:hAnsi="Arial"/>
                <w:sz w:val="14"/>
                <w:szCs w:val="14"/>
                <w:color w:val="auto"/>
              </w:rPr>
              <w:t>48,350</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51,500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Current account balance (US$ Millions)</w:t>
            </w:r>
          </w:p>
        </w:tc>
        <w:tc>
          <w:tcPr>
            <w:tcW w:w="1860" w:type="dxa"/>
            <w:vAlign w:val="bottom"/>
          </w:tcPr>
          <w:p>
            <w:pPr>
              <w:jc w:val="center"/>
              <w:ind w:left="768"/>
              <w:spacing w:after="0"/>
              <w:rPr>
                <w:sz w:val="20"/>
                <w:szCs w:val="20"/>
                <w:color w:val="auto"/>
              </w:rPr>
            </w:pPr>
            <w:r>
              <w:rPr>
                <w:rFonts w:ascii="Arial" w:cs="Arial" w:eastAsia="Arial" w:hAnsi="Arial"/>
                <w:sz w:val="14"/>
                <w:szCs w:val="14"/>
                <w:color w:val="auto"/>
              </w:rPr>
              <w:t>-3,915</w:t>
            </w:r>
          </w:p>
        </w:tc>
        <w:tc>
          <w:tcPr>
            <w:tcW w:w="1000" w:type="dxa"/>
            <w:vAlign w:val="bottom"/>
          </w:tcPr>
          <w:p>
            <w:pPr>
              <w:jc w:val="center"/>
              <w:spacing w:after="0"/>
              <w:rPr>
                <w:sz w:val="20"/>
                <w:szCs w:val="20"/>
                <w:color w:val="auto"/>
              </w:rPr>
            </w:pPr>
            <w:r>
              <w:rPr>
                <w:rFonts w:ascii="Arial" w:cs="Arial" w:eastAsia="Arial" w:hAnsi="Arial"/>
                <w:sz w:val="14"/>
                <w:szCs w:val="14"/>
                <w:color w:val="auto"/>
              </w:rPr>
              <w:t>-2,397</w:t>
            </w:r>
          </w:p>
        </w:tc>
        <w:tc>
          <w:tcPr>
            <w:tcW w:w="1000" w:type="dxa"/>
            <w:vAlign w:val="bottom"/>
          </w:tcPr>
          <w:p>
            <w:pPr>
              <w:jc w:val="center"/>
              <w:spacing w:after="0"/>
              <w:rPr>
                <w:sz w:val="20"/>
                <w:szCs w:val="20"/>
                <w:color w:val="auto"/>
              </w:rPr>
            </w:pPr>
            <w:r>
              <w:rPr>
                <w:rFonts w:ascii="Arial" w:cs="Arial" w:eastAsia="Arial" w:hAnsi="Arial"/>
                <w:sz w:val="14"/>
                <w:szCs w:val="14"/>
                <w:color w:val="auto"/>
              </w:rPr>
              <w:t>1,547</w:t>
            </w:r>
          </w:p>
        </w:tc>
        <w:tc>
          <w:tcPr>
            <w:tcW w:w="1020" w:type="dxa"/>
            <w:vAlign w:val="bottom"/>
          </w:tcPr>
          <w:p>
            <w:pPr>
              <w:jc w:val="center"/>
              <w:spacing w:after="0"/>
              <w:rPr>
                <w:sz w:val="20"/>
                <w:szCs w:val="20"/>
                <w:color w:val="auto"/>
              </w:rPr>
            </w:pPr>
            <w:r>
              <w:rPr>
                <w:rFonts w:ascii="Arial" w:cs="Arial" w:eastAsia="Arial" w:hAnsi="Arial"/>
                <w:sz w:val="14"/>
                <w:szCs w:val="14"/>
                <w:color w:val="auto"/>
              </w:rPr>
              <w:t>-6,191</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-4,963</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Current account balance (As % GDP)</w:t>
            </w:r>
          </w:p>
        </w:tc>
        <w:tc>
          <w:tcPr>
            <w:tcW w:w="1860" w:type="dxa"/>
            <w:vAlign w:val="bottom"/>
          </w:tcPr>
          <w:p>
            <w:pPr>
              <w:jc w:val="center"/>
              <w:ind w:left="768"/>
              <w:spacing w:after="0"/>
              <w:rPr>
                <w:sz w:val="20"/>
                <w:szCs w:val="20"/>
                <w:color w:val="auto"/>
              </w:rPr>
            </w:pPr>
            <w:r>
              <w:rPr>
                <w:rFonts w:ascii="Arial" w:cs="Arial" w:eastAsia="Arial" w:hAnsi="Arial"/>
                <w:sz w:val="14"/>
                <w:szCs w:val="14"/>
                <w:color w:val="auto"/>
              </w:rPr>
              <w:t>-1.7%</w:t>
            </w:r>
          </w:p>
        </w:tc>
        <w:tc>
          <w:tcPr>
            <w:tcW w:w="1000" w:type="dxa"/>
            <w:vAlign w:val="bottom"/>
          </w:tcPr>
          <w:p>
            <w:pPr>
              <w:jc w:val="center"/>
              <w:spacing w:after="0"/>
              <w:rPr>
                <w:sz w:val="20"/>
                <w:szCs w:val="20"/>
                <w:color w:val="auto"/>
              </w:rPr>
            </w:pPr>
            <w:r>
              <w:rPr>
                <w:rFonts w:ascii="Arial" w:cs="Arial" w:eastAsia="Arial" w:hAnsi="Arial"/>
                <w:sz w:val="14"/>
                <w:szCs w:val="14"/>
                <w:color w:val="auto"/>
              </w:rPr>
              <w:t>-1.5%</w:t>
            </w:r>
          </w:p>
        </w:tc>
        <w:tc>
          <w:tcPr>
            <w:tcW w:w="1000" w:type="dxa"/>
            <w:vAlign w:val="bottom"/>
          </w:tcPr>
          <w:p>
            <w:pPr>
              <w:jc w:val="center"/>
              <w:spacing w:after="0"/>
              <w:rPr>
                <w:sz w:val="20"/>
                <w:szCs w:val="20"/>
                <w:color w:val="auto"/>
              </w:rPr>
            </w:pPr>
            <w:r>
              <w:rPr>
                <w:rFonts w:ascii="Arial" w:cs="Arial" w:eastAsia="Arial" w:hAnsi="Arial"/>
                <w:sz w:val="14"/>
                <w:szCs w:val="14"/>
                <w:color w:val="auto"/>
              </w:rPr>
              <w:t>0.8%</w:t>
            </w:r>
          </w:p>
        </w:tc>
        <w:tc>
          <w:tcPr>
            <w:tcW w:w="1020" w:type="dxa"/>
            <w:vAlign w:val="bottom"/>
          </w:tcPr>
          <w:p>
            <w:pPr>
              <w:jc w:val="center"/>
              <w:spacing w:after="0"/>
              <w:rPr>
                <w:sz w:val="20"/>
                <w:szCs w:val="20"/>
                <w:color w:val="auto"/>
              </w:rPr>
            </w:pPr>
            <w:r>
              <w:rPr>
                <w:rFonts w:ascii="Arial" w:cs="Arial" w:eastAsia="Arial" w:hAnsi="Arial"/>
                <w:sz w:val="14"/>
                <w:szCs w:val="14"/>
                <w:color w:val="auto"/>
              </w:rPr>
              <w:t>-2.8%</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-2.0%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Net international reserves (US$ Millions)</w:t>
            </w:r>
          </w:p>
        </w:tc>
        <w:tc>
          <w:tcPr>
            <w:tcW w:w="1860" w:type="dxa"/>
            <w:vAlign w:val="bottom"/>
          </w:tcPr>
          <w:p>
            <w:pPr>
              <w:jc w:val="center"/>
              <w:ind w:left="748"/>
              <w:spacing w:after="0"/>
              <w:rPr>
                <w:sz w:val="20"/>
                <w:szCs w:val="20"/>
                <w:color w:val="auto"/>
              </w:rPr>
            </w:pPr>
            <w:r>
              <w:rPr>
                <w:rFonts w:ascii="Arial" w:cs="Arial" w:eastAsia="Arial" w:hAnsi="Arial"/>
                <w:sz w:val="14"/>
                <w:szCs w:val="14"/>
                <w:color w:val="auto"/>
              </w:rPr>
              <w:t>60,121</w:t>
            </w:r>
          </w:p>
        </w:tc>
        <w:tc>
          <w:tcPr>
            <w:tcW w:w="1000" w:type="dxa"/>
            <w:vAlign w:val="bottom"/>
          </w:tcPr>
          <w:p>
            <w:pPr>
              <w:jc w:val="center"/>
              <w:spacing w:after="0"/>
              <w:rPr>
                <w:sz w:val="20"/>
                <w:szCs w:val="20"/>
                <w:color w:val="auto"/>
              </w:rPr>
            </w:pPr>
            <w:r>
              <w:rPr>
                <w:rFonts w:ascii="Arial" w:cs="Arial" w:eastAsia="Arial" w:hAnsi="Arial"/>
                <w:sz w:val="14"/>
                <w:szCs w:val="14"/>
                <w:color w:val="auto"/>
              </w:rPr>
              <w:t>68,316</w:t>
            </w:r>
          </w:p>
        </w:tc>
        <w:tc>
          <w:tcPr>
            <w:tcW w:w="1000" w:type="dxa"/>
            <w:vAlign w:val="bottom"/>
          </w:tcPr>
          <w:p>
            <w:pPr>
              <w:jc w:val="center"/>
              <w:spacing w:after="0"/>
              <w:rPr>
                <w:sz w:val="20"/>
                <w:szCs w:val="20"/>
                <w:color w:val="auto"/>
              </w:rPr>
            </w:pPr>
            <w:r>
              <w:rPr>
                <w:rFonts w:ascii="Arial" w:cs="Arial" w:eastAsia="Arial" w:hAnsi="Arial"/>
                <w:sz w:val="14"/>
                <w:szCs w:val="14"/>
                <w:color w:val="auto"/>
              </w:rPr>
              <w:t>74,707</w:t>
            </w:r>
          </w:p>
        </w:tc>
        <w:tc>
          <w:tcPr>
            <w:tcW w:w="1020" w:type="dxa"/>
            <w:vAlign w:val="bottom"/>
          </w:tcPr>
          <w:p>
            <w:pPr>
              <w:jc w:val="center"/>
              <w:spacing w:after="0"/>
              <w:rPr>
                <w:sz w:val="20"/>
                <w:szCs w:val="20"/>
                <w:color w:val="auto"/>
              </w:rPr>
            </w:pPr>
            <w:r>
              <w:rPr>
                <w:rFonts w:ascii="Arial" w:cs="Arial" w:eastAsia="Arial" w:hAnsi="Arial"/>
                <w:sz w:val="14"/>
                <w:szCs w:val="14"/>
                <w:color w:val="auto"/>
              </w:rPr>
              <w:t>78,495</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78,500</w:t>
            </w: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(As % GDP)</w:t>
            </w:r>
          </w:p>
        </w:tc>
        <w:tc>
          <w:tcPr>
            <w:tcW w:w="1860" w:type="dxa"/>
            <w:vAlign w:val="bottom"/>
          </w:tcPr>
          <w:p>
            <w:pPr>
              <w:jc w:val="center"/>
              <w:ind w:left="768"/>
              <w:spacing w:after="0"/>
              <w:rPr>
                <w:sz w:val="20"/>
                <w:szCs w:val="20"/>
                <w:color w:val="auto"/>
              </w:rPr>
            </w:pPr>
            <w:r>
              <w:rPr>
                <w:rFonts w:ascii="Arial" w:cs="Arial" w:eastAsia="Arial" w:hAnsi="Arial"/>
                <w:sz w:val="14"/>
                <w:szCs w:val="14"/>
                <w:color w:val="auto"/>
              </w:rPr>
              <w:t>26.5%</w:t>
            </w:r>
          </w:p>
        </w:tc>
        <w:tc>
          <w:tcPr>
            <w:tcW w:w="1000" w:type="dxa"/>
            <w:vAlign w:val="bottom"/>
          </w:tcPr>
          <w:p>
            <w:pPr>
              <w:jc w:val="center"/>
              <w:spacing w:after="0"/>
              <w:rPr>
                <w:sz w:val="20"/>
                <w:szCs w:val="20"/>
                <w:color w:val="auto"/>
              </w:rPr>
            </w:pPr>
            <w:r>
              <w:rPr>
                <w:rFonts w:ascii="Arial" w:cs="Arial" w:eastAsia="Arial" w:hAnsi="Arial"/>
                <w:sz w:val="14"/>
                <w:szCs w:val="14"/>
                <w:color w:val="auto"/>
              </w:rPr>
              <w:t>29.4%</w:t>
            </w:r>
          </w:p>
        </w:tc>
        <w:tc>
          <w:tcPr>
            <w:tcW w:w="1000" w:type="dxa"/>
            <w:vAlign w:val="bottom"/>
          </w:tcPr>
          <w:p>
            <w:pPr>
              <w:jc w:val="center"/>
              <w:spacing w:after="0"/>
              <w:rPr>
                <w:sz w:val="20"/>
                <w:szCs w:val="20"/>
                <w:color w:val="auto"/>
              </w:rPr>
            </w:pPr>
            <w:r>
              <w:rPr>
                <w:rFonts w:ascii="Arial" w:cs="Arial" w:eastAsia="Arial" w:hAnsi="Arial"/>
                <w:sz w:val="14"/>
                <w:szCs w:val="14"/>
                <w:color w:val="auto"/>
              </w:rPr>
              <w:t>36.3%</w:t>
            </w:r>
          </w:p>
        </w:tc>
        <w:tc>
          <w:tcPr>
            <w:tcW w:w="1020" w:type="dxa"/>
            <w:vAlign w:val="bottom"/>
          </w:tcPr>
          <w:p>
            <w:pPr>
              <w:jc w:val="center"/>
              <w:spacing w:after="0"/>
              <w:rPr>
                <w:sz w:val="20"/>
                <w:szCs w:val="20"/>
                <w:color w:val="auto"/>
              </w:rPr>
            </w:pPr>
            <w:r>
              <w:rPr>
                <w:rFonts w:ascii="Arial" w:cs="Arial" w:eastAsia="Arial" w:hAnsi="Arial"/>
                <w:sz w:val="14"/>
                <w:szCs w:val="14"/>
                <w:color w:val="auto"/>
              </w:rPr>
              <w:t>34.8%</w:t>
            </w:r>
          </w:p>
        </w:tc>
        <w:tc>
          <w:tcPr>
            <w:tcW w:w="1020" w:type="dxa"/>
            <w:vAlign w:val="bottom"/>
            <w:shd w:val="clear" w:color="auto" w:fill="AAAAAA"/>
          </w:tcPr>
          <w:p>
            <w:pPr>
              <w:jc w:val="center"/>
              <w:spacing w:after="0"/>
              <w:rPr>
                <w:sz w:val="20"/>
                <w:szCs w:val="20"/>
                <w:color w:val="auto"/>
              </w:rPr>
            </w:pPr>
            <w:r>
              <w:rPr>
                <w:rFonts w:ascii="Arial" w:cs="Arial" w:eastAsia="Arial" w:hAnsi="Arial"/>
                <w:sz w:val="14"/>
                <w:szCs w:val="14"/>
                <w:color w:val="auto"/>
              </w:rPr>
              <w:t>31.1%</w:t>
            </w:r>
          </w:p>
        </w:tc>
      </w:tr>
      <w:tr>
        <w:trPr>
          <w:trHeight w:val="179"/>
        </w:trPr>
        <w:tc>
          <w:tcPr>
            <w:tcW w:w="3680" w:type="dxa"/>
            <w:vAlign w:val="bottom"/>
            <w:tcBorders>
              <w:bottom w:val="single" w:sz="8" w:color="2AD2C9"/>
            </w:tcBorders>
          </w:tcPr>
          <w:p>
            <w:pPr>
              <w:spacing w:after="0"/>
              <w:rPr>
                <w:sz w:val="20"/>
                <w:szCs w:val="20"/>
                <w:color w:val="auto"/>
              </w:rPr>
            </w:pPr>
            <w:r>
              <w:rPr>
                <w:rFonts w:ascii="Arial" w:cs="Arial" w:eastAsia="Arial" w:hAnsi="Arial"/>
                <w:sz w:val="14"/>
                <w:szCs w:val="14"/>
                <w:color w:val="auto"/>
              </w:rPr>
              <w:t>(As months of imports)</w:t>
            </w:r>
          </w:p>
        </w:tc>
        <w:tc>
          <w:tcPr>
            <w:tcW w:w="1860" w:type="dxa"/>
            <w:vAlign w:val="bottom"/>
            <w:tcBorders>
              <w:bottom w:val="single" w:sz="8" w:color="2AD2C9"/>
            </w:tcBorders>
          </w:tcPr>
          <w:p>
            <w:pPr>
              <w:jc w:val="center"/>
              <w:ind w:left="748"/>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20</w:t>
            </w:r>
          </w:p>
        </w:tc>
        <w:tc>
          <w:tcPr>
            <w:tcW w:w="100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26</w:t>
            </w:r>
          </w:p>
        </w:tc>
        <w:tc>
          <w:tcPr>
            <w:tcW w:w="1020" w:type="dxa"/>
            <w:vAlign w:val="bottom"/>
            <w:tcBorders>
              <w:bottom w:val="single" w:sz="8" w:color="2AD2C9"/>
            </w:tcBorders>
          </w:tcPr>
          <w:p>
            <w:pPr>
              <w:jc w:val="center"/>
              <w:spacing w:after="0"/>
              <w:rPr>
                <w:sz w:val="20"/>
                <w:szCs w:val="20"/>
                <w:color w:val="auto"/>
              </w:rPr>
            </w:pPr>
            <w:r>
              <w:rPr>
                <w:rFonts w:ascii="Arial" w:cs="Arial" w:eastAsia="Arial" w:hAnsi="Arial"/>
                <w:sz w:val="14"/>
                <w:szCs w:val="14"/>
                <w:color w:val="auto"/>
              </w:rPr>
              <w:t>19</w:t>
            </w:r>
          </w:p>
        </w:tc>
        <w:tc>
          <w:tcPr>
            <w:tcW w:w="1020" w:type="dxa"/>
            <w:vAlign w:val="bottom"/>
            <w:tcBorders>
              <w:bottom w:val="single" w:sz="8" w:color="2AD2C9"/>
            </w:tcBorders>
            <w:shd w:val="clear" w:color="auto" w:fill="AAAAAA"/>
          </w:tcPr>
          <w:p>
            <w:pPr>
              <w:jc w:val="center"/>
              <w:spacing w:after="0"/>
              <w:rPr>
                <w:sz w:val="20"/>
                <w:szCs w:val="20"/>
                <w:color w:val="auto"/>
              </w:rPr>
            </w:pPr>
            <w:r>
              <w:rPr>
                <w:rFonts w:ascii="Arial" w:cs="Arial" w:eastAsia="Arial" w:hAnsi="Arial"/>
                <w:sz w:val="14"/>
                <w:szCs w:val="14"/>
                <w:color w:val="auto"/>
              </w:rPr>
              <w:t>18</w:t>
            </w:r>
          </w:p>
        </w:tc>
      </w:tr>
    </w:tbl>
    <w:p>
      <w:pPr>
        <w:spacing w:after="0"/>
        <w:rPr>
          <w:sz w:val="20"/>
          <w:szCs w:val="20"/>
          <w:color w:val="auto"/>
        </w:rPr>
      </w:pPr>
      <w:r>
        <w:rPr>
          <w:rFonts w:ascii="Times New Roman" w:cs="Times New Roman" w:eastAsia="Times New Roman" w:hAnsi="Times New Roman"/>
          <w:sz w:val="9"/>
          <w:szCs w:val="9"/>
          <w:i w:val="1"/>
          <w:iCs w:val="1"/>
          <w:color w:val="auto"/>
        </w:rPr>
        <w:t>Sources: INEI, BCRP, y SBS.</w:t>
      </w:r>
    </w:p>
    <w:p>
      <w:pPr>
        <w:spacing w:after="0" w:line="8" w:lineRule="exact"/>
        <w:rPr>
          <w:sz w:val="20"/>
          <w:szCs w:val="20"/>
          <w:color w:val="auto"/>
        </w:rPr>
      </w:pPr>
    </w:p>
    <w:p>
      <w:pPr>
        <w:ind w:left="140" w:hanging="133"/>
        <w:spacing w:after="0"/>
        <w:tabs>
          <w:tab w:leader="none" w:pos="14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Financial System, Current Exchange Rate</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Inflation target: 1% - 3%</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Estimates by BCP Economic Research as of March, 2022</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11.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993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9625" cy="1993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Main Macroeconomic Variables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Gross Domestic Product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(Annual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2328545</wp:posOffset>
            </wp:positionH>
            <wp:positionV relativeFrom="paragraph">
              <wp:posOffset>131445</wp:posOffset>
            </wp:positionV>
            <wp:extent cx="2840355" cy="12446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40355" cy="124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9"/>
          <w:szCs w:val="9"/>
          <w:color w:val="auto"/>
        </w:rPr>
        <w:t>Source: BCRP</w:t>
      </w:r>
    </w:p>
    <w:p>
      <w:pPr>
        <w:spacing w:after="0" w:line="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9"/>
          <w:szCs w:val="9"/>
          <w:i w:val="1"/>
          <w:iCs w:val="1"/>
          <w:color w:val="auto"/>
        </w:rPr>
        <w:t>*Estimate; BCP</w:t>
      </w:r>
    </w:p>
    <w:p>
      <w:pPr>
        <w:spacing w:after="0" w:line="18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 1Q22, the Peruvian economy is expected to have grown 3.5% YoY. This evolution was largely attributable to economic reopening and a return to more typical levels of economic activity, as well as favorable export commodities prices. This compares with GDP growth of 3.2% in 4Q21 and 4.4% in 1Q21, while in 2021 the economy grew 13.3%.</w:t>
      </w:r>
    </w:p>
    <w:p>
      <w:pPr>
        <w:sectPr>
          <w:pgSz w:w="11900" w:h="16838" w:orient="portrait"/>
          <w:cols w:equalWidth="0" w:num="1">
            <w:col w:w="11280"/>
          </w:cols>
          <w:pgMar w:left="300" w:top="140" w:right="319" w:bottom="1440" w:gutter="0" w:footer="0" w:header="0"/>
        </w:sectPr>
      </w:pPr>
    </w:p>
    <w:p>
      <w:pPr>
        <w:spacing w:after="0" w:line="130"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Annual Inflation and Central Bank Reference Rate</w:t>
      </w:r>
    </w:p>
    <w:p>
      <w:pPr>
        <w:spacing w:after="0" w:line="21"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2771775" cy="1657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71775" cy="1657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annual inflation rate in 1Q22 closed at 6.8% YoY (4Q21: 6.4%), this represents the highest level since August 1998 and is well above upper limit of the Central Bank of Peru’s (BCRP) target range (1% - 3%). The uptick in inflation observed in 1Q22 was primarily driven by food and energy items, which were impacted by the war in Ukraine and by an increase in international prices for oil and agricultural products (for example, in 1Q22 compared to 4Q21, corn rose 26% and wheat, 31%). If we excluded food and energy inflation stood at 3.5% YoY, compared with 3.2% in 4Q21. PEN appreciation in 1Q22 contributed to mitigate higher international prices.</w:t>
      </w:r>
    </w:p>
    <w:p>
      <w:pPr>
        <w:spacing w:after="0" w:line="200" w:lineRule="exact"/>
        <w:rPr>
          <w:sz w:val="20"/>
          <w:szCs w:val="20"/>
          <w:color w:val="auto"/>
        </w:rPr>
      </w:pPr>
    </w:p>
    <w:p>
      <w:pPr>
        <w:sectPr>
          <w:pgSz w:w="11900" w:h="16838" w:orient="portrait"/>
          <w:cols w:equalWidth="0" w:num="2">
            <w:col w:w="5140" w:space="720"/>
            <w:col w:w="5420"/>
          </w:cols>
          <w:pgMar w:left="300" w:top="1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Sources: BCRP and INEI</w:t>
      </w:r>
    </w:p>
    <w:p>
      <w:pPr>
        <w:spacing w:after="0" w:line="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August 2021, the Central Reserve Bank began to apply successive increases in its reference rate to control inflation and price expectations; in this scenario, the rate rose from 0.25% to 4.0% in March 2022. With these measures, the monetary authority expects it inflation expectations to return to the 1% - 3% target range in the second half of 2023.</w:t>
      </w:r>
    </w:p>
    <w:p>
      <w:pPr>
        <w:spacing w:after="0" w:line="200" w:lineRule="exact"/>
        <w:rPr>
          <w:sz w:val="20"/>
          <w:szCs w:val="20"/>
          <w:color w:val="auto"/>
        </w:rPr>
      </w:pPr>
    </w:p>
    <w:p>
      <w:pPr>
        <w:spacing w:after="0" w:line="249"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5780" w:type="dxa"/>
            <w:vAlign w:val="bottom"/>
            <w:shd w:val="clear" w:color="auto" w:fill="000000"/>
          </w:tcPr>
          <w:p>
            <w:pPr>
              <w:ind w:left="3840"/>
              <w:spacing w:after="0"/>
              <w:rPr>
                <w:sz w:val="20"/>
                <w:szCs w:val="20"/>
                <w:color w:val="auto"/>
              </w:rPr>
            </w:pPr>
            <w:r>
              <w:rPr>
                <w:rFonts w:ascii="Arial" w:cs="Arial" w:eastAsia="Arial" w:hAnsi="Arial"/>
                <w:sz w:val="14"/>
                <w:szCs w:val="14"/>
                <w:b w:val="1"/>
                <w:bCs w:val="1"/>
                <w:color w:val="D4D4D4"/>
              </w:rPr>
              <w:t>Earnings Release 1Q / 2022</w:t>
            </w:r>
          </w:p>
        </w:tc>
        <w:tc>
          <w:tcPr>
            <w:tcW w:w="5480" w:type="dxa"/>
            <w:vAlign w:val="bottom"/>
            <w:shd w:val="clear" w:color="auto" w:fill="000000"/>
          </w:tcPr>
          <w:p>
            <w:pPr>
              <w:ind w:left="2540"/>
              <w:spacing w:after="0"/>
              <w:rPr>
                <w:sz w:val="20"/>
                <w:szCs w:val="20"/>
                <w:color w:val="auto"/>
              </w:rPr>
            </w:pPr>
            <w:r>
              <w:rPr>
                <w:rFonts w:ascii="Arial" w:cs="Arial" w:eastAsia="Arial" w:hAnsi="Arial"/>
                <w:sz w:val="16"/>
                <w:szCs w:val="16"/>
                <w:b w:val="1"/>
                <w:bCs w:val="1"/>
                <w:color w:val="E93CAC"/>
                <w:w w:val="98"/>
              </w:rPr>
              <w:t>Analysis of 1Q22 Consolidated Results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780" w:type="dxa"/>
            <w:vAlign w:val="bottom"/>
            <w:shd w:val="clear" w:color="auto" w:fill="000000"/>
          </w:tcPr>
          <w:p>
            <w:pPr>
              <w:spacing w:after="0"/>
              <w:rPr>
                <w:sz w:val="8"/>
                <w:szCs w:val="8"/>
                <w:color w:val="auto"/>
              </w:rPr>
            </w:pPr>
          </w:p>
        </w:tc>
        <w:tc>
          <w:tcPr>
            <w:tcW w:w="5480" w:type="dxa"/>
            <w:vAlign w:val="bottom"/>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578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5780" w:type="dxa"/>
            <w:vAlign w:val="bottom"/>
            <w:shd w:val="clear" w:color="auto" w:fill="E93CAC"/>
          </w:tcPr>
          <w:p>
            <w:pPr>
              <w:spacing w:after="0"/>
              <w:rPr>
                <w:sz w:val="20"/>
                <w:szCs w:val="20"/>
                <w:color w:val="auto"/>
              </w:rPr>
            </w:pPr>
            <w:r>
              <w:rPr>
                <w:rFonts w:ascii="Arial" w:cs="Arial" w:eastAsia="Arial" w:hAnsi="Arial"/>
                <w:sz w:val="17"/>
                <w:szCs w:val="17"/>
                <w:b w:val="1"/>
                <w:bCs w:val="1"/>
                <w:color w:val="FFFFFF"/>
              </w:rPr>
              <w:t>11. Economic Outlook</w:t>
            </w:r>
          </w:p>
        </w:tc>
        <w:tc>
          <w:tcPr>
            <w:tcW w:w="5480" w:type="dxa"/>
            <w:vAlign w:val="bottom"/>
            <w:shd w:val="clear" w:color="auto" w:fill="E93CA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780" w:type="dxa"/>
            <w:vAlign w:val="bottom"/>
            <w:shd w:val="clear" w:color="auto" w:fill="E93CAC"/>
          </w:tcPr>
          <w:p>
            <w:pPr>
              <w:spacing w:after="0"/>
              <w:rPr>
                <w:sz w:val="6"/>
                <w:szCs w:val="6"/>
                <w:color w:val="auto"/>
              </w:rPr>
            </w:pPr>
          </w:p>
        </w:tc>
        <w:tc>
          <w:tcPr>
            <w:tcW w:w="5480" w:type="dxa"/>
            <w:vAlign w:val="bottom"/>
            <w:shd w:val="clear" w:color="auto" w:fill="E93CAC"/>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780" w:type="dxa"/>
            <w:vAlign w:val="bottom"/>
          </w:tcPr>
          <w:p>
            <w:pPr>
              <w:jc w:val="center"/>
              <w:ind w:right="321"/>
              <w:spacing w:after="0" w:line="151" w:lineRule="exact"/>
              <w:rPr>
                <w:sz w:val="20"/>
                <w:szCs w:val="20"/>
                <w:color w:val="auto"/>
              </w:rPr>
            </w:pPr>
            <w:r>
              <w:rPr>
                <w:rFonts w:ascii="Times New Roman" w:cs="Times New Roman" w:eastAsia="Times New Roman" w:hAnsi="Times New Roman"/>
                <w:sz w:val="14"/>
                <w:szCs w:val="14"/>
                <w:b w:val="1"/>
                <w:bCs w:val="1"/>
                <w:color w:val="auto"/>
              </w:rPr>
              <w:t>Fiscal Balance and Current Account Balance</w:t>
            </w:r>
          </w:p>
        </w:tc>
        <w:tc>
          <w:tcPr>
            <w:tcW w:w="5480" w:type="dxa"/>
            <w:vAlign w:val="bottom"/>
          </w:tcPr>
          <w:p>
            <w:pPr>
              <w:ind w:left="60"/>
              <w:spacing w:after="0" w:line="151" w:lineRule="exact"/>
              <w:rPr>
                <w:sz w:val="20"/>
                <w:szCs w:val="20"/>
                <w:color w:val="auto"/>
              </w:rPr>
            </w:pPr>
            <w:r>
              <w:rPr>
                <w:rFonts w:ascii="Times New Roman" w:cs="Times New Roman" w:eastAsia="Times New Roman" w:hAnsi="Times New Roman"/>
                <w:sz w:val="14"/>
                <w:szCs w:val="14"/>
                <w:color w:val="auto"/>
              </w:rPr>
              <w:t>The annualized fiscal balance for 1Q22 was a deficit of 1.7% of GDP compared with a</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jc w:val="center"/>
              <w:ind w:right="321"/>
              <w:spacing w:after="0" w:line="181" w:lineRule="exact"/>
              <w:rPr>
                <w:sz w:val="20"/>
                <w:szCs w:val="20"/>
                <w:color w:val="auto"/>
              </w:rPr>
            </w:pPr>
            <w:r>
              <w:rPr>
                <w:rFonts w:ascii="Times New Roman" w:cs="Times New Roman" w:eastAsia="Times New Roman" w:hAnsi="Times New Roman"/>
                <w:sz w:val="17"/>
                <w:szCs w:val="17"/>
                <w:color w:val="auto"/>
                <w:w w:val="99"/>
              </w:rPr>
              <w:t>(% of GDP, Quarter)</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deficit of 2.6% in 4Q21. This significant reduction was primarily attributable to economic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recovery and favorable international export prices. This context led to an uptick in revenues,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where growth in income tax payments and regularization, sales tax and taxes related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mining activity and hydrocarbons were noteworthy. This was complemented by inflows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extraordinary revenues for tax debt and fiscalization efforts. Non-financial government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spending contracted in a context marked by the gradual withdrawal of pandemic-related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government stimulus measures.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-646430</wp:posOffset>
            </wp:positionV>
            <wp:extent cx="2908935" cy="1685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08935" cy="168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0"/>
          <w:szCs w:val="10"/>
          <w:color w:val="auto"/>
        </w:rPr>
        <w:t>Source: BCRP</w:t>
      </w:r>
    </w:p>
    <w:p>
      <w:pPr>
        <w:spacing w:after="0" w:line="29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The price of copper (COMEX) rose in 1Q22 7.92% to US$ 4.75/lb; this represented an increase of 20% with regard to 2020 and 58% with regard 2019. In annual averages, the price of copper went from US$ 2.80/ lb in 2020 to $4.24 in 2021, an increase of 55%.</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government’s annualized current revenue as of March 2022 increased by 5.5% in nominal terms compared to December 2021. This increase was primarily attributable to growth in national government tax revenues (5.8%), where higher revenue from tax regularization for fiscal year 2021; payments to the income tax account; sales tax on imports; and internal sales tax were particularly noteworthy. In this context, the general government’s current revenue to GDP ratio increased 0.8 percentage points between December 2021 and March 2022 and rose to 21.8% of GDP in the final print.</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Annualized non-financial expenses by the general government as of March 2022 decreased by 0.2% in nominal terms compared to December 2021, which reflected declines of 3.6% in spending on current transfers and 1.4% in gross capital formation. Spending on salaries, goods and services rose 0.8%, primarily due to the health emergency; while recovery of expenses not related to these activities was up 1.5%; and other capital expenses to honor guarantees of loans increased 2.3%. In this scenario, the general government’s non-financial expenditure to GDP ratio decreased by 0.5 ppts between December 2021 and March 2022 21.8% of GDP in the final print.</w:t>
      </w:r>
    </w:p>
    <w:p>
      <w:pPr>
        <w:spacing w:after="0" w:line="158"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In 4Q21, the Public Treasury successfully executed global bond issues in of USD 4 billion and Euro 1 billion. This followed the issuance of almost USD 5 billion in 1Q21. The total for 2021 was around USD 10 billion. In 1Q22, the Ministry of Economy and Finance (MEF) continued to conduct the ordinary auctions of sovereign bonds.</w:t>
      </w:r>
    </w:p>
    <w:p>
      <w:pPr>
        <w:spacing w:after="0" w:line="14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With regard to the Credit Rating for Peru´s Long-Run Foreign Currency Debt, in March 2022, Standard and Poor's lowered Peru’s credit rating to BBB and changed the outlook to Stable from Negative.</w:t>
      </w:r>
    </w:p>
    <w:p>
      <w:pPr>
        <w:spacing w:after="0" w:line="1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In terms of external accounts, the current account deficit closed at 2.8% of GDP in 2021 compared to a surplus of 0.8% in 2020. As of February 2022, exports totaled US$5,664 million, increasing 26.4% (US$ 1,183 million) from February 2021, this reflected the impact of higher metal prices and economic recovery. In February, imports totaled US$ 4,013 million, up 14.1% from February 2021, which was mainly attributable to higher import prices, and to a lesser extent, to an increase in import volumes of construction materials, oil and industrial inputs. The terms of trade decreased 0.7% in February compared to the same month of 2021, due to higher import prices (16.9%), mainly for inputs. Export prices increased 16.1% mainly due to higher prices of copper, zinc, hydrocarbons, gold, coffee and fishmeal. With these results, the trade balance registered a monthly surplus of US$ 1,651 million in February and reached a historic high of US$ 15.3 billion in the last twelve months.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2" w:name="page43"/>
    <w:bookmarkEnd w:id="42"/>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11.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993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9625" cy="199390"/>
                    </a:xfrm>
                    <a:prstGeom prst="rect">
                      <a:avLst/>
                    </a:prstGeom>
                    <a:noFill/>
                  </pic:spPr>
                </pic:pic>
              </a:graphicData>
            </a:graphic>
          </wp:anchor>
        </w:drawing>
      </w:r>
    </w:p>
    <w:p>
      <w:pPr>
        <w:spacing w:after="0" w:line="96" w:lineRule="exact"/>
        <w:rPr>
          <w:sz w:val="20"/>
          <w:szCs w:val="20"/>
          <w:color w:val="auto"/>
        </w:rPr>
      </w:pPr>
    </w:p>
    <w:tbl>
      <w:tblPr>
        <w:tblLayout w:type="fixed"/>
        <w:tblInd w:w="2220" w:type="dxa"/>
        <w:tblCellMar>
          <w:top w:w="0" w:type="dxa"/>
          <w:left w:w="0" w:type="dxa"/>
          <w:bottom w:w="0" w:type="dxa"/>
          <w:right w:w="0" w:type="dxa"/>
        </w:tblCellMar>
      </w:tblPr>
      <w:tr>
        <w:trPr>
          <w:trHeight w:val="184"/>
        </w:trPr>
        <w:tc>
          <w:tcPr>
            <w:tcW w:w="2320" w:type="dxa"/>
            <w:vAlign w:val="bottom"/>
          </w:tcPr>
          <w:p>
            <w:pPr>
              <w:jc w:val="center"/>
              <w:ind w:right="1264"/>
              <w:spacing w:after="0"/>
              <w:rPr>
                <w:sz w:val="20"/>
                <w:szCs w:val="20"/>
                <w:color w:val="auto"/>
              </w:rPr>
            </w:pPr>
            <w:r>
              <w:rPr>
                <w:rFonts w:ascii="Times New Roman" w:cs="Times New Roman" w:eastAsia="Times New Roman" w:hAnsi="Times New Roman"/>
                <w:sz w:val="16"/>
                <w:szCs w:val="16"/>
                <w:b w:val="1"/>
                <w:bCs w:val="1"/>
                <w:color w:val="auto"/>
                <w:w w:val="99"/>
              </w:rPr>
              <w:t>Exchange rate</w:t>
            </w:r>
          </w:p>
        </w:tc>
        <w:tc>
          <w:tcPr>
            <w:tcW w:w="6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According to BCRP, the exchange rate closed at USDPEN 3.676 in 1Q22, (USDPEN 3.99 in</w:t>
            </w:r>
          </w:p>
        </w:tc>
      </w:tr>
      <w:tr>
        <w:trPr>
          <w:trHeight w:val="173"/>
        </w:trPr>
        <w:tc>
          <w:tcPr>
            <w:tcW w:w="2320" w:type="dxa"/>
            <w:vAlign w:val="bottom"/>
          </w:tcPr>
          <w:p>
            <w:pPr>
              <w:jc w:val="center"/>
              <w:ind w:right="1264"/>
              <w:spacing w:after="0"/>
              <w:rPr>
                <w:sz w:val="20"/>
                <w:szCs w:val="20"/>
                <w:color w:val="auto"/>
              </w:rPr>
            </w:pPr>
            <w:r>
              <w:rPr>
                <w:rFonts w:ascii="Times New Roman" w:cs="Times New Roman" w:eastAsia="Times New Roman" w:hAnsi="Times New Roman"/>
                <w:sz w:val="14"/>
                <w:szCs w:val="14"/>
                <w:color w:val="auto"/>
              </w:rPr>
              <w:t>(PEN per USD)</w:t>
            </w:r>
          </w:p>
        </w:tc>
        <w:tc>
          <w:tcPr>
            <w:tcW w:w="6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4Q21), which represents an appreciation of 7.9% compared to the level at the end of 4Q21</w:t>
            </w:r>
          </w:p>
        </w:tc>
      </w:tr>
      <w:tr>
        <w:trPr>
          <w:trHeight w:val="173"/>
        </w:trPr>
        <w:tc>
          <w:tcPr>
            <w:tcW w:w="2320" w:type="dxa"/>
            <w:vAlign w:val="bottom"/>
          </w:tcPr>
          <w:p>
            <w:pPr>
              <w:spacing w:after="0"/>
              <w:rPr>
                <w:sz w:val="15"/>
                <w:szCs w:val="15"/>
                <w:color w:val="auto"/>
              </w:rPr>
            </w:pPr>
          </w:p>
        </w:tc>
        <w:tc>
          <w:tcPr>
            <w:tcW w:w="6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and a decrease of 11% with regard to the record high recorded (USDPEN 4.137). It is</w:t>
            </w:r>
          </w:p>
        </w:tc>
      </w:tr>
      <w:tr>
        <w:trPr>
          <w:trHeight w:val="173"/>
        </w:trPr>
        <w:tc>
          <w:tcPr>
            <w:tcW w:w="2320" w:type="dxa"/>
            <w:vAlign w:val="bottom"/>
          </w:tcPr>
          <w:p>
            <w:pPr>
              <w:spacing w:after="0"/>
              <w:rPr>
                <w:sz w:val="15"/>
                <w:szCs w:val="15"/>
                <w:color w:val="auto"/>
              </w:rPr>
            </w:pPr>
          </w:p>
        </w:tc>
        <w:tc>
          <w:tcPr>
            <w:tcW w:w="6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important to highlight that the currencies of the region followed a similar trend in during</w:t>
            </w:r>
          </w:p>
        </w:tc>
      </w:tr>
      <w:tr>
        <w:trPr>
          <w:trHeight w:val="173"/>
        </w:trPr>
        <w:tc>
          <w:tcPr>
            <w:tcW w:w="2320" w:type="dxa"/>
            <w:vAlign w:val="bottom"/>
          </w:tcPr>
          <w:p>
            <w:pPr>
              <w:spacing w:after="0"/>
              <w:rPr>
                <w:sz w:val="15"/>
                <w:szCs w:val="15"/>
                <w:color w:val="auto"/>
              </w:rPr>
            </w:pPr>
          </w:p>
        </w:tc>
        <w:tc>
          <w:tcPr>
            <w:tcW w:w="6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1Q22, the Mexican Peso appreciated 3.2%; the Brazilian Real 14.9%, the Chilean Peso 7.7%</w:t>
            </w:r>
          </w:p>
        </w:tc>
      </w:tr>
      <w:tr>
        <w:trPr>
          <w:trHeight w:val="189"/>
        </w:trPr>
        <w:tc>
          <w:tcPr>
            <w:tcW w:w="2320" w:type="dxa"/>
            <w:vAlign w:val="bottom"/>
          </w:tcPr>
          <w:p>
            <w:pPr>
              <w:spacing w:after="0"/>
              <w:rPr>
                <w:sz w:val="16"/>
                <w:szCs w:val="16"/>
                <w:color w:val="auto"/>
              </w:rPr>
            </w:pPr>
          </w:p>
        </w:tc>
        <w:tc>
          <w:tcPr>
            <w:tcW w:w="674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and the Colombian Peso 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-433070</wp:posOffset>
            </wp:positionV>
            <wp:extent cx="2372995" cy="13550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72995"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0"/>
          <w:szCs w:val="10"/>
          <w:color w:val="auto"/>
        </w:rPr>
        <w:t>Source: BCRP</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1Q22, the BCRP made net sales in the spot foreign exchange market for US$371 million, which fell below the US$2,380 million reported in 4Q21. In 2021, BCRP accumulated net sales of US$ 11,626 million. The entity continued to use a set of foreign exchange instruments to mitigate pressures on the exchange rate: at the end of 1Q22, the balance of CDR BCRP stood at S/ 1.0 billion (4Q21: S/ 1.4 billion), and the balance of Swaps Foreign Exchange (sell) reached S/ 35.8 billion (4Q21: S/ 37.8 billion).</w:t>
      </w:r>
    </w:p>
    <w:p>
      <w:pPr>
        <w:spacing w:after="0" w:line="1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Net International Reserves closed 1Q22 at US$75.3 billion, below the US$78.5 billion posted in 4Q21 but higher than the US$74.7 billion observed at the end of 2020. The Central Bank's foreign exchange position stood at US$ 56.3 billion, which represented a decline of US$ 1.0 billion compared to the figure at the close of 4Q21.</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FFFFFF"/>
        </w:rPr>
        <w:t>Safe Harbor for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9625" cy="1993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9625" cy="199390"/>
                    </a:xfrm>
                    <a:prstGeom prst="rect">
                      <a:avLst/>
                    </a:prstGeom>
                    <a:noFill/>
                  </pic:spPr>
                </pic:pic>
              </a:graphicData>
            </a:graphic>
          </wp:anchor>
        </w:drawing>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6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40" w:lineRule="exact"/>
        <w:rPr>
          <w:sz w:val="20"/>
          <w:szCs w:val="20"/>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natural disasters or political or social instability in Peru;</w:t>
      </w:r>
    </w:p>
    <w:p>
      <w:pPr>
        <w:spacing w:after="0" w:line="27"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the dividends that our subsidiaries are able to pay to us, which may affect our ability to pay dividends to shareholders and corporate expenses;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and volatility in, financial markets, including Latin-American and other markets;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frequency, severity and types of insured loss events;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interest rate levels;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rates, including the Sol/US Dollar exchange rate;</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in the quality of our loan portfolio;</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competition in Peru and other markets in which we operate;</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and changes in laws and regulations affecting the financial sector and adoption of new international guidelines;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policies of central banks and/or foreign governments;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our risk management policies and of our operational and security systems;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associated with counterparty exposures;</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the coronavirus (“COVID-19”) outbreak, actions taken to contain the COVID-19 and related economic effects from such actions and our ability to maintain adequate staffing; and</w:t>
      </w:r>
    </w:p>
    <w:p>
      <w:pPr>
        <w:spacing w:after="0" w:line="12" w:lineRule="exact"/>
        <w:rPr>
          <w:rFonts w:ascii="Times New Roman" w:cs="Times New Roman" w:eastAsia="Times New Roman" w:hAnsi="Times New Roman"/>
          <w:sz w:val="14"/>
          <w:szCs w:val="14"/>
          <w:color w:val="auto"/>
        </w:rPr>
      </w:pPr>
    </w:p>
    <w:p>
      <w:pPr>
        <w:ind w:left="100" w:hanging="93"/>
        <w:spacing w:after="0"/>
        <w:tabs>
          <w:tab w:leader="none" w:pos="1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Bermuda laws and regulations applicable to so-called non-resident entities.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See “Item 3. Key Information—3.D Risk Factors” and “Item 5. Operating and Financial Review and Prospects” in our most recent Annual Report on Form 20-F filed with the U.S. Securities and Exchange Commission for additional information and other such factors.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60"/>
        </w:trPr>
        <w:tc>
          <w:tcPr>
            <w:tcW w:w="400" w:type="dxa"/>
            <w:vAlign w:val="bottom"/>
            <w:shd w:val="clear" w:color="auto" w:fill="000000"/>
          </w:tcPr>
          <w:p>
            <w:pPr>
              <w:spacing w:after="0"/>
              <w:rPr>
                <w:sz w:val="22"/>
                <w:szCs w:val="22"/>
                <w:color w:val="auto"/>
              </w:rPr>
            </w:pPr>
          </w:p>
        </w:tc>
        <w:tc>
          <w:tcPr>
            <w:tcW w:w="6380" w:type="dxa"/>
            <w:vAlign w:val="bottom"/>
            <w:shd w:val="clear" w:color="auto" w:fill="000000"/>
          </w:tcPr>
          <w:p>
            <w:pPr>
              <w:ind w:left="34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jc w:val="right"/>
              <w:spacing w:after="0"/>
              <w:rPr>
                <w:sz w:val="20"/>
                <w:szCs w:val="20"/>
                <w:color w:val="auto"/>
              </w:rPr>
            </w:pPr>
            <w:r>
              <w:rPr>
                <w:rFonts w:ascii="Arial" w:cs="Arial" w:eastAsia="Arial" w:hAnsi="Arial"/>
                <w:sz w:val="16"/>
                <w:szCs w:val="16"/>
                <w:b w:val="1"/>
                <w:bCs w:val="1"/>
                <w:color w:val="E93CAC"/>
              </w:rPr>
              <w:t>Analysis of 1Q22 Consolidated Results</w:t>
            </w:r>
          </w:p>
        </w:tc>
      </w:tr>
      <w:tr>
        <w:trPr>
          <w:trHeight w:val="97"/>
        </w:trPr>
        <w:tc>
          <w:tcPr>
            <w:tcW w:w="400" w:type="dxa"/>
            <w:vAlign w:val="bottom"/>
            <w:shd w:val="clear" w:color="auto" w:fill="000000"/>
          </w:tcPr>
          <w:p>
            <w:pPr>
              <w:spacing w:after="0"/>
              <w:rPr>
                <w:sz w:val="8"/>
                <w:szCs w:val="8"/>
                <w:color w:val="auto"/>
              </w:rPr>
            </w:pPr>
          </w:p>
        </w:tc>
        <w:tc>
          <w:tcPr>
            <w:tcW w:w="63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r>
        <w:trPr>
          <w:trHeight w:val="637"/>
        </w:trPr>
        <w:tc>
          <w:tcPr>
            <w:tcW w:w="6780" w:type="dxa"/>
            <w:vAlign w:val="bottom"/>
            <w:gridSpan w:val="2"/>
          </w:tcPr>
          <w:p>
            <w:pPr>
              <w:spacing w:after="0"/>
              <w:rPr>
                <w:sz w:val="20"/>
                <w:szCs w:val="20"/>
                <w:color w:val="auto"/>
              </w:rPr>
            </w:pPr>
            <w:r>
              <w:rPr>
                <w:rFonts w:ascii="Times New Roman" w:cs="Times New Roman" w:eastAsia="Times New Roman" w:hAnsi="Times New Roman"/>
                <w:sz w:val="42"/>
                <w:szCs w:val="42"/>
                <w:b w:val="1"/>
                <w:bCs w:val="1"/>
                <w:color w:val="E93CAC"/>
              </w:rPr>
              <w:t xml:space="preserve">12 </w:t>
            </w:r>
            <w:r>
              <w:rPr>
                <w:rFonts w:ascii="Times New Roman" w:cs="Times New Roman" w:eastAsia="Times New Roman" w:hAnsi="Times New Roman"/>
                <w:sz w:val="25"/>
                <w:szCs w:val="25"/>
                <w:b w:val="1"/>
                <w:bCs w:val="1"/>
                <w:color w:val="E93CAC"/>
              </w:rPr>
              <w:t>Appendix</w:t>
            </w:r>
          </w:p>
        </w:tc>
        <w:tc>
          <w:tcPr>
            <w:tcW w:w="4500" w:type="dxa"/>
            <w:vAlign w:val="bottom"/>
          </w:tcPr>
          <w:p>
            <w:pPr>
              <w:spacing w:after="0"/>
              <w:rPr>
                <w:sz w:val="24"/>
                <w:szCs w:val="24"/>
                <w:color w:val="auto"/>
              </w:rPr>
            </w:pPr>
          </w:p>
        </w:tc>
      </w:tr>
      <w:tr>
        <w:trPr>
          <w:trHeight w:val="384"/>
        </w:trPr>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12.1.</w:t>
            </w: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Physical Channels</w:t>
            </w:r>
          </w:p>
        </w:tc>
        <w:tc>
          <w:tcPr>
            <w:tcW w:w="45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12.2.</w:t>
            </w: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Loan Portfolio Quality</w:t>
            </w:r>
          </w:p>
        </w:tc>
        <w:tc>
          <w:tcPr>
            <w:tcW w:w="45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6780" w:type="dxa"/>
            <w:vAlign w:val="bottom"/>
            <w:gridSpan w:val="2"/>
          </w:tcPr>
          <w:p>
            <w:pPr>
              <w:ind w:left="20"/>
              <w:spacing w:after="0"/>
              <w:rPr>
                <w:sz w:val="20"/>
                <w:szCs w:val="20"/>
                <w:color w:val="auto"/>
              </w:rPr>
            </w:pPr>
            <w:r>
              <w:rPr>
                <w:rFonts w:ascii="Arial" w:cs="Arial" w:eastAsia="Arial" w:hAnsi="Arial"/>
                <w:sz w:val="16"/>
                <w:szCs w:val="16"/>
                <w:b w:val="1"/>
                <w:bCs w:val="1"/>
                <w:color w:val="auto"/>
              </w:rPr>
              <w:t>12.3 Net Interest Income (INI)</w:t>
            </w:r>
          </w:p>
        </w:tc>
        <w:tc>
          <w:tcPr>
            <w:tcW w:w="45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12.4.</w:t>
            </w: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Regulatory Capital</w:t>
            </w:r>
          </w:p>
        </w:tc>
        <w:tc>
          <w:tcPr>
            <w:tcW w:w="45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12.5.</w:t>
            </w: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Financial Statements and Ratios by Business</w:t>
            </w:r>
          </w:p>
        </w:tc>
        <w:tc>
          <w:tcPr>
            <w:tcW w:w="45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12.5.1. Credicorp Consolidated</w:t>
            </w:r>
          </w:p>
        </w:tc>
        <w:tc>
          <w:tcPr>
            <w:tcW w:w="45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12.5.2. Credicorp Stand-alone</w:t>
            </w:r>
          </w:p>
        </w:tc>
        <w:tc>
          <w:tcPr>
            <w:tcW w:w="45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12.5.3. BCP Consolidated</w:t>
            </w:r>
          </w:p>
        </w:tc>
        <w:tc>
          <w:tcPr>
            <w:tcW w:w="45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12.5.4. BCP Stand-alone</w:t>
            </w:r>
          </w:p>
        </w:tc>
        <w:tc>
          <w:tcPr>
            <w:tcW w:w="45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12.5.5. BCP Bolivia</w:t>
            </w:r>
          </w:p>
        </w:tc>
        <w:tc>
          <w:tcPr>
            <w:tcW w:w="45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12.5.6. Mibanco</w:t>
            </w:r>
          </w:p>
        </w:tc>
        <w:tc>
          <w:tcPr>
            <w:tcW w:w="45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12.5.7. Prima AFP</w:t>
            </w:r>
          </w:p>
        </w:tc>
        <w:tc>
          <w:tcPr>
            <w:tcW w:w="45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12.5.8. Grupo Pacifico</w:t>
            </w:r>
          </w:p>
        </w:tc>
        <w:tc>
          <w:tcPr>
            <w:tcW w:w="45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6780" w:type="dxa"/>
            <w:vAlign w:val="bottom"/>
            <w:gridSpan w:val="2"/>
          </w:tcPr>
          <w:p>
            <w:pPr>
              <w:ind w:left="160"/>
              <w:spacing w:after="0"/>
              <w:rPr>
                <w:sz w:val="20"/>
                <w:szCs w:val="20"/>
                <w:color w:val="auto"/>
              </w:rPr>
            </w:pPr>
            <w:r>
              <w:rPr>
                <w:rFonts w:ascii="Arial" w:cs="Arial" w:eastAsia="Arial" w:hAnsi="Arial"/>
                <w:sz w:val="16"/>
                <w:szCs w:val="16"/>
                <w:b w:val="1"/>
                <w:bCs w:val="1"/>
                <w:color w:val="auto"/>
              </w:rPr>
              <w:t>12.5.9. Investment Banking &amp; Wealth Management</w:t>
            </w:r>
          </w:p>
        </w:tc>
        <w:tc>
          <w:tcPr>
            <w:tcW w:w="45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12.6.</w:t>
            </w: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Table of calculations</w:t>
            </w:r>
          </w:p>
        </w:tc>
        <w:tc>
          <w:tcPr>
            <w:tcW w:w="45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8"/>
        </w:trPr>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12.7.</w:t>
            </w: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Glossary of terms</w:t>
            </w:r>
          </w:p>
        </w:tc>
        <w:tc>
          <w:tcPr>
            <w:tcW w:w="45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463"/>
        </w:trPr>
        <w:tc>
          <w:tcPr>
            <w:tcW w:w="4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4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33"/>
        </w:trPr>
        <w:tc>
          <w:tcPr>
            <w:tcW w:w="40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bl>
    <w:p>
      <w:pPr>
        <w:spacing w:after="0"/>
        <w:rPr>
          <w:sz w:val="20"/>
          <w:szCs w:val="20"/>
          <w:color w:val="auto"/>
        </w:rPr>
        <w:sectPr>
          <w:pgSz w:w="11900" w:h="16838" w:orient="portrait"/>
          <w:cols w:equalWidth="0" w:num="1">
            <w:col w:w="11280"/>
          </w:cols>
          <w:pgMar w:left="300" w:top="140" w:right="31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bookmarkStart w:id="45" w:name="page46"/>
    <w:bookmarkEnd w:id="45"/>
    <w:tbl>
      <w:tblPr>
        <w:tblLayout w:type="fixed"/>
        <w:tblInd w:w="0" w:type="dxa"/>
        <w:tblCellMar>
          <w:top w:w="0" w:type="dxa"/>
          <w:left w:w="0" w:type="dxa"/>
          <w:bottom w:w="0" w:type="dxa"/>
          <w:right w:w="0" w:type="dxa"/>
        </w:tblCellMar>
      </w:tblPr>
      <w:tr>
        <w:trPr>
          <w:trHeight w:val="260"/>
        </w:trPr>
        <w:tc>
          <w:tcPr>
            <w:tcW w:w="1160" w:type="dxa"/>
            <w:vAlign w:val="bottom"/>
            <w:tcBorders>
              <w:right w:val="single" w:sz="8" w:color="auto"/>
            </w:tcBorders>
            <w:shd w:val="clear" w:color="auto" w:fill="000000"/>
          </w:tcPr>
          <w:p>
            <w:pPr>
              <w:spacing w:after="0"/>
              <w:rPr>
                <w:sz w:val="22"/>
                <w:szCs w:val="22"/>
                <w:color w:val="auto"/>
              </w:rPr>
            </w:pPr>
          </w:p>
        </w:tc>
        <w:tc>
          <w:tcPr>
            <w:tcW w:w="1680" w:type="dxa"/>
            <w:vAlign w:val="bottom"/>
            <w:shd w:val="clear" w:color="auto" w:fill="000000"/>
          </w:tcPr>
          <w:p>
            <w:pPr>
              <w:spacing w:after="0"/>
              <w:rPr>
                <w:sz w:val="22"/>
                <w:szCs w:val="22"/>
                <w:color w:val="auto"/>
              </w:rPr>
            </w:pPr>
          </w:p>
        </w:tc>
        <w:tc>
          <w:tcPr>
            <w:tcW w:w="3380" w:type="dxa"/>
            <w:vAlign w:val="bottom"/>
            <w:gridSpan w:val="2"/>
            <w:shd w:val="clear" w:color="auto" w:fill="000000"/>
          </w:tcPr>
          <w:p>
            <w:pPr>
              <w:jc w:val="right"/>
              <w:ind w:right="408"/>
              <w:spacing w:after="0"/>
              <w:rPr>
                <w:sz w:val="20"/>
                <w:szCs w:val="20"/>
                <w:color w:val="auto"/>
              </w:rPr>
            </w:pPr>
            <w:r>
              <w:rPr>
                <w:rFonts w:ascii="Arial" w:cs="Arial" w:eastAsia="Arial" w:hAnsi="Arial"/>
                <w:sz w:val="14"/>
                <w:szCs w:val="14"/>
                <w:b w:val="1"/>
                <w:bCs w:val="1"/>
                <w:color w:val="D4D4D4"/>
              </w:rPr>
              <w:t>Earnings Release 1Q / 2022</w:t>
            </w:r>
          </w:p>
        </w:tc>
        <w:tc>
          <w:tcPr>
            <w:tcW w:w="1020" w:type="dxa"/>
            <w:vAlign w:val="bottom"/>
            <w:shd w:val="clear" w:color="auto" w:fill="000000"/>
          </w:tcPr>
          <w:p>
            <w:pPr>
              <w:spacing w:after="0"/>
              <w:rPr>
                <w:sz w:val="22"/>
                <w:szCs w:val="22"/>
                <w:color w:val="auto"/>
              </w:rPr>
            </w:pPr>
          </w:p>
        </w:tc>
        <w:tc>
          <w:tcPr>
            <w:tcW w:w="880" w:type="dxa"/>
            <w:vAlign w:val="bottom"/>
            <w:tcBorders>
              <w:right w:val="single" w:sz="8" w:color="auto"/>
            </w:tcBorders>
            <w:shd w:val="clear" w:color="auto" w:fill="000000"/>
          </w:tcPr>
          <w:p>
            <w:pPr>
              <w:spacing w:after="0"/>
              <w:rPr>
                <w:sz w:val="22"/>
                <w:szCs w:val="22"/>
                <w:color w:val="auto"/>
              </w:rPr>
            </w:pPr>
          </w:p>
        </w:tc>
        <w:tc>
          <w:tcPr>
            <w:tcW w:w="3160" w:type="dxa"/>
            <w:vAlign w:val="bottom"/>
            <w:gridSpan w:val="3"/>
            <w:shd w:val="clear" w:color="auto" w:fill="000000"/>
          </w:tcPr>
          <w:p>
            <w:pPr>
              <w:ind w:left="22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1160" w:type="dxa"/>
            <w:vAlign w:val="bottom"/>
            <w:tcBorders>
              <w:right w:val="single" w:sz="8" w:color="auto"/>
            </w:tcBorders>
            <w:shd w:val="clear" w:color="auto" w:fill="000000"/>
          </w:tcPr>
          <w:p>
            <w:pPr>
              <w:spacing w:after="0"/>
              <w:rPr>
                <w:sz w:val="8"/>
                <w:szCs w:val="8"/>
                <w:color w:val="auto"/>
              </w:rPr>
            </w:pPr>
          </w:p>
        </w:tc>
        <w:tc>
          <w:tcPr>
            <w:tcW w:w="1680" w:type="dxa"/>
            <w:vAlign w:val="bottom"/>
            <w:shd w:val="clear" w:color="auto" w:fill="000000"/>
          </w:tcPr>
          <w:p>
            <w:pPr>
              <w:spacing w:after="0"/>
              <w:rPr>
                <w:sz w:val="8"/>
                <w:szCs w:val="8"/>
                <w:color w:val="auto"/>
              </w:rPr>
            </w:pPr>
          </w:p>
        </w:tc>
        <w:tc>
          <w:tcPr>
            <w:tcW w:w="2260" w:type="dxa"/>
            <w:vAlign w:val="bottom"/>
            <w:tcBorders>
              <w:right w:val="single" w:sz="8" w:color="auto"/>
            </w:tcBorders>
            <w:shd w:val="clear" w:color="auto" w:fill="000000"/>
          </w:tcPr>
          <w:p>
            <w:pPr>
              <w:spacing w:after="0"/>
              <w:rPr>
                <w:sz w:val="8"/>
                <w:szCs w:val="8"/>
                <w:color w:val="auto"/>
              </w:rPr>
            </w:pPr>
          </w:p>
        </w:tc>
        <w:tc>
          <w:tcPr>
            <w:tcW w:w="1120" w:type="dxa"/>
            <w:vAlign w:val="bottom"/>
            <w:shd w:val="clear" w:color="auto" w:fill="000000"/>
          </w:tcPr>
          <w:p>
            <w:pPr>
              <w:spacing w:after="0"/>
              <w:rPr>
                <w:sz w:val="8"/>
                <w:szCs w:val="8"/>
                <w:color w:val="auto"/>
              </w:rPr>
            </w:pPr>
          </w:p>
        </w:tc>
        <w:tc>
          <w:tcPr>
            <w:tcW w:w="1020" w:type="dxa"/>
            <w:vAlign w:val="bottom"/>
            <w:shd w:val="clear" w:color="auto" w:fill="000000"/>
          </w:tcPr>
          <w:p>
            <w:pPr>
              <w:spacing w:after="0"/>
              <w:rPr>
                <w:sz w:val="8"/>
                <w:szCs w:val="8"/>
                <w:color w:val="auto"/>
              </w:rPr>
            </w:pPr>
          </w:p>
        </w:tc>
        <w:tc>
          <w:tcPr>
            <w:tcW w:w="880" w:type="dxa"/>
            <w:vAlign w:val="bottom"/>
            <w:tcBorders>
              <w:right w:val="single" w:sz="8" w:color="auto"/>
            </w:tcBorders>
            <w:shd w:val="clear" w:color="auto" w:fill="000000"/>
          </w:tcPr>
          <w:p>
            <w:pPr>
              <w:spacing w:after="0"/>
              <w:rPr>
                <w:sz w:val="8"/>
                <w:szCs w:val="8"/>
                <w:color w:val="auto"/>
              </w:rPr>
            </w:pPr>
          </w:p>
        </w:tc>
        <w:tc>
          <w:tcPr>
            <w:tcW w:w="1180" w:type="dxa"/>
            <w:vAlign w:val="bottom"/>
            <w:shd w:val="clear" w:color="auto" w:fill="000000"/>
          </w:tcPr>
          <w:p>
            <w:pPr>
              <w:spacing w:after="0"/>
              <w:rPr>
                <w:sz w:val="8"/>
                <w:szCs w:val="8"/>
                <w:color w:val="auto"/>
              </w:rPr>
            </w:pPr>
          </w:p>
        </w:tc>
        <w:tc>
          <w:tcPr>
            <w:tcW w:w="860" w:type="dxa"/>
            <w:vAlign w:val="bottom"/>
            <w:tcBorders>
              <w:right w:val="single" w:sz="8" w:color="auto"/>
            </w:tcBorders>
            <w:shd w:val="clear" w:color="auto" w:fill="000000"/>
          </w:tcPr>
          <w:p>
            <w:pPr>
              <w:spacing w:after="0"/>
              <w:rPr>
                <w:sz w:val="8"/>
                <w:szCs w:val="8"/>
                <w:color w:val="auto"/>
              </w:rPr>
            </w:pPr>
          </w:p>
        </w:tc>
        <w:tc>
          <w:tcPr>
            <w:tcW w:w="1120" w:type="dxa"/>
            <w:vAlign w:val="bottom"/>
            <w:shd w:val="clear" w:color="auto" w:fill="000000"/>
          </w:tcPr>
          <w:p>
            <w:pPr>
              <w:spacing w:after="0"/>
              <w:rPr>
                <w:sz w:val="8"/>
                <w:szCs w:val="8"/>
                <w:color w:val="auto"/>
              </w:rPr>
            </w:pPr>
          </w:p>
        </w:tc>
      </w:tr>
      <w:tr>
        <w:trPr>
          <w:trHeight w:val="141"/>
        </w:trPr>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60"/>
        </w:trPr>
        <w:tc>
          <w:tcPr>
            <w:tcW w:w="2840" w:type="dxa"/>
            <w:vAlign w:val="bottom"/>
            <w:gridSpan w:val="2"/>
            <w:shd w:val="clear" w:color="auto" w:fill="E93CAC"/>
          </w:tcPr>
          <w:p>
            <w:pPr>
              <w:ind w:left="40"/>
              <w:spacing w:after="0"/>
              <w:rPr>
                <w:sz w:val="20"/>
                <w:szCs w:val="20"/>
                <w:color w:val="auto"/>
              </w:rPr>
            </w:pPr>
            <w:r>
              <w:rPr>
                <w:rFonts w:ascii="Arial" w:cs="Arial" w:eastAsia="Arial" w:hAnsi="Arial"/>
                <w:sz w:val="17"/>
                <w:szCs w:val="17"/>
                <w:b w:val="1"/>
                <w:bCs w:val="1"/>
                <w:color w:val="FFFFFF"/>
              </w:rPr>
              <w:t>12. Appendix</w:t>
            </w:r>
          </w:p>
        </w:tc>
        <w:tc>
          <w:tcPr>
            <w:tcW w:w="2260" w:type="dxa"/>
            <w:vAlign w:val="bottom"/>
            <w:tcBorders>
              <w:right w:val="single" w:sz="8" w:color="E93CAC"/>
            </w:tcBorders>
            <w:shd w:val="clear" w:color="auto" w:fill="E93CAC"/>
          </w:tcPr>
          <w:p>
            <w:pPr>
              <w:spacing w:after="0"/>
              <w:rPr>
                <w:sz w:val="22"/>
                <w:szCs w:val="22"/>
                <w:color w:val="auto"/>
              </w:rPr>
            </w:pPr>
          </w:p>
        </w:tc>
        <w:tc>
          <w:tcPr>
            <w:tcW w:w="1120" w:type="dxa"/>
            <w:vAlign w:val="bottom"/>
            <w:shd w:val="clear" w:color="auto" w:fill="E93CAC"/>
          </w:tcPr>
          <w:p>
            <w:pPr>
              <w:spacing w:after="0"/>
              <w:rPr>
                <w:sz w:val="22"/>
                <w:szCs w:val="22"/>
                <w:color w:val="auto"/>
              </w:rPr>
            </w:pPr>
          </w:p>
        </w:tc>
        <w:tc>
          <w:tcPr>
            <w:tcW w:w="1020" w:type="dxa"/>
            <w:vAlign w:val="bottom"/>
            <w:shd w:val="clear" w:color="auto" w:fill="E93CAC"/>
          </w:tcPr>
          <w:p>
            <w:pPr>
              <w:spacing w:after="0"/>
              <w:rPr>
                <w:sz w:val="22"/>
                <w:szCs w:val="22"/>
                <w:color w:val="auto"/>
              </w:rPr>
            </w:pPr>
          </w:p>
        </w:tc>
        <w:tc>
          <w:tcPr>
            <w:tcW w:w="880" w:type="dxa"/>
            <w:vAlign w:val="bottom"/>
            <w:tcBorders>
              <w:right w:val="single" w:sz="8" w:color="E93CAC"/>
            </w:tcBorders>
            <w:shd w:val="clear" w:color="auto" w:fill="E93CAC"/>
          </w:tcPr>
          <w:p>
            <w:pPr>
              <w:spacing w:after="0"/>
              <w:rPr>
                <w:sz w:val="22"/>
                <w:szCs w:val="22"/>
                <w:color w:val="auto"/>
              </w:rPr>
            </w:pPr>
          </w:p>
        </w:tc>
        <w:tc>
          <w:tcPr>
            <w:tcW w:w="1180" w:type="dxa"/>
            <w:vAlign w:val="bottom"/>
            <w:shd w:val="clear" w:color="auto" w:fill="E93CAC"/>
          </w:tcPr>
          <w:p>
            <w:pPr>
              <w:spacing w:after="0"/>
              <w:rPr>
                <w:sz w:val="22"/>
                <w:szCs w:val="22"/>
                <w:color w:val="auto"/>
              </w:rPr>
            </w:pPr>
          </w:p>
        </w:tc>
        <w:tc>
          <w:tcPr>
            <w:tcW w:w="860" w:type="dxa"/>
            <w:vAlign w:val="bottom"/>
            <w:tcBorders>
              <w:right w:val="single" w:sz="8" w:color="E93CAC"/>
            </w:tcBorders>
            <w:shd w:val="clear" w:color="auto" w:fill="E93CAC"/>
          </w:tcPr>
          <w:p>
            <w:pPr>
              <w:spacing w:after="0"/>
              <w:rPr>
                <w:sz w:val="22"/>
                <w:szCs w:val="22"/>
                <w:color w:val="auto"/>
              </w:rPr>
            </w:pPr>
          </w:p>
        </w:tc>
        <w:tc>
          <w:tcPr>
            <w:tcW w:w="1120" w:type="dxa"/>
            <w:vAlign w:val="bottom"/>
            <w:shd w:val="clear" w:color="auto" w:fill="E93CAC"/>
          </w:tcPr>
          <w:p>
            <w:pPr>
              <w:spacing w:after="0"/>
              <w:rPr>
                <w:sz w:val="22"/>
                <w:szCs w:val="22"/>
                <w:color w:val="auto"/>
              </w:rPr>
            </w:pPr>
          </w:p>
        </w:tc>
      </w:tr>
      <w:tr>
        <w:trPr>
          <w:trHeight w:val="488"/>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12.1. Physical Channels</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5"/>
        </w:trPr>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spacing w:after="0"/>
              <w:rPr>
                <w:sz w:val="24"/>
                <w:szCs w:val="24"/>
                <w:color w:val="auto"/>
              </w:rPr>
            </w:pPr>
          </w:p>
        </w:tc>
        <w:tc>
          <w:tcPr>
            <w:tcW w:w="1120" w:type="dxa"/>
            <w:vAlign w:val="bottom"/>
          </w:tcPr>
          <w:p>
            <w:pPr>
              <w:spacing w:after="0"/>
              <w:rPr>
                <w:sz w:val="24"/>
                <w:szCs w:val="24"/>
                <w:color w:val="auto"/>
              </w:rPr>
            </w:pPr>
          </w:p>
        </w:tc>
      </w:tr>
      <w:tr>
        <w:trPr>
          <w:trHeight w:val="148"/>
        </w:trPr>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1120" w:type="dxa"/>
            <w:vAlign w:val="bottom"/>
            <w:shd w:val="clear" w:color="auto" w:fill="2AD2C9"/>
          </w:tcPr>
          <w:p>
            <w:pPr>
              <w:spacing w:after="0"/>
              <w:rPr>
                <w:sz w:val="12"/>
                <w:szCs w:val="12"/>
                <w:color w:val="auto"/>
              </w:rPr>
            </w:pPr>
          </w:p>
        </w:tc>
        <w:tc>
          <w:tcPr>
            <w:tcW w:w="1020" w:type="dxa"/>
            <w:vAlign w:val="bottom"/>
            <w:shd w:val="clear" w:color="auto" w:fill="2AD2C9"/>
          </w:tcPr>
          <w:p>
            <w:pPr>
              <w:jc w:val="right"/>
              <w:ind w:right="388"/>
              <w:spacing w:after="0" w:line="148" w:lineRule="exact"/>
              <w:rPr>
                <w:sz w:val="20"/>
                <w:szCs w:val="20"/>
                <w:color w:val="auto"/>
              </w:rPr>
            </w:pPr>
            <w:r>
              <w:rPr>
                <w:rFonts w:ascii="Arial" w:cs="Arial" w:eastAsia="Arial" w:hAnsi="Arial"/>
                <w:sz w:val="14"/>
                <w:szCs w:val="14"/>
                <w:b w:val="1"/>
                <w:bCs w:val="1"/>
                <w:color w:val="FFFFFF"/>
              </w:rPr>
              <w:t>As of</w:t>
            </w:r>
          </w:p>
        </w:tc>
        <w:tc>
          <w:tcPr>
            <w:tcW w:w="880" w:type="dxa"/>
            <w:vAlign w:val="bottom"/>
            <w:tcBorders>
              <w:right w:val="single" w:sz="8" w:color="auto"/>
            </w:tcBorders>
            <w:shd w:val="clear" w:color="auto" w:fill="2AD2C9"/>
          </w:tcPr>
          <w:p>
            <w:pPr>
              <w:spacing w:after="0"/>
              <w:rPr>
                <w:sz w:val="12"/>
                <w:szCs w:val="12"/>
                <w:color w:val="auto"/>
              </w:rPr>
            </w:pPr>
          </w:p>
        </w:tc>
        <w:tc>
          <w:tcPr>
            <w:tcW w:w="2040" w:type="dxa"/>
            <w:vAlign w:val="bottom"/>
            <w:tcBorders>
              <w:right w:val="single" w:sz="8" w:color="auto"/>
            </w:tcBorders>
            <w:gridSpan w:val="2"/>
            <w:shd w:val="clear" w:color="auto" w:fill="2AD2C9"/>
          </w:tcPr>
          <w:p>
            <w:pPr>
              <w:jc w:val="right"/>
              <w:ind w:right="468"/>
              <w:spacing w:after="0" w:line="148" w:lineRule="exact"/>
              <w:rPr>
                <w:sz w:val="20"/>
                <w:szCs w:val="20"/>
                <w:color w:val="auto"/>
              </w:rPr>
            </w:pPr>
            <w:r>
              <w:rPr>
                <w:rFonts w:ascii="Arial" w:cs="Arial" w:eastAsia="Arial" w:hAnsi="Arial"/>
                <w:sz w:val="14"/>
                <w:szCs w:val="14"/>
                <w:b w:val="1"/>
                <w:bCs w:val="1"/>
                <w:color w:val="FFFFFF"/>
              </w:rPr>
              <w:t>change (units)</w:t>
            </w:r>
          </w:p>
        </w:tc>
        <w:tc>
          <w:tcPr>
            <w:tcW w:w="1120" w:type="dxa"/>
            <w:vAlign w:val="bottom"/>
          </w:tcPr>
          <w:p>
            <w:pPr>
              <w:spacing w:after="0"/>
              <w:rPr>
                <w:sz w:val="12"/>
                <w:szCs w:val="12"/>
                <w:color w:val="auto"/>
              </w:rPr>
            </w:pPr>
          </w:p>
        </w:tc>
      </w:tr>
      <w:tr>
        <w:trPr>
          <w:trHeight w:val="179"/>
        </w:trPr>
        <w:tc>
          <w:tcPr>
            <w:tcW w:w="116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shd w:val="clear" w:color="auto" w:fill="2AD2C9"/>
          </w:tcPr>
          <w:p>
            <w:pPr>
              <w:jc w:val="right"/>
              <w:ind w:right="328"/>
              <w:spacing w:after="0"/>
              <w:rPr>
                <w:sz w:val="20"/>
                <w:szCs w:val="20"/>
                <w:color w:val="auto"/>
              </w:rPr>
            </w:pPr>
            <w:r>
              <w:rPr>
                <w:rFonts w:ascii="Arial" w:cs="Arial" w:eastAsia="Arial" w:hAnsi="Arial"/>
                <w:sz w:val="14"/>
                <w:szCs w:val="14"/>
                <w:b w:val="1"/>
                <w:bCs w:val="1"/>
                <w:color w:val="FFFFFF"/>
              </w:rPr>
              <w:t>Mar 21</w:t>
            </w:r>
          </w:p>
        </w:tc>
        <w:tc>
          <w:tcPr>
            <w:tcW w:w="1020" w:type="dxa"/>
            <w:vAlign w:val="bottom"/>
            <w:tcBorders>
              <w:bottom w:val="single" w:sz="8" w:color="auto"/>
            </w:tcBorders>
            <w:shd w:val="clear" w:color="auto" w:fill="2AD2C9"/>
          </w:tcPr>
          <w:p>
            <w:pPr>
              <w:jc w:val="right"/>
              <w:ind w:right="348"/>
              <w:spacing w:after="0"/>
              <w:rPr>
                <w:sz w:val="20"/>
                <w:szCs w:val="20"/>
                <w:color w:val="auto"/>
              </w:rPr>
            </w:pPr>
            <w:r>
              <w:rPr>
                <w:rFonts w:ascii="Arial" w:cs="Arial" w:eastAsia="Arial" w:hAnsi="Arial"/>
                <w:sz w:val="14"/>
                <w:szCs w:val="14"/>
                <w:b w:val="1"/>
                <w:bCs w:val="1"/>
                <w:color w:val="FFFFFF"/>
              </w:rPr>
              <w:t>Dec 21</w:t>
            </w:r>
          </w:p>
        </w:tc>
        <w:tc>
          <w:tcPr>
            <w:tcW w:w="880" w:type="dxa"/>
            <w:vAlign w:val="bottom"/>
            <w:tcBorders>
              <w:bottom w:val="single" w:sz="8" w:color="auto"/>
              <w:right w:val="single" w:sz="8" w:color="auto"/>
            </w:tcBorders>
            <w:shd w:val="clear" w:color="auto" w:fill="2AD2C9"/>
          </w:tcPr>
          <w:p>
            <w:pPr>
              <w:jc w:val="right"/>
              <w:ind w:right="228"/>
              <w:spacing w:after="0"/>
              <w:rPr>
                <w:sz w:val="20"/>
                <w:szCs w:val="20"/>
                <w:color w:val="auto"/>
              </w:rPr>
            </w:pPr>
            <w:r>
              <w:rPr>
                <w:rFonts w:ascii="Arial" w:cs="Arial" w:eastAsia="Arial" w:hAnsi="Arial"/>
                <w:sz w:val="14"/>
                <w:szCs w:val="14"/>
                <w:b w:val="1"/>
                <w:bCs w:val="1"/>
                <w:color w:val="FFFFFF"/>
              </w:rPr>
              <w:t>Mar 22</w:t>
            </w:r>
          </w:p>
        </w:tc>
        <w:tc>
          <w:tcPr>
            <w:tcW w:w="1180" w:type="dxa"/>
            <w:vAlign w:val="bottom"/>
            <w:tcBorders>
              <w:bottom w:val="single" w:sz="8" w:color="auto"/>
            </w:tcBorders>
            <w:shd w:val="clear" w:color="auto" w:fill="2AD2C9"/>
          </w:tcPr>
          <w:p>
            <w:pPr>
              <w:jc w:val="right"/>
              <w:ind w:right="447"/>
              <w:spacing w:after="0"/>
              <w:rPr>
                <w:sz w:val="20"/>
                <w:szCs w:val="20"/>
                <w:color w:val="auto"/>
              </w:rPr>
            </w:pPr>
            <w:r>
              <w:rPr>
                <w:rFonts w:ascii="Arial" w:cs="Arial" w:eastAsia="Arial" w:hAnsi="Arial"/>
                <w:sz w:val="14"/>
                <w:szCs w:val="14"/>
                <w:b w:val="1"/>
                <w:bCs w:val="1"/>
                <w:color w:val="FFFFFF"/>
              </w:rPr>
              <w:t>QoQ</w:t>
            </w:r>
          </w:p>
        </w:tc>
        <w:tc>
          <w:tcPr>
            <w:tcW w:w="860" w:type="dxa"/>
            <w:vAlign w:val="bottom"/>
            <w:tcBorders>
              <w:bottom w:val="single" w:sz="8" w:color="auto"/>
              <w:right w:val="single" w:sz="8" w:color="auto"/>
            </w:tcBorders>
            <w:shd w:val="clear" w:color="auto" w:fill="2AD2C9"/>
          </w:tcPr>
          <w:p>
            <w:pPr>
              <w:jc w:val="right"/>
              <w:ind w:right="328"/>
              <w:spacing w:after="0"/>
              <w:rPr>
                <w:sz w:val="20"/>
                <w:szCs w:val="20"/>
                <w:color w:val="auto"/>
              </w:rPr>
            </w:pPr>
            <w:r>
              <w:rPr>
                <w:rFonts w:ascii="Arial" w:cs="Arial" w:eastAsia="Arial" w:hAnsi="Arial"/>
                <w:sz w:val="14"/>
                <w:szCs w:val="14"/>
                <w:b w:val="1"/>
                <w:bCs w:val="1"/>
                <w:color w:val="FFFFFF"/>
              </w:rPr>
              <w:t>YoY</w:t>
            </w:r>
          </w:p>
        </w:tc>
        <w:tc>
          <w:tcPr>
            <w:tcW w:w="1120" w:type="dxa"/>
            <w:vAlign w:val="bottom"/>
          </w:tcPr>
          <w:p>
            <w:pPr>
              <w:spacing w:after="0"/>
              <w:rPr>
                <w:sz w:val="15"/>
                <w:szCs w:val="15"/>
                <w:color w:val="auto"/>
              </w:rPr>
            </w:pPr>
          </w:p>
        </w:tc>
      </w:tr>
      <w:tr>
        <w:trPr>
          <w:trHeight w:val="148"/>
        </w:trPr>
        <w:tc>
          <w:tcPr>
            <w:tcW w:w="1160" w:type="dxa"/>
            <w:vAlign w:val="bottom"/>
            <w:tcBorders>
              <w:right w:val="single" w:sz="8" w:color="auto"/>
            </w:tcBorders>
          </w:tcPr>
          <w:p>
            <w:pPr>
              <w:spacing w:after="0"/>
              <w:rPr>
                <w:sz w:val="12"/>
                <w:szCs w:val="12"/>
                <w:color w:val="auto"/>
              </w:rPr>
            </w:pPr>
          </w:p>
        </w:tc>
        <w:tc>
          <w:tcPr>
            <w:tcW w:w="1680" w:type="dxa"/>
            <w:vAlign w:val="bottom"/>
          </w:tcPr>
          <w:p>
            <w:pPr>
              <w:spacing w:after="0" w:line="148" w:lineRule="exact"/>
              <w:rPr>
                <w:sz w:val="20"/>
                <w:szCs w:val="20"/>
                <w:color w:val="auto"/>
              </w:rPr>
            </w:pPr>
            <w:r>
              <w:rPr>
                <w:rFonts w:ascii="Arial" w:cs="Arial" w:eastAsia="Arial" w:hAnsi="Arial"/>
                <w:sz w:val="14"/>
                <w:szCs w:val="14"/>
                <w:color w:val="auto"/>
              </w:rPr>
              <w:t>Branches</w:t>
            </w:r>
          </w:p>
        </w:tc>
        <w:tc>
          <w:tcPr>
            <w:tcW w:w="2260" w:type="dxa"/>
            <w:vAlign w:val="bottom"/>
            <w:tcBorders>
              <w:right w:val="single" w:sz="8" w:color="auto"/>
            </w:tcBorders>
          </w:tcPr>
          <w:p>
            <w:pPr>
              <w:spacing w:after="0"/>
              <w:rPr>
                <w:sz w:val="12"/>
                <w:szCs w:val="12"/>
                <w:color w:val="auto"/>
              </w:rPr>
            </w:pPr>
          </w:p>
        </w:tc>
        <w:tc>
          <w:tcPr>
            <w:tcW w:w="1120" w:type="dxa"/>
            <w:vAlign w:val="bottom"/>
          </w:tcPr>
          <w:p>
            <w:pPr>
              <w:jc w:val="right"/>
              <w:ind w:right="68"/>
              <w:spacing w:after="0" w:line="148" w:lineRule="exact"/>
              <w:rPr>
                <w:sz w:val="20"/>
                <w:szCs w:val="20"/>
                <w:color w:val="auto"/>
              </w:rPr>
            </w:pPr>
            <w:r>
              <w:rPr>
                <w:rFonts w:ascii="Arial" w:cs="Arial" w:eastAsia="Arial" w:hAnsi="Arial"/>
                <w:sz w:val="14"/>
                <w:szCs w:val="14"/>
                <w:color w:val="auto"/>
              </w:rPr>
              <w:t>388</w:t>
            </w:r>
          </w:p>
        </w:tc>
        <w:tc>
          <w:tcPr>
            <w:tcW w:w="1020" w:type="dxa"/>
            <w:vAlign w:val="bottom"/>
          </w:tcPr>
          <w:p>
            <w:pPr>
              <w:jc w:val="right"/>
              <w:ind w:right="68"/>
              <w:spacing w:after="0" w:line="148" w:lineRule="exact"/>
              <w:rPr>
                <w:sz w:val="20"/>
                <w:szCs w:val="20"/>
                <w:color w:val="auto"/>
              </w:rPr>
            </w:pPr>
            <w:r>
              <w:rPr>
                <w:rFonts w:ascii="Arial" w:cs="Arial" w:eastAsia="Arial" w:hAnsi="Arial"/>
                <w:sz w:val="14"/>
                <w:szCs w:val="14"/>
                <w:color w:val="auto"/>
              </w:rPr>
              <w:t>357</w:t>
            </w:r>
          </w:p>
        </w:tc>
        <w:tc>
          <w:tcPr>
            <w:tcW w:w="88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351</w:t>
            </w:r>
          </w:p>
        </w:tc>
        <w:tc>
          <w:tcPr>
            <w:tcW w:w="1180" w:type="dxa"/>
            <w:vAlign w:val="bottom"/>
          </w:tcPr>
          <w:p>
            <w:pPr>
              <w:jc w:val="right"/>
              <w:ind w:right="107"/>
              <w:spacing w:after="0" w:line="148" w:lineRule="exact"/>
              <w:rPr>
                <w:sz w:val="20"/>
                <w:szCs w:val="20"/>
                <w:color w:val="auto"/>
              </w:rPr>
            </w:pPr>
            <w:r>
              <w:rPr>
                <w:rFonts w:ascii="Arial" w:cs="Arial" w:eastAsia="Arial" w:hAnsi="Arial"/>
                <w:sz w:val="14"/>
                <w:szCs w:val="14"/>
                <w:color w:val="auto"/>
              </w:rPr>
              <w:t>-6</w:t>
            </w:r>
          </w:p>
        </w:tc>
        <w:tc>
          <w:tcPr>
            <w:tcW w:w="860" w:type="dxa"/>
            <w:vAlign w:val="bottom"/>
            <w:tcBorders>
              <w:right w:val="single" w:sz="8" w:color="auto"/>
            </w:tcBorders>
          </w:tcPr>
          <w:p>
            <w:pPr>
              <w:jc w:val="right"/>
              <w:spacing w:after="0" w:line="148" w:lineRule="exact"/>
              <w:rPr>
                <w:sz w:val="20"/>
                <w:szCs w:val="20"/>
                <w:color w:val="auto"/>
              </w:rPr>
            </w:pPr>
            <w:r>
              <w:rPr>
                <w:rFonts w:ascii="Arial" w:cs="Arial" w:eastAsia="Arial" w:hAnsi="Arial"/>
                <w:sz w:val="14"/>
                <w:szCs w:val="14"/>
                <w:color w:val="auto"/>
              </w:rPr>
              <w:t>-37</w:t>
            </w:r>
          </w:p>
        </w:tc>
        <w:tc>
          <w:tcPr>
            <w:tcW w:w="1120" w:type="dxa"/>
            <w:vAlign w:val="bottom"/>
          </w:tcPr>
          <w:p>
            <w:pPr>
              <w:spacing w:after="0"/>
              <w:rPr>
                <w:sz w:val="12"/>
                <w:szCs w:val="12"/>
                <w:color w:val="auto"/>
              </w:rPr>
            </w:pPr>
          </w:p>
        </w:tc>
      </w:tr>
      <w:tr>
        <w:trPr>
          <w:trHeight w:val="162"/>
        </w:trPr>
        <w:tc>
          <w:tcPr>
            <w:tcW w:w="1160" w:type="dxa"/>
            <w:vAlign w:val="bottom"/>
            <w:tcBorders>
              <w:right w:val="single" w:sz="8" w:color="auto"/>
            </w:tcBorders>
          </w:tcPr>
          <w:p>
            <w:pPr>
              <w:spacing w:after="0"/>
              <w:rPr>
                <w:sz w:val="14"/>
                <w:szCs w:val="14"/>
                <w:color w:val="auto"/>
              </w:rPr>
            </w:pPr>
          </w:p>
        </w:tc>
        <w:tc>
          <w:tcPr>
            <w:tcW w:w="1680" w:type="dxa"/>
            <w:vAlign w:val="bottom"/>
          </w:tcPr>
          <w:p>
            <w:pPr>
              <w:spacing w:after="0"/>
              <w:rPr>
                <w:sz w:val="20"/>
                <w:szCs w:val="20"/>
                <w:color w:val="auto"/>
              </w:rPr>
            </w:pPr>
            <w:r>
              <w:rPr>
                <w:rFonts w:ascii="Arial" w:cs="Arial" w:eastAsia="Arial" w:hAnsi="Arial"/>
                <w:sz w:val="14"/>
                <w:szCs w:val="14"/>
                <w:color w:val="auto"/>
              </w:rPr>
              <w:t>ATMs</w:t>
            </w:r>
          </w:p>
        </w:tc>
        <w:tc>
          <w:tcPr>
            <w:tcW w:w="2260" w:type="dxa"/>
            <w:vAlign w:val="bottom"/>
            <w:tcBorders>
              <w:right w:val="single" w:sz="8" w:color="auto"/>
            </w:tcBorders>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2,306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2,222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2,241</w:t>
            </w:r>
          </w:p>
        </w:tc>
        <w:tc>
          <w:tcPr>
            <w:tcW w:w="1180" w:type="dxa"/>
            <w:vAlign w:val="bottom"/>
          </w:tcPr>
          <w:p>
            <w:pPr>
              <w:jc w:val="right"/>
              <w:ind w:right="107"/>
              <w:spacing w:after="0"/>
              <w:rPr>
                <w:sz w:val="20"/>
                <w:szCs w:val="20"/>
                <w:color w:val="auto"/>
              </w:rPr>
            </w:pPr>
            <w:r>
              <w:rPr>
                <w:rFonts w:ascii="Arial" w:cs="Arial" w:eastAsia="Arial" w:hAnsi="Arial"/>
                <w:sz w:val="14"/>
                <w:szCs w:val="14"/>
                <w:color w:val="auto"/>
              </w:rPr>
              <w:t>19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120" w:type="dxa"/>
            <w:vAlign w:val="bottom"/>
          </w:tcPr>
          <w:p>
            <w:pPr>
              <w:spacing w:after="0"/>
              <w:rPr>
                <w:sz w:val="14"/>
                <w:szCs w:val="14"/>
                <w:color w:val="auto"/>
              </w:rPr>
            </w:pPr>
          </w:p>
        </w:tc>
      </w:tr>
      <w:tr>
        <w:trPr>
          <w:trHeight w:val="179"/>
        </w:trPr>
        <w:tc>
          <w:tcPr>
            <w:tcW w:w="1160" w:type="dxa"/>
            <w:vAlign w:val="bottom"/>
            <w:tcBorders>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Agentes BCP</w:t>
            </w:r>
          </w:p>
        </w:tc>
        <w:tc>
          <w:tcPr>
            <w:tcW w:w="2260" w:type="dxa"/>
            <w:vAlign w:val="bottom"/>
            <w:tcBorders>
              <w:bottom w:val="single" w:sz="8" w:color="auto"/>
              <w:right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6,860</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7,838</w:t>
            </w: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-216</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978</w:t>
            </w:r>
          </w:p>
        </w:tc>
        <w:tc>
          <w:tcPr>
            <w:tcW w:w="1120" w:type="dxa"/>
            <w:vAlign w:val="bottom"/>
          </w:tcPr>
          <w:p>
            <w:pPr>
              <w:spacing w:after="0"/>
              <w:rPr>
                <w:sz w:val="15"/>
                <w:szCs w:val="15"/>
                <w:color w:val="auto"/>
              </w:rPr>
            </w:pPr>
          </w:p>
        </w:tc>
      </w:tr>
      <w:tr>
        <w:trPr>
          <w:trHeight w:val="164"/>
        </w:trPr>
        <w:tc>
          <w:tcPr>
            <w:tcW w:w="1160" w:type="dxa"/>
            <w:vAlign w:val="bottom"/>
            <w:tcBorders>
              <w:right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BCP's Network</w:t>
            </w:r>
          </w:p>
        </w:tc>
        <w:tc>
          <w:tcPr>
            <w:tcW w:w="22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9,554</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10,633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10,430</w:t>
            </w:r>
          </w:p>
        </w:tc>
        <w:tc>
          <w:tcPr>
            <w:tcW w:w="11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-203</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876</w:t>
            </w:r>
          </w:p>
        </w:tc>
        <w:tc>
          <w:tcPr>
            <w:tcW w:w="1120" w:type="dxa"/>
            <w:vAlign w:val="bottom"/>
          </w:tcPr>
          <w:p>
            <w:pPr>
              <w:spacing w:after="0"/>
              <w:rPr>
                <w:sz w:val="14"/>
                <w:szCs w:val="14"/>
                <w:color w:val="auto"/>
              </w:rPr>
            </w:pPr>
          </w:p>
        </w:tc>
      </w:tr>
    </w:tbl>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12.2. Loan Portfolio Quality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Loan Portfolio Quality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1620520</wp:posOffset>
            </wp:positionH>
            <wp:positionV relativeFrom="paragraph">
              <wp:posOffset>283845</wp:posOffset>
            </wp:positionV>
            <wp:extent cx="3926840" cy="17608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26840" cy="176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Government Program (GP) Loan Portfolio Quality (in Quarter-end Balances)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100" w:type="dxa"/>
            <w:vAlign w:val="bottom"/>
            <w:tcBorders>
              <w:top w:val="single" w:sz="8" w:color="auto"/>
              <w:left w:val="single" w:sz="8" w:color="auto"/>
              <w:right w:val="single" w:sz="8" w:color="auto"/>
            </w:tcBorders>
            <w:shd w:val="clear" w:color="auto" w:fill="2AD2C9"/>
          </w:tcPr>
          <w:p>
            <w:pPr>
              <w:ind w:left="20"/>
              <w:spacing w:after="0" w:line="176" w:lineRule="exact"/>
              <w:rPr>
                <w:sz w:val="20"/>
                <w:szCs w:val="20"/>
                <w:color w:val="auto"/>
              </w:rPr>
            </w:pPr>
            <w:r>
              <w:rPr>
                <w:rFonts w:ascii="Arial" w:cs="Arial" w:eastAsia="Arial" w:hAnsi="Arial"/>
                <w:sz w:val="13"/>
                <w:szCs w:val="13"/>
                <w:b w:val="1"/>
                <w:bCs w:val="1"/>
                <w:color w:val="FFFFFF"/>
              </w:rPr>
              <w:t xml:space="preserve">GP Portfolio quality and Delinquency ratios </w:t>
            </w:r>
            <w:r>
              <w:rPr>
                <w:rFonts w:ascii="Arial" w:cs="Arial" w:eastAsia="Arial" w:hAnsi="Arial"/>
                <w:sz w:val="20"/>
                <w:szCs w:val="20"/>
                <w:b w:val="1"/>
                <w:bCs w:val="1"/>
                <w:color w:val="FFFFFF"/>
                <w:vertAlign w:val="superscript"/>
              </w:rPr>
              <w:t>(1)</w:t>
            </w:r>
          </w:p>
        </w:tc>
        <w:tc>
          <w:tcPr>
            <w:tcW w:w="1420" w:type="dxa"/>
            <w:vAlign w:val="bottom"/>
            <w:tcBorders>
              <w:top w:val="single" w:sz="8" w:color="auto"/>
            </w:tcBorders>
            <w:shd w:val="clear" w:color="auto" w:fill="2AD2C9"/>
          </w:tcPr>
          <w:p>
            <w:pPr>
              <w:spacing w:after="0"/>
              <w:rPr>
                <w:sz w:val="15"/>
                <w:szCs w:val="15"/>
                <w:color w:val="auto"/>
              </w:rPr>
            </w:pPr>
          </w:p>
        </w:tc>
        <w:tc>
          <w:tcPr>
            <w:tcW w:w="1280" w:type="dxa"/>
            <w:vAlign w:val="bottom"/>
            <w:tcBorders>
              <w:top w:val="single" w:sz="8" w:color="auto"/>
            </w:tcBorders>
            <w:shd w:val="clear" w:color="auto" w:fill="2AD2C9"/>
          </w:tcPr>
          <w:p>
            <w:pPr>
              <w:jc w:val="right"/>
              <w:ind w:right="521"/>
              <w:spacing w:after="0" w:line="176" w:lineRule="exact"/>
              <w:rPr>
                <w:sz w:val="20"/>
                <w:szCs w:val="20"/>
                <w:color w:val="auto"/>
              </w:rPr>
            </w:pPr>
            <w:r>
              <w:rPr>
                <w:rFonts w:ascii="Arial" w:cs="Arial" w:eastAsia="Arial" w:hAnsi="Arial"/>
                <w:sz w:val="16"/>
                <w:szCs w:val="16"/>
                <w:b w:val="1"/>
                <w:bCs w:val="1"/>
                <w:color w:val="FFFFFF"/>
              </w:rPr>
              <w:t>As of</w:t>
            </w:r>
          </w:p>
        </w:tc>
        <w:tc>
          <w:tcPr>
            <w:tcW w:w="1100" w:type="dxa"/>
            <w:vAlign w:val="bottom"/>
            <w:tcBorders>
              <w:top w:val="single" w:sz="8" w:color="auto"/>
              <w:right w:val="single" w:sz="8" w:color="auto"/>
            </w:tcBorders>
            <w:shd w:val="clear" w:color="auto" w:fill="2AD2C9"/>
          </w:tcPr>
          <w:p>
            <w:pPr>
              <w:spacing w:after="0"/>
              <w:rPr>
                <w:sz w:val="15"/>
                <w:szCs w:val="15"/>
                <w:color w:val="auto"/>
              </w:rPr>
            </w:pPr>
          </w:p>
        </w:tc>
        <w:tc>
          <w:tcPr>
            <w:tcW w:w="1600" w:type="dxa"/>
            <w:vAlign w:val="bottom"/>
            <w:tcBorders>
              <w:top w:val="single" w:sz="8" w:color="auto"/>
            </w:tcBorders>
            <w:shd w:val="clear" w:color="auto" w:fill="2AD2C9"/>
          </w:tcPr>
          <w:p>
            <w:pPr>
              <w:jc w:val="right"/>
              <w:spacing w:after="0" w:line="176" w:lineRule="exact"/>
              <w:rPr>
                <w:sz w:val="20"/>
                <w:szCs w:val="20"/>
                <w:color w:val="auto"/>
              </w:rPr>
            </w:pPr>
            <w:r>
              <w:rPr>
                <w:rFonts w:ascii="Arial" w:cs="Arial" w:eastAsia="Arial" w:hAnsi="Arial"/>
                <w:sz w:val="16"/>
                <w:szCs w:val="16"/>
                <w:b w:val="1"/>
                <w:bCs w:val="1"/>
                <w:color w:val="FFFFFF"/>
              </w:rPr>
              <w:t>% change</w:t>
            </w:r>
          </w:p>
        </w:tc>
        <w:tc>
          <w:tcPr>
            <w:tcW w:w="780" w:type="dxa"/>
            <w:vAlign w:val="bottom"/>
            <w:tcBorders>
              <w:top w:val="single" w:sz="8" w:color="auto"/>
              <w:right w:val="single" w:sz="8" w:color="auto"/>
            </w:tcBorders>
            <w:shd w:val="clear" w:color="auto" w:fill="2AD2C9"/>
          </w:tcPr>
          <w:p>
            <w:pPr>
              <w:spacing w:after="0"/>
              <w:rPr>
                <w:sz w:val="15"/>
                <w:szCs w:val="15"/>
                <w:color w:val="auto"/>
              </w:rPr>
            </w:pPr>
          </w:p>
        </w:tc>
      </w:tr>
      <w:tr>
        <w:trPr>
          <w:trHeight w:val="194"/>
        </w:trPr>
        <w:tc>
          <w:tcPr>
            <w:tcW w:w="510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S/000</w:t>
            </w:r>
          </w:p>
        </w:tc>
        <w:tc>
          <w:tcPr>
            <w:tcW w:w="1420" w:type="dxa"/>
            <w:vAlign w:val="bottom"/>
            <w:tcBorders>
              <w:bottom w:val="single" w:sz="8" w:color="auto"/>
            </w:tcBorders>
            <w:shd w:val="clear" w:color="auto" w:fill="2AD2C9"/>
          </w:tcPr>
          <w:p>
            <w:pPr>
              <w:jc w:val="right"/>
              <w:ind w:right="481"/>
              <w:spacing w:after="0"/>
              <w:rPr>
                <w:sz w:val="20"/>
                <w:szCs w:val="20"/>
                <w:color w:val="auto"/>
              </w:rPr>
            </w:pPr>
            <w:r>
              <w:rPr>
                <w:rFonts w:ascii="Arial" w:cs="Arial" w:eastAsia="Arial" w:hAnsi="Arial"/>
                <w:sz w:val="16"/>
                <w:szCs w:val="16"/>
                <w:b w:val="1"/>
                <w:bCs w:val="1"/>
                <w:color w:val="FFFFFF"/>
              </w:rPr>
              <w:t>Mar 21</w:t>
            </w:r>
          </w:p>
        </w:tc>
        <w:tc>
          <w:tcPr>
            <w:tcW w:w="1280" w:type="dxa"/>
            <w:vAlign w:val="bottom"/>
            <w:tcBorders>
              <w:bottom w:val="single" w:sz="8" w:color="auto"/>
            </w:tcBorders>
            <w:shd w:val="clear" w:color="auto" w:fill="2AD2C9"/>
          </w:tcPr>
          <w:p>
            <w:pPr>
              <w:jc w:val="right"/>
              <w:ind w:right="501"/>
              <w:spacing w:after="0"/>
              <w:rPr>
                <w:sz w:val="20"/>
                <w:szCs w:val="20"/>
                <w:color w:val="auto"/>
              </w:rPr>
            </w:pPr>
            <w:r>
              <w:rPr>
                <w:rFonts w:ascii="Arial" w:cs="Arial" w:eastAsia="Arial" w:hAnsi="Arial"/>
                <w:sz w:val="16"/>
                <w:szCs w:val="16"/>
                <w:b w:val="1"/>
                <w:bCs w:val="1"/>
                <w:color w:val="FFFFFF"/>
              </w:rPr>
              <w:t>Dec 21</w:t>
            </w:r>
          </w:p>
        </w:tc>
        <w:tc>
          <w:tcPr>
            <w:tcW w:w="1100" w:type="dxa"/>
            <w:vAlign w:val="bottom"/>
            <w:tcBorders>
              <w:bottom w:val="single" w:sz="8" w:color="auto"/>
              <w:right w:val="single" w:sz="8" w:color="auto"/>
            </w:tcBorders>
            <w:shd w:val="clear" w:color="auto" w:fill="2AD2C9"/>
          </w:tcPr>
          <w:p>
            <w:pPr>
              <w:jc w:val="right"/>
              <w:ind w:right="321"/>
              <w:spacing w:after="0"/>
              <w:rPr>
                <w:sz w:val="20"/>
                <w:szCs w:val="20"/>
                <w:color w:val="auto"/>
              </w:rPr>
            </w:pPr>
            <w:r>
              <w:rPr>
                <w:rFonts w:ascii="Arial" w:cs="Arial" w:eastAsia="Arial" w:hAnsi="Arial"/>
                <w:sz w:val="16"/>
                <w:szCs w:val="16"/>
                <w:b w:val="1"/>
                <w:bCs w:val="1"/>
                <w:color w:val="FFFFFF"/>
              </w:rPr>
              <w:t>Mar 22</w:t>
            </w:r>
          </w:p>
        </w:tc>
        <w:tc>
          <w:tcPr>
            <w:tcW w:w="1600" w:type="dxa"/>
            <w:vAlign w:val="bottom"/>
            <w:tcBorders>
              <w:bottom w:val="single" w:sz="8" w:color="auto"/>
            </w:tcBorders>
            <w:shd w:val="clear" w:color="auto" w:fill="2AD2C9"/>
          </w:tcPr>
          <w:p>
            <w:pPr>
              <w:jc w:val="right"/>
              <w:ind w:right="721"/>
              <w:spacing w:after="0"/>
              <w:rPr>
                <w:sz w:val="20"/>
                <w:szCs w:val="20"/>
                <w:color w:val="auto"/>
              </w:rPr>
            </w:pPr>
            <w:r>
              <w:rPr>
                <w:rFonts w:ascii="Arial" w:cs="Arial" w:eastAsia="Arial" w:hAnsi="Arial"/>
                <w:sz w:val="16"/>
                <w:szCs w:val="16"/>
                <w:b w:val="1"/>
                <w:bCs w:val="1"/>
                <w:color w:val="FFFFFF"/>
              </w:rPr>
              <w:t>QoQ</w:t>
            </w:r>
          </w:p>
        </w:tc>
        <w:tc>
          <w:tcPr>
            <w:tcW w:w="780" w:type="dxa"/>
            <w:vAlign w:val="bottom"/>
            <w:tcBorders>
              <w:bottom w:val="single" w:sz="8" w:color="auto"/>
              <w:right w:val="single" w:sz="8" w:color="auto"/>
            </w:tcBorders>
            <w:shd w:val="clear" w:color="auto" w:fill="2AD2C9"/>
          </w:tcPr>
          <w:p>
            <w:pPr>
              <w:jc w:val="right"/>
              <w:ind w:right="361"/>
              <w:spacing w:after="0"/>
              <w:rPr>
                <w:sz w:val="20"/>
                <w:szCs w:val="20"/>
                <w:color w:val="auto"/>
              </w:rPr>
            </w:pPr>
            <w:r>
              <w:rPr>
                <w:rFonts w:ascii="Arial" w:cs="Arial" w:eastAsia="Arial" w:hAnsi="Arial"/>
                <w:sz w:val="16"/>
                <w:szCs w:val="16"/>
                <w:b w:val="1"/>
                <w:bCs w:val="1"/>
                <w:color w:val="FFFFFF"/>
              </w:rPr>
              <w:t>YoY</w:t>
            </w:r>
          </w:p>
        </w:tc>
      </w:tr>
      <w:tr>
        <w:trPr>
          <w:trHeight w:val="175"/>
        </w:trPr>
        <w:tc>
          <w:tcPr>
            <w:tcW w:w="51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GP Total loans (Quarter-end balance)</w:t>
            </w:r>
          </w:p>
        </w:tc>
        <w:tc>
          <w:tcPr>
            <w:tcW w:w="142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b w:val="1"/>
                <w:bCs w:val="1"/>
                <w:color w:val="auto"/>
              </w:rPr>
              <w:t>24,248,242</w:t>
            </w:r>
          </w:p>
        </w:tc>
        <w:tc>
          <w:tcPr>
            <w:tcW w:w="128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b w:val="1"/>
                <w:bCs w:val="1"/>
                <w:color w:val="auto"/>
              </w:rPr>
              <w:t>18,640,827</w:t>
            </w:r>
          </w:p>
        </w:tc>
        <w:tc>
          <w:tcPr>
            <w:tcW w:w="11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16,369,907</w:t>
            </w:r>
          </w:p>
        </w:tc>
        <w:tc>
          <w:tcPr>
            <w:tcW w:w="1600" w:type="dxa"/>
            <w:vAlign w:val="bottom"/>
            <w:tcBorders>
              <w:bottom w:val="single" w:sz="8" w:color="auto"/>
            </w:tcBorders>
          </w:tcPr>
          <w:p>
            <w:pPr>
              <w:jc w:val="right"/>
              <w:ind w:right="281"/>
              <w:spacing w:after="0" w:line="174" w:lineRule="exact"/>
              <w:rPr>
                <w:sz w:val="20"/>
                <w:szCs w:val="20"/>
                <w:color w:val="auto"/>
              </w:rPr>
            </w:pPr>
            <w:r>
              <w:rPr>
                <w:rFonts w:ascii="Arial" w:cs="Arial" w:eastAsia="Arial" w:hAnsi="Arial"/>
                <w:sz w:val="16"/>
                <w:szCs w:val="16"/>
                <w:b w:val="1"/>
                <w:bCs w:val="1"/>
                <w:color w:val="auto"/>
              </w:rPr>
              <w:t>-12.2%</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-32.5%</w:t>
            </w:r>
          </w:p>
        </w:tc>
      </w:tr>
      <w:tr>
        <w:trPr>
          <w:trHeight w:val="175"/>
        </w:trPr>
        <w:tc>
          <w:tcPr>
            <w:tcW w:w="51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GP Allowance for loan losses</w:t>
            </w:r>
          </w:p>
        </w:tc>
        <w:tc>
          <w:tcPr>
            <w:tcW w:w="142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color w:val="auto"/>
              </w:rPr>
              <w:t>151,512</w:t>
            </w:r>
          </w:p>
        </w:tc>
        <w:tc>
          <w:tcPr>
            <w:tcW w:w="128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color w:val="auto"/>
              </w:rPr>
              <w:t>196,841</w:t>
            </w:r>
          </w:p>
        </w:tc>
        <w:tc>
          <w:tcPr>
            <w:tcW w:w="11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200,713</w:t>
            </w:r>
          </w:p>
        </w:tc>
        <w:tc>
          <w:tcPr>
            <w:tcW w:w="1600" w:type="dxa"/>
            <w:vAlign w:val="bottom"/>
            <w:tcBorders>
              <w:bottom w:val="single" w:sz="8" w:color="auto"/>
            </w:tcBorders>
          </w:tcPr>
          <w:p>
            <w:pPr>
              <w:jc w:val="right"/>
              <w:ind w:right="281"/>
              <w:spacing w:after="0" w:line="174" w:lineRule="exact"/>
              <w:rPr>
                <w:sz w:val="20"/>
                <w:szCs w:val="20"/>
                <w:color w:val="auto"/>
              </w:rPr>
            </w:pPr>
            <w:r>
              <w:rPr>
                <w:rFonts w:ascii="Arial" w:cs="Arial" w:eastAsia="Arial" w:hAnsi="Arial"/>
                <w:sz w:val="16"/>
                <w:szCs w:val="16"/>
                <w:color w:val="auto"/>
              </w:rPr>
              <w:t>2.0%</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32.5%</w:t>
            </w:r>
          </w:p>
        </w:tc>
      </w:tr>
      <w:tr>
        <w:trPr>
          <w:trHeight w:val="175"/>
        </w:trPr>
        <w:tc>
          <w:tcPr>
            <w:tcW w:w="51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GP IOLs</w:t>
            </w:r>
          </w:p>
        </w:tc>
        <w:tc>
          <w:tcPr>
            <w:tcW w:w="142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color w:val="auto"/>
              </w:rPr>
              <w:t>1,075,885</w:t>
            </w:r>
          </w:p>
        </w:tc>
        <w:tc>
          <w:tcPr>
            <w:tcW w:w="11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1,031,670</w:t>
            </w:r>
          </w:p>
        </w:tc>
        <w:tc>
          <w:tcPr>
            <w:tcW w:w="1600" w:type="dxa"/>
            <w:vAlign w:val="bottom"/>
            <w:tcBorders>
              <w:bottom w:val="single" w:sz="8" w:color="auto"/>
            </w:tcBorders>
          </w:tcPr>
          <w:p>
            <w:pPr>
              <w:jc w:val="right"/>
              <w:ind w:right="281"/>
              <w:spacing w:after="0" w:line="174" w:lineRule="exact"/>
              <w:rPr>
                <w:sz w:val="20"/>
                <w:szCs w:val="20"/>
                <w:color w:val="auto"/>
              </w:rPr>
            </w:pPr>
            <w:r>
              <w:rPr>
                <w:rFonts w:ascii="Arial" w:cs="Arial" w:eastAsia="Arial" w:hAnsi="Arial"/>
                <w:sz w:val="16"/>
                <w:szCs w:val="16"/>
                <w:color w:val="auto"/>
              </w:rPr>
              <w:t>-4.1</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r>
      <w:tr>
        <w:trPr>
          <w:trHeight w:val="154"/>
        </w:trPr>
        <w:tc>
          <w:tcPr>
            <w:tcW w:w="51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GP IOL ratio</w:t>
            </w:r>
          </w:p>
        </w:tc>
        <w:tc>
          <w:tcPr>
            <w:tcW w:w="1420" w:type="dxa"/>
            <w:vAlign w:val="bottom"/>
          </w:tcPr>
          <w:p>
            <w:pPr>
              <w:jc w:val="right"/>
              <w:ind w:right="121"/>
              <w:spacing w:after="0" w:line="155" w:lineRule="exact"/>
              <w:rPr>
                <w:sz w:val="20"/>
                <w:szCs w:val="20"/>
                <w:color w:val="auto"/>
              </w:rPr>
            </w:pPr>
            <w:r>
              <w:rPr>
                <w:rFonts w:ascii="Arial" w:cs="Arial" w:eastAsia="Arial" w:hAnsi="Arial"/>
                <w:sz w:val="16"/>
                <w:szCs w:val="16"/>
                <w:b w:val="1"/>
                <w:bCs w:val="1"/>
                <w:color w:val="auto"/>
              </w:rPr>
              <w:t>0.00%</w:t>
            </w:r>
          </w:p>
        </w:tc>
        <w:tc>
          <w:tcPr>
            <w:tcW w:w="1280" w:type="dxa"/>
            <w:vAlign w:val="bottom"/>
          </w:tcPr>
          <w:p>
            <w:pPr>
              <w:jc w:val="right"/>
              <w:ind w:right="121"/>
              <w:spacing w:after="0" w:line="155" w:lineRule="exact"/>
              <w:rPr>
                <w:sz w:val="20"/>
                <w:szCs w:val="20"/>
                <w:color w:val="auto"/>
              </w:rPr>
            </w:pPr>
            <w:r>
              <w:rPr>
                <w:rFonts w:ascii="Arial" w:cs="Arial" w:eastAsia="Arial" w:hAnsi="Arial"/>
                <w:sz w:val="16"/>
                <w:szCs w:val="16"/>
                <w:b w:val="1"/>
                <w:bCs w:val="1"/>
                <w:color w:val="auto"/>
              </w:rPr>
              <w:t>5.77%</w:t>
            </w:r>
          </w:p>
        </w:tc>
        <w:tc>
          <w:tcPr>
            <w:tcW w:w="11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6.30%</w:t>
            </w:r>
          </w:p>
        </w:tc>
        <w:tc>
          <w:tcPr>
            <w:tcW w:w="1600" w:type="dxa"/>
            <w:vAlign w:val="bottom"/>
          </w:tcPr>
          <w:p>
            <w:pPr>
              <w:jc w:val="right"/>
              <w:ind w:right="281"/>
              <w:spacing w:after="0" w:line="155" w:lineRule="exact"/>
              <w:rPr>
                <w:sz w:val="20"/>
                <w:szCs w:val="20"/>
                <w:color w:val="auto"/>
              </w:rPr>
            </w:pPr>
            <w:r>
              <w:rPr>
                <w:rFonts w:ascii="Arial" w:cs="Arial" w:eastAsia="Arial" w:hAnsi="Arial"/>
                <w:sz w:val="16"/>
                <w:szCs w:val="16"/>
                <w:color w:val="auto"/>
              </w:rPr>
              <w:t>53 pbs</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n.a</w:t>
            </w:r>
          </w:p>
        </w:tc>
      </w:tr>
      <w:tr>
        <w:trPr>
          <w:trHeight w:val="173"/>
        </w:trPr>
        <w:tc>
          <w:tcPr>
            <w:tcW w:w="51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GP Allowance for loan losses over GP Total loans</w:t>
            </w:r>
          </w:p>
        </w:tc>
        <w:tc>
          <w:tcPr>
            <w:tcW w:w="1420" w:type="dxa"/>
            <w:vAlign w:val="bottom"/>
          </w:tcPr>
          <w:p>
            <w:pPr>
              <w:jc w:val="right"/>
              <w:ind w:right="121"/>
              <w:spacing w:after="0" w:line="174" w:lineRule="exact"/>
              <w:rPr>
                <w:sz w:val="20"/>
                <w:szCs w:val="20"/>
                <w:color w:val="auto"/>
              </w:rPr>
            </w:pPr>
            <w:r>
              <w:rPr>
                <w:rFonts w:ascii="Arial" w:cs="Arial" w:eastAsia="Arial" w:hAnsi="Arial"/>
                <w:sz w:val="16"/>
                <w:szCs w:val="16"/>
                <w:b w:val="1"/>
                <w:bCs w:val="1"/>
                <w:color w:val="auto"/>
              </w:rPr>
              <w:t>0.6%</w:t>
            </w:r>
          </w:p>
        </w:tc>
        <w:tc>
          <w:tcPr>
            <w:tcW w:w="1280" w:type="dxa"/>
            <w:vAlign w:val="bottom"/>
          </w:tcPr>
          <w:p>
            <w:pPr>
              <w:jc w:val="right"/>
              <w:ind w:right="101"/>
              <w:spacing w:after="0" w:line="174" w:lineRule="exact"/>
              <w:rPr>
                <w:sz w:val="20"/>
                <w:szCs w:val="20"/>
                <w:color w:val="auto"/>
              </w:rPr>
            </w:pPr>
            <w:r>
              <w:rPr>
                <w:rFonts w:ascii="Arial" w:cs="Arial" w:eastAsia="Arial" w:hAnsi="Arial"/>
                <w:sz w:val="16"/>
                <w:szCs w:val="16"/>
                <w:b w:val="1"/>
                <w:bCs w:val="1"/>
                <w:color w:val="auto"/>
              </w:rPr>
              <w:t>1.1%</w:t>
            </w:r>
          </w:p>
        </w:tc>
        <w:tc>
          <w:tcPr>
            <w:tcW w:w="11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1.2%</w:t>
            </w:r>
          </w:p>
        </w:tc>
        <w:tc>
          <w:tcPr>
            <w:tcW w:w="1600" w:type="dxa"/>
            <w:vAlign w:val="bottom"/>
          </w:tcPr>
          <w:p>
            <w:pPr>
              <w:jc w:val="right"/>
              <w:ind w:right="281"/>
              <w:spacing w:after="0" w:line="174" w:lineRule="exact"/>
              <w:rPr>
                <w:sz w:val="20"/>
                <w:szCs w:val="20"/>
                <w:color w:val="auto"/>
              </w:rPr>
            </w:pPr>
            <w:r>
              <w:rPr>
                <w:rFonts w:ascii="Arial" w:cs="Arial" w:eastAsia="Arial" w:hAnsi="Arial"/>
                <w:sz w:val="16"/>
                <w:szCs w:val="16"/>
                <w:color w:val="auto"/>
              </w:rPr>
              <w:t>17 pbs</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61 pbs</w:t>
            </w:r>
          </w:p>
        </w:tc>
      </w:tr>
      <w:tr>
        <w:trPr>
          <w:trHeight w:val="194"/>
        </w:trPr>
        <w:tc>
          <w:tcPr>
            <w:tcW w:w="5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GP Coverage ratio of IOLs</w:t>
            </w: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n.a</w:t>
            </w: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18.3%</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6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116 pbs</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r>
    </w:tbl>
    <w:p>
      <w:pPr>
        <w:ind w:left="400" w:hanging="393"/>
        <w:spacing w:after="0"/>
        <w:tabs>
          <w:tab w:leader="none" w:pos="400" w:val="left"/>
        </w:tabs>
        <w:numPr>
          <w:ilvl w:val="0"/>
          <w:numId w:val="44"/>
        </w:numPr>
        <w:rPr>
          <w:rFonts w:ascii="Arial" w:cs="Arial" w:eastAsia="Arial" w:hAnsi="Arial"/>
          <w:sz w:val="9"/>
          <w:szCs w:val="9"/>
          <w:color w:val="auto"/>
        </w:rPr>
      </w:pPr>
      <w:r>
        <w:rPr>
          <w:rFonts w:ascii="Arial" w:cs="Arial" w:eastAsia="Arial" w:hAnsi="Arial"/>
          <w:sz w:val="9"/>
          <w:szCs w:val="9"/>
          <w:color w:val="auto"/>
        </w:rPr>
        <w:t>Government Programs (GP) include Reactiva Peru and FAE.</w:t>
      </w: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Portfolio Quality Ratios by Segment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1193800</wp:posOffset>
            </wp:positionH>
            <wp:positionV relativeFrom="paragraph">
              <wp:posOffset>139065</wp:posOffset>
            </wp:positionV>
            <wp:extent cx="4786630" cy="16300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86630" cy="163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139065</wp:posOffset>
            </wp:positionV>
            <wp:extent cx="4745355" cy="16440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535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139065</wp:posOffset>
            </wp:positionV>
            <wp:extent cx="4573270" cy="17741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7327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139065</wp:posOffset>
            </wp:positionV>
            <wp:extent cx="4525645" cy="1788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25645" cy="1788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139065</wp:posOffset>
            </wp:positionV>
            <wp:extent cx="4538980" cy="18707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38980"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1393190</wp:posOffset>
            </wp:positionH>
            <wp:positionV relativeFrom="paragraph">
              <wp:posOffset>139065</wp:posOffset>
            </wp:positionV>
            <wp:extent cx="4380865" cy="16440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80865" cy="164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139065</wp:posOffset>
            </wp:positionV>
            <wp:extent cx="4408170" cy="1795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408170" cy="179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139065</wp:posOffset>
            </wp:positionV>
            <wp:extent cx="4628515" cy="1753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628515" cy="175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9" w:name="page50"/>
    <w:bookmarkEnd w:id="49"/>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12.3 Net Interest Income (INI)</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INI Resume</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Net Interest Income</w:t>
            </w:r>
          </w:p>
        </w:tc>
        <w:tc>
          <w:tcPr>
            <w:tcW w:w="1120" w:type="dxa"/>
            <w:vAlign w:val="bottom"/>
            <w:tcBorders>
              <w:top w:val="single" w:sz="8" w:color="auto"/>
            </w:tcBorders>
            <w:shd w:val="clear" w:color="auto" w:fill="2AD2C9"/>
          </w:tcPr>
          <w:p>
            <w:pPr>
              <w:spacing w:after="0"/>
              <w:rPr>
                <w:sz w:val="15"/>
                <w:szCs w:val="15"/>
                <w:color w:val="auto"/>
              </w:rPr>
            </w:pPr>
          </w:p>
        </w:tc>
        <w:tc>
          <w:tcPr>
            <w:tcW w:w="1020" w:type="dxa"/>
            <w:vAlign w:val="bottom"/>
            <w:tcBorders>
              <w:top w:val="single" w:sz="8" w:color="auto"/>
            </w:tcBorders>
            <w:shd w:val="clear" w:color="auto" w:fill="2AD2C9"/>
          </w:tcPr>
          <w:p>
            <w:pPr>
              <w:jc w:val="right"/>
              <w:ind w:right="335"/>
              <w:spacing w:after="0"/>
              <w:rPr>
                <w:sz w:val="20"/>
                <w:szCs w:val="20"/>
                <w:color w:val="auto"/>
              </w:rPr>
            </w:pPr>
            <w:r>
              <w:rPr>
                <w:rFonts w:ascii="Arial" w:cs="Arial" w:eastAsia="Arial" w:hAnsi="Arial"/>
                <w:sz w:val="13"/>
                <w:szCs w:val="13"/>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5"/>
                <w:szCs w:val="15"/>
                <w:color w:val="auto"/>
              </w:rPr>
            </w:pPr>
          </w:p>
        </w:tc>
        <w:tc>
          <w:tcPr>
            <w:tcW w:w="13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3"/>
                <w:szCs w:val="13"/>
                <w:b w:val="1"/>
                <w:bCs w:val="1"/>
                <w:color w:val="FFFFFF"/>
              </w:rPr>
              <w:t>%change</w:t>
            </w:r>
          </w:p>
        </w:tc>
        <w:tc>
          <w:tcPr>
            <w:tcW w:w="700" w:type="dxa"/>
            <w:vAlign w:val="bottom"/>
            <w:tcBorders>
              <w:top w:val="single" w:sz="8" w:color="auto"/>
              <w:right w:val="single" w:sz="8" w:color="auto"/>
            </w:tcBorders>
            <w:shd w:val="clear" w:color="auto" w:fill="2AD2C9"/>
          </w:tcPr>
          <w:p>
            <w:pPr>
              <w:spacing w:after="0"/>
              <w:rPr>
                <w:sz w:val="15"/>
                <w:szCs w:val="15"/>
                <w:color w:val="auto"/>
              </w:rPr>
            </w:pPr>
          </w:p>
        </w:tc>
      </w:tr>
      <w:tr>
        <w:trPr>
          <w:trHeight w:val="153"/>
        </w:trPr>
        <w:tc>
          <w:tcPr>
            <w:tcW w:w="5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3"/>
                <w:szCs w:val="13"/>
                <w:b w:val="1"/>
                <w:bCs w:val="1"/>
                <w:color w:val="FFFFFF"/>
              </w:rPr>
              <w:t>S/000</w:t>
            </w:r>
          </w:p>
        </w:tc>
        <w:tc>
          <w:tcPr>
            <w:tcW w:w="1120" w:type="dxa"/>
            <w:vAlign w:val="bottom"/>
            <w:tcBorders>
              <w:bottom w:val="single" w:sz="8" w:color="auto"/>
            </w:tcBorders>
            <w:shd w:val="clear" w:color="auto" w:fill="2AD2C9"/>
          </w:tcPr>
          <w:p>
            <w:pPr>
              <w:jc w:val="right"/>
              <w:ind w:right="395"/>
              <w:spacing w:after="0"/>
              <w:rPr>
                <w:sz w:val="20"/>
                <w:szCs w:val="20"/>
                <w:color w:val="auto"/>
              </w:rPr>
            </w:pPr>
            <w:r>
              <w:rPr>
                <w:rFonts w:ascii="Arial" w:cs="Arial" w:eastAsia="Arial" w:hAnsi="Arial"/>
                <w:sz w:val="13"/>
                <w:szCs w:val="13"/>
                <w:b w:val="1"/>
                <w:bCs w:val="1"/>
                <w:color w:val="FFFFFF"/>
              </w:rPr>
              <w:t>1Q21</w:t>
            </w:r>
          </w:p>
        </w:tc>
        <w:tc>
          <w:tcPr>
            <w:tcW w:w="1020" w:type="dxa"/>
            <w:vAlign w:val="bottom"/>
            <w:tcBorders>
              <w:bottom w:val="single" w:sz="8" w:color="auto"/>
            </w:tcBorders>
            <w:shd w:val="clear" w:color="auto" w:fill="2AD2C9"/>
          </w:tcPr>
          <w:p>
            <w:pPr>
              <w:jc w:val="right"/>
              <w:ind w:right="415"/>
              <w:spacing w:after="0"/>
              <w:rPr>
                <w:sz w:val="20"/>
                <w:szCs w:val="20"/>
                <w:color w:val="auto"/>
              </w:rPr>
            </w:pPr>
            <w:r>
              <w:rPr>
                <w:rFonts w:ascii="Arial" w:cs="Arial" w:eastAsia="Arial" w:hAnsi="Arial"/>
                <w:sz w:val="13"/>
                <w:szCs w:val="13"/>
                <w:b w:val="1"/>
                <w:bCs w:val="1"/>
                <w:color w:val="FFFFFF"/>
              </w:rPr>
              <w:t>4Q21</w:t>
            </w:r>
          </w:p>
        </w:tc>
        <w:tc>
          <w:tcPr>
            <w:tcW w:w="880" w:type="dxa"/>
            <w:vAlign w:val="bottom"/>
            <w:tcBorders>
              <w:bottom w:val="single" w:sz="8" w:color="auto"/>
              <w:right w:val="single" w:sz="8" w:color="auto"/>
            </w:tcBorders>
            <w:shd w:val="clear" w:color="auto" w:fill="2AD2C9"/>
          </w:tcPr>
          <w:p>
            <w:pPr>
              <w:jc w:val="right"/>
              <w:ind w:right="295"/>
              <w:spacing w:after="0"/>
              <w:rPr>
                <w:sz w:val="20"/>
                <w:szCs w:val="20"/>
                <w:color w:val="auto"/>
              </w:rPr>
            </w:pPr>
            <w:r>
              <w:rPr>
                <w:rFonts w:ascii="Arial" w:cs="Arial" w:eastAsia="Arial" w:hAnsi="Arial"/>
                <w:sz w:val="13"/>
                <w:szCs w:val="13"/>
                <w:b w:val="1"/>
                <w:bCs w:val="1"/>
                <w:color w:val="FFFFFF"/>
              </w:rPr>
              <w:t>1Q22</w:t>
            </w:r>
          </w:p>
        </w:tc>
        <w:tc>
          <w:tcPr>
            <w:tcW w:w="1340" w:type="dxa"/>
            <w:vAlign w:val="bottom"/>
            <w:tcBorders>
              <w:bottom w:val="single" w:sz="8" w:color="auto"/>
            </w:tcBorders>
            <w:shd w:val="clear" w:color="auto" w:fill="2AD2C9"/>
          </w:tcPr>
          <w:p>
            <w:pPr>
              <w:jc w:val="right"/>
              <w:ind w:right="635"/>
              <w:spacing w:after="0"/>
              <w:rPr>
                <w:sz w:val="20"/>
                <w:szCs w:val="20"/>
                <w:color w:val="auto"/>
              </w:rPr>
            </w:pPr>
            <w:r>
              <w:rPr>
                <w:rFonts w:ascii="Arial" w:cs="Arial" w:eastAsia="Arial" w:hAnsi="Arial"/>
                <w:sz w:val="13"/>
                <w:szCs w:val="13"/>
                <w:b w:val="1"/>
                <w:bCs w:val="1"/>
                <w:color w:val="FFFFFF"/>
              </w:rPr>
              <w:t>QoQ</w:t>
            </w:r>
          </w:p>
        </w:tc>
        <w:tc>
          <w:tcPr>
            <w:tcW w:w="700" w:type="dxa"/>
            <w:vAlign w:val="bottom"/>
            <w:tcBorders>
              <w:bottom w:val="single" w:sz="8" w:color="auto"/>
              <w:right w:val="single" w:sz="8" w:color="auto"/>
            </w:tcBorders>
            <w:shd w:val="clear" w:color="auto" w:fill="2AD2C9"/>
          </w:tcPr>
          <w:p>
            <w:pPr>
              <w:jc w:val="right"/>
              <w:ind w:right="355"/>
              <w:spacing w:after="0"/>
              <w:rPr>
                <w:sz w:val="20"/>
                <w:szCs w:val="20"/>
                <w:color w:val="auto"/>
              </w:rPr>
            </w:pPr>
            <w:r>
              <w:rPr>
                <w:rFonts w:ascii="Arial" w:cs="Arial" w:eastAsia="Arial" w:hAnsi="Arial"/>
                <w:sz w:val="13"/>
                <w:szCs w:val="13"/>
                <w:b w:val="1"/>
                <w:bCs w:val="1"/>
                <w:color w:val="FFFFFF"/>
              </w:rPr>
              <w:t>YoY</w:t>
            </w:r>
          </w:p>
        </w:tc>
      </w:tr>
      <w:tr>
        <w:trPr>
          <w:trHeight w:val="141"/>
        </w:trPr>
        <w:tc>
          <w:tcPr>
            <w:tcW w:w="508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Interest income</w:t>
            </w:r>
          </w:p>
        </w:tc>
        <w:tc>
          <w:tcPr>
            <w:tcW w:w="1120" w:type="dxa"/>
            <w:vAlign w:val="bottom"/>
          </w:tcPr>
          <w:p>
            <w:pPr>
              <w:jc w:val="right"/>
              <w:ind w:right="55"/>
              <w:spacing w:after="0" w:line="141" w:lineRule="exact"/>
              <w:rPr>
                <w:sz w:val="20"/>
                <w:szCs w:val="20"/>
                <w:color w:val="auto"/>
              </w:rPr>
            </w:pPr>
            <w:r>
              <w:rPr>
                <w:rFonts w:ascii="Arial" w:cs="Arial" w:eastAsia="Arial" w:hAnsi="Arial"/>
                <w:sz w:val="13"/>
                <w:szCs w:val="13"/>
                <w:b w:val="1"/>
                <w:bCs w:val="1"/>
                <w:color w:val="auto"/>
              </w:rPr>
              <w:t>2,816,073</w:t>
            </w:r>
          </w:p>
        </w:tc>
        <w:tc>
          <w:tcPr>
            <w:tcW w:w="1020" w:type="dxa"/>
            <w:vAlign w:val="bottom"/>
          </w:tcPr>
          <w:p>
            <w:pPr>
              <w:jc w:val="right"/>
              <w:ind w:right="75"/>
              <w:spacing w:after="0" w:line="141" w:lineRule="exact"/>
              <w:rPr>
                <w:sz w:val="20"/>
                <w:szCs w:val="20"/>
                <w:color w:val="auto"/>
              </w:rPr>
            </w:pPr>
            <w:r>
              <w:rPr>
                <w:rFonts w:ascii="Arial" w:cs="Arial" w:eastAsia="Arial" w:hAnsi="Arial"/>
                <w:sz w:val="13"/>
                <w:szCs w:val="13"/>
                <w:b w:val="1"/>
                <w:bCs w:val="1"/>
                <w:color w:val="auto"/>
              </w:rPr>
              <w:t>3,091,754</w:t>
            </w:r>
          </w:p>
        </w:tc>
        <w:tc>
          <w:tcPr>
            <w:tcW w:w="88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3,172,346</w:t>
            </w:r>
          </w:p>
        </w:tc>
        <w:tc>
          <w:tcPr>
            <w:tcW w:w="1340" w:type="dxa"/>
            <w:vAlign w:val="bottom"/>
          </w:tcPr>
          <w:p>
            <w:pPr>
              <w:jc w:val="right"/>
              <w:ind w:right="275"/>
              <w:spacing w:after="0" w:line="141" w:lineRule="exact"/>
              <w:rPr>
                <w:sz w:val="20"/>
                <w:szCs w:val="20"/>
                <w:color w:val="auto"/>
              </w:rPr>
            </w:pPr>
            <w:r>
              <w:rPr>
                <w:rFonts w:ascii="Arial" w:cs="Arial" w:eastAsia="Arial" w:hAnsi="Arial"/>
                <w:sz w:val="13"/>
                <w:szCs w:val="13"/>
                <w:b w:val="1"/>
                <w:bCs w:val="1"/>
                <w:color w:val="auto"/>
              </w:rPr>
              <w:t>2.6%</w:t>
            </w:r>
          </w:p>
        </w:tc>
        <w:tc>
          <w:tcPr>
            <w:tcW w:w="70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12.7%</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on loans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2,432,761</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2,654,383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2,685,552</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1.2%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10.4%</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Dividends on investments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3,221</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6,212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4,320</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-30.5%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34.1%</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on deposits with banks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7,896</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23,480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35,351</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50.6%</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347.7%</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on securities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362,964</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395,815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428,456</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8.2%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18.0%</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 interest income</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9,231</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11,864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18,667</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57.3%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102.2%</w:t>
            </w:r>
          </w:p>
        </w:tc>
      </w:tr>
      <w:tr>
        <w:trPr>
          <w:trHeight w:val="152"/>
        </w:trPr>
        <w:tc>
          <w:tcPr>
            <w:tcW w:w="50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Interest expense</w:t>
            </w:r>
          </w:p>
        </w:tc>
        <w:tc>
          <w:tcPr>
            <w:tcW w:w="1120" w:type="dxa"/>
            <w:vAlign w:val="bottom"/>
          </w:tcPr>
          <w:p>
            <w:pPr>
              <w:jc w:val="right"/>
              <w:ind w:right="55"/>
              <w:spacing w:after="0"/>
              <w:rPr>
                <w:sz w:val="20"/>
                <w:szCs w:val="20"/>
                <w:color w:val="auto"/>
              </w:rPr>
            </w:pPr>
            <w:r>
              <w:rPr>
                <w:rFonts w:ascii="Arial" w:cs="Arial" w:eastAsia="Arial" w:hAnsi="Arial"/>
                <w:sz w:val="13"/>
                <w:szCs w:val="13"/>
                <w:b w:val="1"/>
                <w:bCs w:val="1"/>
                <w:color w:val="auto"/>
              </w:rPr>
              <w:t>692,690</w:t>
            </w:r>
          </w:p>
        </w:tc>
        <w:tc>
          <w:tcPr>
            <w:tcW w:w="1020" w:type="dxa"/>
            <w:vAlign w:val="bottom"/>
          </w:tcPr>
          <w:p>
            <w:pPr>
              <w:jc w:val="right"/>
              <w:ind w:right="75"/>
              <w:spacing w:after="0"/>
              <w:rPr>
                <w:sz w:val="20"/>
                <w:szCs w:val="20"/>
                <w:color w:val="auto"/>
              </w:rPr>
            </w:pPr>
            <w:r>
              <w:rPr>
                <w:rFonts w:ascii="Arial" w:cs="Arial" w:eastAsia="Arial" w:hAnsi="Arial"/>
                <w:sz w:val="13"/>
                <w:szCs w:val="13"/>
                <w:b w:val="1"/>
                <w:bCs w:val="1"/>
                <w:color w:val="auto"/>
              </w:rPr>
              <w:t>613,907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638,256</w:t>
            </w:r>
          </w:p>
        </w:tc>
        <w:tc>
          <w:tcPr>
            <w:tcW w:w="1340" w:type="dxa"/>
            <w:vAlign w:val="bottom"/>
          </w:tcPr>
          <w:p>
            <w:pPr>
              <w:jc w:val="right"/>
              <w:ind w:right="275"/>
              <w:spacing w:after="0"/>
              <w:rPr>
                <w:sz w:val="20"/>
                <w:szCs w:val="20"/>
                <w:color w:val="auto"/>
              </w:rPr>
            </w:pPr>
            <w:r>
              <w:rPr>
                <w:rFonts w:ascii="Arial" w:cs="Arial" w:eastAsia="Arial" w:hAnsi="Arial"/>
                <w:sz w:val="13"/>
                <w:szCs w:val="13"/>
                <w:b w:val="1"/>
                <w:bCs w:val="1"/>
                <w:color w:val="auto"/>
              </w:rPr>
              <w:t>4.0%</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-7.9%</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on deposits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222,643</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222,992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258,939</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16.1%</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on borrowed funds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112,228</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111,625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116,231</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4.1%</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3.6%</w:t>
            </w:r>
          </w:p>
        </w:tc>
      </w:tr>
      <w:tr>
        <w:trPr>
          <w:trHeight w:val="152"/>
        </w:trPr>
        <w:tc>
          <w:tcPr>
            <w:tcW w:w="5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Interest on bonds and subordinated notes</w:t>
            </w:r>
          </w:p>
        </w:tc>
        <w:tc>
          <w:tcPr>
            <w:tcW w:w="1120" w:type="dxa"/>
            <w:vAlign w:val="bottom"/>
          </w:tcPr>
          <w:p>
            <w:pPr>
              <w:jc w:val="right"/>
              <w:ind w:right="55"/>
              <w:spacing w:after="0"/>
              <w:rPr>
                <w:sz w:val="20"/>
                <w:szCs w:val="20"/>
                <w:color w:val="auto"/>
              </w:rPr>
            </w:pPr>
            <w:r>
              <w:rPr>
                <w:rFonts w:ascii="Arial" w:cs="Arial" w:eastAsia="Arial" w:hAnsi="Arial"/>
                <w:sz w:val="13"/>
                <w:szCs w:val="13"/>
                <w:color w:val="auto"/>
              </w:rPr>
              <w:t>266,971</w:t>
            </w:r>
          </w:p>
        </w:tc>
        <w:tc>
          <w:tcPr>
            <w:tcW w:w="1020" w:type="dxa"/>
            <w:vAlign w:val="bottom"/>
          </w:tcPr>
          <w:p>
            <w:pPr>
              <w:jc w:val="right"/>
              <w:ind w:right="75"/>
              <w:spacing w:after="0"/>
              <w:rPr>
                <w:sz w:val="20"/>
                <w:szCs w:val="20"/>
                <w:color w:val="auto"/>
              </w:rPr>
            </w:pPr>
            <w:r>
              <w:rPr>
                <w:rFonts w:ascii="Arial" w:cs="Arial" w:eastAsia="Arial" w:hAnsi="Arial"/>
                <w:sz w:val="13"/>
                <w:szCs w:val="13"/>
                <w:color w:val="auto"/>
              </w:rPr>
              <w:t>175,690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165,496</w:t>
            </w:r>
          </w:p>
        </w:tc>
        <w:tc>
          <w:tcPr>
            <w:tcW w:w="1340" w:type="dxa"/>
            <w:vAlign w:val="bottom"/>
          </w:tcPr>
          <w:p>
            <w:pPr>
              <w:jc w:val="right"/>
              <w:ind w:right="275"/>
              <w:spacing w:after="0"/>
              <w:rPr>
                <w:sz w:val="20"/>
                <w:szCs w:val="20"/>
                <w:color w:val="auto"/>
              </w:rPr>
            </w:pPr>
            <w:r>
              <w:rPr>
                <w:rFonts w:ascii="Arial" w:cs="Arial" w:eastAsia="Arial" w:hAnsi="Arial"/>
                <w:sz w:val="13"/>
                <w:szCs w:val="13"/>
                <w:color w:val="auto"/>
              </w:rPr>
              <w:t>-5.8%</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-38.0%</w:t>
            </w:r>
          </w:p>
        </w:tc>
      </w:tr>
      <w:tr>
        <w:trPr>
          <w:trHeight w:val="164"/>
        </w:trPr>
        <w:tc>
          <w:tcPr>
            <w:tcW w:w="5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color w:val="auto"/>
              </w:rPr>
              <w:t>Other interest expense</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90,848</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103,600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97,590</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-5.8%</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7.4%</w:t>
            </w:r>
          </w:p>
        </w:tc>
      </w:tr>
      <w:tr>
        <w:trPr>
          <w:trHeight w:val="153"/>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interest income</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2,123,383</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2,477,847</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2,534,090</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2.3%</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19.3%</w:t>
            </w:r>
          </w:p>
        </w:tc>
      </w:tr>
      <w:tr>
        <w:trPr>
          <w:trHeight w:val="153"/>
        </w:trPr>
        <w:tc>
          <w:tcPr>
            <w:tcW w:w="5080" w:type="dxa"/>
            <w:vAlign w:val="bottom"/>
            <w:tcBorders>
              <w:left w:val="single" w:sz="8" w:color="auto"/>
              <w:bottom w:val="single" w:sz="8" w:color="auto"/>
              <w:right w:val="single" w:sz="8" w:color="auto"/>
            </w:tcBorders>
          </w:tcPr>
          <w:p>
            <w:pPr>
              <w:ind w:left="20"/>
              <w:spacing w:after="0" w:line="152" w:lineRule="exact"/>
              <w:rPr>
                <w:sz w:val="20"/>
                <w:szCs w:val="20"/>
                <w:color w:val="auto"/>
              </w:rPr>
            </w:pPr>
            <w:r>
              <w:rPr>
                <w:rFonts w:ascii="Arial" w:cs="Arial" w:eastAsia="Arial" w:hAnsi="Arial"/>
                <w:sz w:val="11"/>
                <w:szCs w:val="11"/>
                <w:b w:val="1"/>
                <w:bCs w:val="1"/>
                <w:color w:val="auto"/>
              </w:rPr>
              <w:t xml:space="preserve">Adjusted Net interest income </w:t>
            </w:r>
            <w:r>
              <w:rPr>
                <w:rFonts w:ascii="Arial" w:cs="Arial" w:eastAsia="Arial" w:hAnsi="Arial"/>
                <w:sz w:val="17"/>
                <w:szCs w:val="17"/>
                <w:b w:val="1"/>
                <w:bCs w:val="1"/>
                <w:color w:val="auto"/>
                <w:vertAlign w:val="superscript"/>
              </w:rPr>
              <w:t>(2)</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2,160,511</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2,457,471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2,522,080</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2.6%</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16.7%</w:t>
            </w:r>
          </w:p>
        </w:tc>
      </w:tr>
      <w:tr>
        <w:trPr>
          <w:trHeight w:val="153"/>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Risk-adjusted Net interest income</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1,565,736</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2,351,065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2,276,500</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-3.2%</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45.4%</w:t>
            </w:r>
          </w:p>
        </w:tc>
      </w:tr>
      <w:tr>
        <w:trPr>
          <w:trHeight w:val="153"/>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Average interest earning assets</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227,812,456</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233,016,342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228,195,289</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color w:val="auto"/>
              </w:rPr>
              <w:t>-2.1%</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0.2%</w:t>
            </w:r>
          </w:p>
        </w:tc>
      </w:tr>
      <w:tr>
        <w:trPr>
          <w:trHeight w:val="130"/>
        </w:trPr>
        <w:tc>
          <w:tcPr>
            <w:tcW w:w="508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0"/>
                <w:szCs w:val="10"/>
                <w:b w:val="1"/>
                <w:bCs w:val="1"/>
                <w:color w:val="auto"/>
              </w:rPr>
              <w:t xml:space="preserve">Net interest margin </w:t>
            </w:r>
            <w:r>
              <w:rPr>
                <w:rFonts w:ascii="Arial" w:cs="Arial" w:eastAsia="Arial" w:hAnsi="Arial"/>
                <w:sz w:val="15"/>
                <w:szCs w:val="15"/>
                <w:color w:val="auto"/>
                <w:vertAlign w:val="superscript"/>
              </w:rPr>
              <w:t>(3)</w:t>
            </w:r>
          </w:p>
        </w:tc>
        <w:tc>
          <w:tcPr>
            <w:tcW w:w="1120" w:type="dxa"/>
            <w:vAlign w:val="bottom"/>
          </w:tcPr>
          <w:p>
            <w:pPr>
              <w:jc w:val="right"/>
              <w:ind w:right="55"/>
              <w:spacing w:after="0" w:line="131" w:lineRule="exact"/>
              <w:rPr>
                <w:sz w:val="20"/>
                <w:szCs w:val="20"/>
                <w:color w:val="auto"/>
              </w:rPr>
            </w:pPr>
            <w:r>
              <w:rPr>
                <w:rFonts w:ascii="Arial" w:cs="Arial" w:eastAsia="Arial" w:hAnsi="Arial"/>
                <w:sz w:val="13"/>
                <w:szCs w:val="13"/>
                <w:b w:val="1"/>
                <w:bCs w:val="1"/>
                <w:color w:val="auto"/>
              </w:rPr>
              <w:t>3.73%</w:t>
            </w:r>
          </w:p>
        </w:tc>
        <w:tc>
          <w:tcPr>
            <w:tcW w:w="1020" w:type="dxa"/>
            <w:vAlign w:val="bottom"/>
          </w:tcPr>
          <w:p>
            <w:pPr>
              <w:jc w:val="right"/>
              <w:ind w:right="75"/>
              <w:spacing w:after="0" w:line="131" w:lineRule="exact"/>
              <w:rPr>
                <w:sz w:val="20"/>
                <w:szCs w:val="20"/>
                <w:color w:val="auto"/>
              </w:rPr>
            </w:pPr>
            <w:r>
              <w:rPr>
                <w:rFonts w:ascii="Arial" w:cs="Arial" w:eastAsia="Arial" w:hAnsi="Arial"/>
                <w:sz w:val="13"/>
                <w:szCs w:val="13"/>
                <w:b w:val="1"/>
                <w:bCs w:val="1"/>
                <w:color w:val="auto"/>
              </w:rPr>
              <w:t>4.25%</w:t>
            </w:r>
          </w:p>
        </w:tc>
        <w:tc>
          <w:tcPr>
            <w:tcW w:w="88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4.44%</w:t>
            </w:r>
          </w:p>
        </w:tc>
        <w:tc>
          <w:tcPr>
            <w:tcW w:w="1340" w:type="dxa"/>
            <w:vAlign w:val="bottom"/>
          </w:tcPr>
          <w:p>
            <w:pPr>
              <w:jc w:val="right"/>
              <w:ind w:right="275"/>
              <w:spacing w:after="0" w:line="131" w:lineRule="exact"/>
              <w:rPr>
                <w:sz w:val="20"/>
                <w:szCs w:val="20"/>
                <w:color w:val="auto"/>
              </w:rPr>
            </w:pPr>
            <w:r>
              <w:rPr>
                <w:rFonts w:ascii="Arial" w:cs="Arial" w:eastAsia="Arial" w:hAnsi="Arial"/>
                <w:sz w:val="13"/>
                <w:szCs w:val="13"/>
                <w:b w:val="1"/>
                <w:bCs w:val="1"/>
                <w:color w:val="auto"/>
              </w:rPr>
              <w:t>19bps</w:t>
            </w:r>
          </w:p>
        </w:tc>
        <w:tc>
          <w:tcPr>
            <w:tcW w:w="70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rPr>
              <w:t>71bps</w:t>
            </w:r>
          </w:p>
        </w:tc>
      </w:tr>
      <w:tr>
        <w:trPr>
          <w:trHeight w:val="163"/>
        </w:trPr>
        <w:tc>
          <w:tcPr>
            <w:tcW w:w="5080" w:type="dxa"/>
            <w:vAlign w:val="bottom"/>
            <w:tcBorders>
              <w:left w:val="single" w:sz="8" w:color="auto"/>
              <w:right w:val="single" w:sz="8" w:color="auto"/>
            </w:tcBorders>
          </w:tcPr>
          <w:p>
            <w:pPr>
              <w:ind w:left="20"/>
              <w:spacing w:after="0" w:line="163" w:lineRule="exact"/>
              <w:rPr>
                <w:sz w:val="20"/>
                <w:szCs w:val="20"/>
                <w:color w:val="auto"/>
              </w:rPr>
            </w:pPr>
            <w:r>
              <w:rPr>
                <w:rFonts w:ascii="Arial" w:cs="Arial" w:eastAsia="Arial" w:hAnsi="Arial"/>
                <w:sz w:val="11"/>
                <w:szCs w:val="11"/>
                <w:b w:val="1"/>
                <w:bCs w:val="1"/>
                <w:color w:val="auto"/>
              </w:rPr>
              <w:t xml:space="preserve">Risk-adjusted Net interest margin </w:t>
            </w:r>
            <w:r>
              <w:rPr>
                <w:rFonts w:ascii="Arial" w:cs="Arial" w:eastAsia="Arial" w:hAnsi="Arial"/>
                <w:sz w:val="18"/>
                <w:szCs w:val="18"/>
                <w:color w:val="auto"/>
                <w:vertAlign w:val="superscript"/>
              </w:rPr>
              <w:t>(3)</w:t>
            </w:r>
          </w:p>
        </w:tc>
        <w:tc>
          <w:tcPr>
            <w:tcW w:w="1120" w:type="dxa"/>
            <w:vAlign w:val="bottom"/>
          </w:tcPr>
          <w:p>
            <w:pPr>
              <w:jc w:val="right"/>
              <w:ind w:right="55"/>
              <w:spacing w:after="0"/>
              <w:rPr>
                <w:sz w:val="20"/>
                <w:szCs w:val="20"/>
                <w:color w:val="auto"/>
              </w:rPr>
            </w:pPr>
            <w:r>
              <w:rPr>
                <w:rFonts w:ascii="Arial" w:cs="Arial" w:eastAsia="Arial" w:hAnsi="Arial"/>
                <w:sz w:val="13"/>
                <w:szCs w:val="13"/>
                <w:b w:val="1"/>
                <w:bCs w:val="1"/>
                <w:color w:val="auto"/>
              </w:rPr>
              <w:t>2.75%</w:t>
            </w:r>
          </w:p>
        </w:tc>
        <w:tc>
          <w:tcPr>
            <w:tcW w:w="1020" w:type="dxa"/>
            <w:vAlign w:val="bottom"/>
          </w:tcPr>
          <w:p>
            <w:pPr>
              <w:jc w:val="right"/>
              <w:ind w:right="75"/>
              <w:spacing w:after="0"/>
              <w:rPr>
                <w:sz w:val="20"/>
                <w:szCs w:val="20"/>
                <w:color w:val="auto"/>
              </w:rPr>
            </w:pPr>
            <w:r>
              <w:rPr>
                <w:rFonts w:ascii="Arial" w:cs="Arial" w:eastAsia="Arial" w:hAnsi="Arial"/>
                <w:sz w:val="13"/>
                <w:szCs w:val="13"/>
                <w:b w:val="1"/>
                <w:bCs w:val="1"/>
                <w:color w:val="auto"/>
              </w:rPr>
              <w:t>4.04%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3.99%</w:t>
            </w:r>
          </w:p>
        </w:tc>
        <w:tc>
          <w:tcPr>
            <w:tcW w:w="1340" w:type="dxa"/>
            <w:vAlign w:val="bottom"/>
          </w:tcPr>
          <w:p>
            <w:pPr>
              <w:jc w:val="right"/>
              <w:ind w:right="275"/>
              <w:spacing w:after="0"/>
              <w:rPr>
                <w:sz w:val="20"/>
                <w:szCs w:val="20"/>
                <w:color w:val="auto"/>
              </w:rPr>
            </w:pPr>
            <w:r>
              <w:rPr>
                <w:rFonts w:ascii="Arial" w:cs="Arial" w:eastAsia="Arial" w:hAnsi="Arial"/>
                <w:sz w:val="13"/>
                <w:szCs w:val="13"/>
                <w:b w:val="1"/>
                <w:bCs w:val="1"/>
                <w:color w:val="auto"/>
              </w:rPr>
              <w:t>-5bps</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124bps</w:t>
            </w:r>
          </w:p>
        </w:tc>
      </w:tr>
      <w:tr>
        <w:trPr>
          <w:trHeight w:val="164"/>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provisions for loan losses / Net interest income</w:t>
            </w: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26.26%</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5.12%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10.16%</w:t>
            </w: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5.0%</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-16.1%</w:t>
            </w:r>
          </w:p>
        </w:tc>
      </w:tr>
    </w:tbl>
    <w:p>
      <w:pPr>
        <w:spacing w:after="0" w:line="186" w:lineRule="exact"/>
        <w:rPr>
          <w:sz w:val="20"/>
          <w:szCs w:val="20"/>
          <w:color w:val="auto"/>
        </w:rPr>
      </w:pPr>
    </w:p>
    <w:p>
      <w:pPr>
        <w:ind w:left="140" w:hanging="133"/>
        <w:spacing w:after="0"/>
        <w:tabs>
          <w:tab w:leader="none" w:pos="140" w:val="left"/>
        </w:tabs>
        <w:numPr>
          <w:ilvl w:val="0"/>
          <w:numId w:val="4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Figures differ from previously reported, please consider the data presented on this report.</w:t>
      </w:r>
    </w:p>
    <w:p>
      <w:pPr>
        <w:spacing w:after="0" w:line="16"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Adjusted for (i) impairment from cero interest-rate loans and (ii) expenses related to liability management operations at BCP Stand-Alone.</w:t>
      </w:r>
    </w:p>
    <w:p>
      <w:pPr>
        <w:spacing w:after="0" w:line="4"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Annualized.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Net Interest Margin (NIM) and Risk Adjusted NIM by subsidiary</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49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NIM</w:t>
            </w:r>
          </w:p>
        </w:tc>
        <w:tc>
          <w:tcPr>
            <w:tcW w:w="1120" w:type="dxa"/>
            <w:vAlign w:val="bottom"/>
            <w:tcBorders>
              <w:top w:val="single" w:sz="8" w:color="auto"/>
            </w:tcBorders>
            <w:shd w:val="clear" w:color="auto" w:fill="2AD2C9"/>
          </w:tcPr>
          <w:p>
            <w:pPr>
              <w:jc w:val="right"/>
              <w:ind w:right="442"/>
              <w:spacing w:after="0"/>
              <w:rPr>
                <w:sz w:val="20"/>
                <w:szCs w:val="20"/>
                <w:color w:val="auto"/>
              </w:rPr>
            </w:pPr>
            <w:r>
              <w:rPr>
                <w:rFonts w:ascii="Arial" w:cs="Arial" w:eastAsia="Arial" w:hAnsi="Arial"/>
                <w:sz w:val="12"/>
                <w:szCs w:val="12"/>
                <w:b w:val="1"/>
                <w:bCs w:val="1"/>
                <w:color w:val="FFFFFF"/>
              </w:rPr>
              <w:t>BCP</w:t>
            </w:r>
          </w:p>
        </w:tc>
        <w:tc>
          <w:tcPr>
            <w:tcW w:w="1040" w:type="dxa"/>
            <w:vAlign w:val="bottom"/>
            <w:tcBorders>
              <w:top w:val="single" w:sz="8" w:color="auto"/>
            </w:tcBorders>
            <w:vMerge w:val="restart"/>
            <w:shd w:val="clear" w:color="auto" w:fill="2AD2C9"/>
          </w:tcPr>
          <w:p>
            <w:pPr>
              <w:jc w:val="right"/>
              <w:ind w:right="362"/>
              <w:spacing w:after="0"/>
              <w:rPr>
                <w:sz w:val="20"/>
                <w:szCs w:val="20"/>
                <w:color w:val="auto"/>
              </w:rPr>
            </w:pPr>
            <w:r>
              <w:rPr>
                <w:rFonts w:ascii="Arial" w:cs="Arial" w:eastAsia="Arial" w:hAnsi="Arial"/>
                <w:sz w:val="12"/>
                <w:szCs w:val="12"/>
                <w:b w:val="1"/>
                <w:bCs w:val="1"/>
                <w:color w:val="FFFFFF"/>
              </w:rPr>
              <w:t>Mibanco</w:t>
            </w:r>
          </w:p>
        </w:tc>
        <w:tc>
          <w:tcPr>
            <w:tcW w:w="860" w:type="dxa"/>
            <w:vAlign w:val="bottom"/>
            <w:tcBorders>
              <w:top w:val="single" w:sz="8" w:color="auto"/>
              <w:right w:val="single" w:sz="8" w:color="auto"/>
            </w:tcBorders>
            <w:shd w:val="clear" w:color="auto" w:fill="2AD2C9"/>
          </w:tcPr>
          <w:p>
            <w:pPr>
              <w:jc w:val="right"/>
              <w:ind w:right="362"/>
              <w:spacing w:after="0"/>
              <w:rPr>
                <w:sz w:val="20"/>
                <w:szCs w:val="20"/>
                <w:color w:val="auto"/>
              </w:rPr>
            </w:pPr>
            <w:r>
              <w:rPr>
                <w:rFonts w:ascii="Arial" w:cs="Arial" w:eastAsia="Arial" w:hAnsi="Arial"/>
                <w:sz w:val="12"/>
                <w:szCs w:val="12"/>
                <w:b w:val="1"/>
                <w:bCs w:val="1"/>
                <w:color w:val="FFFFFF"/>
              </w:rPr>
              <w:t>BCP</w:t>
            </w:r>
          </w:p>
        </w:tc>
        <w:tc>
          <w:tcPr>
            <w:tcW w:w="1020" w:type="dxa"/>
            <w:vAlign w:val="bottom"/>
            <w:tcBorders>
              <w:top w:val="single" w:sz="8" w:color="auto"/>
              <w:right w:val="single" w:sz="8" w:color="auto"/>
            </w:tcBorders>
            <w:vMerge w:val="restart"/>
            <w:shd w:val="clear" w:color="auto" w:fill="2AD2C9"/>
          </w:tcPr>
          <w:p>
            <w:pPr>
              <w:jc w:val="right"/>
              <w:ind w:right="182"/>
              <w:spacing w:after="0"/>
              <w:rPr>
                <w:sz w:val="20"/>
                <w:szCs w:val="20"/>
                <w:color w:val="auto"/>
              </w:rPr>
            </w:pPr>
            <w:r>
              <w:rPr>
                <w:rFonts w:ascii="Arial" w:cs="Arial" w:eastAsia="Arial" w:hAnsi="Arial"/>
                <w:sz w:val="12"/>
                <w:szCs w:val="12"/>
                <w:b w:val="1"/>
                <w:bCs w:val="1"/>
                <w:color w:val="FFFFFF"/>
              </w:rPr>
              <w:t>Credicorp</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Breakdown</w:t>
            </w:r>
          </w:p>
        </w:tc>
        <w:tc>
          <w:tcPr>
            <w:tcW w:w="1120" w:type="dxa"/>
            <w:vAlign w:val="bottom"/>
            <w:tcBorders>
              <w:bottom w:val="single" w:sz="8" w:color="2AD2C9"/>
            </w:tcBorders>
            <w:shd w:val="clear" w:color="auto" w:fill="2AD2C9"/>
          </w:tcPr>
          <w:p>
            <w:pPr>
              <w:jc w:val="right"/>
              <w:ind w:right="242"/>
              <w:spacing w:after="0"/>
              <w:rPr>
                <w:sz w:val="20"/>
                <w:szCs w:val="20"/>
                <w:color w:val="auto"/>
              </w:rPr>
            </w:pPr>
            <w:r>
              <w:rPr>
                <w:rFonts w:ascii="Arial" w:cs="Arial" w:eastAsia="Arial" w:hAnsi="Arial"/>
                <w:sz w:val="12"/>
                <w:szCs w:val="12"/>
                <w:b w:val="1"/>
                <w:bCs w:val="1"/>
                <w:color w:val="FFFFFF"/>
              </w:rPr>
              <w:t>Stand-alone</w:t>
            </w:r>
          </w:p>
        </w:tc>
        <w:tc>
          <w:tcPr>
            <w:tcW w:w="1040" w:type="dxa"/>
            <w:vAlign w:val="bottom"/>
            <w:tcBorders>
              <w:bottom w:val="single" w:sz="8" w:color="2AD2C9"/>
            </w:tcBorders>
            <w:vMerge w:val="continue"/>
            <w:shd w:val="clear" w:color="auto" w:fill="2AD2C9"/>
          </w:tcPr>
          <w:p>
            <w:pPr>
              <w:spacing w:after="0"/>
              <w:rPr>
                <w:sz w:val="12"/>
                <w:szCs w:val="12"/>
                <w:color w:val="auto"/>
              </w:rPr>
            </w:pPr>
          </w:p>
        </w:tc>
        <w:tc>
          <w:tcPr>
            <w:tcW w:w="860" w:type="dxa"/>
            <w:vAlign w:val="bottom"/>
            <w:tcBorders>
              <w:bottom w:val="single" w:sz="8" w:color="2AD2C9"/>
              <w:right w:val="single" w:sz="8" w:color="auto"/>
            </w:tcBorders>
            <w:shd w:val="clear" w:color="auto" w:fill="2AD2C9"/>
          </w:tcPr>
          <w:p>
            <w:pPr>
              <w:jc w:val="right"/>
              <w:ind w:right="282"/>
              <w:spacing w:after="0"/>
              <w:rPr>
                <w:sz w:val="20"/>
                <w:szCs w:val="20"/>
                <w:color w:val="auto"/>
              </w:rPr>
            </w:pPr>
            <w:r>
              <w:rPr>
                <w:rFonts w:ascii="Arial" w:cs="Arial" w:eastAsia="Arial" w:hAnsi="Arial"/>
                <w:sz w:val="12"/>
                <w:szCs w:val="12"/>
                <w:b w:val="1"/>
                <w:bCs w:val="1"/>
                <w:color w:val="FFFFFF"/>
              </w:rPr>
              <w:t>Bolivia</w:t>
            </w:r>
          </w:p>
        </w:tc>
        <w:tc>
          <w:tcPr>
            <w:tcW w:w="1020" w:type="dxa"/>
            <w:vAlign w:val="bottom"/>
            <w:tcBorders>
              <w:bottom w:val="single" w:sz="8" w:color="2AD2C9"/>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980" w:type="dxa"/>
            <w:vAlign w:val="bottom"/>
            <w:tcBorders>
              <w:top w:val="single" w:sz="8" w:color="auto"/>
              <w:left w:val="single" w:sz="8" w:color="auto"/>
              <w:right w:val="single" w:sz="8" w:color="auto"/>
            </w:tcBorders>
          </w:tcPr>
          <w:p>
            <w:pPr>
              <w:ind w:left="2360"/>
              <w:spacing w:after="0" w:line="122" w:lineRule="exact"/>
              <w:rPr>
                <w:sz w:val="20"/>
                <w:szCs w:val="20"/>
                <w:color w:val="auto"/>
              </w:rPr>
            </w:pPr>
            <w:r>
              <w:rPr>
                <w:rFonts w:ascii="Arial" w:cs="Arial" w:eastAsia="Arial" w:hAnsi="Arial"/>
                <w:sz w:val="12"/>
                <w:szCs w:val="12"/>
                <w:b w:val="1"/>
                <w:bCs w:val="1"/>
                <w:color w:val="auto"/>
              </w:rPr>
              <w:t>1Q21</w:t>
            </w:r>
          </w:p>
        </w:tc>
        <w:tc>
          <w:tcPr>
            <w:tcW w:w="1120" w:type="dxa"/>
            <w:vAlign w:val="bottom"/>
            <w:tcBorders>
              <w:top w:val="single" w:sz="8" w:color="auto"/>
            </w:tcBorders>
          </w:tcPr>
          <w:p>
            <w:pPr>
              <w:jc w:val="right"/>
              <w:ind w:right="62"/>
              <w:spacing w:after="0" w:line="122" w:lineRule="exact"/>
              <w:rPr>
                <w:sz w:val="20"/>
                <w:szCs w:val="20"/>
                <w:color w:val="auto"/>
              </w:rPr>
            </w:pPr>
            <w:r>
              <w:rPr>
                <w:rFonts w:ascii="Arial" w:cs="Arial" w:eastAsia="Arial" w:hAnsi="Arial"/>
                <w:sz w:val="12"/>
                <w:szCs w:val="12"/>
                <w:color w:val="auto"/>
              </w:rPr>
              <w:t>3.23%</w:t>
            </w:r>
          </w:p>
        </w:tc>
        <w:tc>
          <w:tcPr>
            <w:tcW w:w="1040" w:type="dxa"/>
            <w:vAlign w:val="bottom"/>
            <w:tcBorders>
              <w:top w:val="single" w:sz="8" w:color="auto"/>
            </w:tcBorders>
          </w:tcPr>
          <w:p>
            <w:pPr>
              <w:jc w:val="right"/>
              <w:ind w:right="102"/>
              <w:spacing w:after="0" w:line="122" w:lineRule="exact"/>
              <w:rPr>
                <w:sz w:val="20"/>
                <w:szCs w:val="20"/>
                <w:color w:val="auto"/>
              </w:rPr>
            </w:pPr>
            <w:r>
              <w:rPr>
                <w:rFonts w:ascii="Arial" w:cs="Arial" w:eastAsia="Arial" w:hAnsi="Arial"/>
                <w:sz w:val="12"/>
                <w:szCs w:val="12"/>
                <w:color w:val="auto"/>
              </w:rPr>
              <w:t>10.37%</w:t>
            </w:r>
          </w:p>
        </w:tc>
        <w:tc>
          <w:tcPr>
            <w:tcW w:w="860" w:type="dxa"/>
            <w:vAlign w:val="bottom"/>
            <w:tcBorders>
              <w:top w:val="single" w:sz="8" w:color="auto"/>
              <w:right w:val="single" w:sz="8" w:color="auto"/>
            </w:tcBorders>
          </w:tcPr>
          <w:p>
            <w:pPr>
              <w:jc w:val="right"/>
              <w:spacing w:after="0" w:line="122" w:lineRule="exact"/>
              <w:rPr>
                <w:sz w:val="20"/>
                <w:szCs w:val="20"/>
                <w:color w:val="auto"/>
              </w:rPr>
            </w:pPr>
            <w:r>
              <w:rPr>
                <w:rFonts w:ascii="Arial" w:cs="Arial" w:eastAsia="Arial" w:hAnsi="Arial"/>
                <w:sz w:val="12"/>
                <w:szCs w:val="12"/>
                <w:color w:val="auto"/>
              </w:rPr>
              <w:t>2.77%</w:t>
            </w:r>
          </w:p>
        </w:tc>
        <w:tc>
          <w:tcPr>
            <w:tcW w:w="1020" w:type="dxa"/>
            <w:vAlign w:val="bottom"/>
            <w:tcBorders>
              <w:top w:val="single" w:sz="8" w:color="auto"/>
              <w:right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3.73%</w:t>
            </w:r>
          </w:p>
        </w:tc>
        <w:tc>
          <w:tcPr>
            <w:tcW w:w="0" w:type="dxa"/>
            <w:vAlign w:val="bottom"/>
          </w:tcPr>
          <w:p>
            <w:pPr>
              <w:spacing w:after="0"/>
              <w:rPr>
                <w:sz w:val="1"/>
                <w:szCs w:val="1"/>
                <w:color w:val="auto"/>
              </w:rPr>
            </w:pPr>
          </w:p>
        </w:tc>
      </w:tr>
      <w:tr>
        <w:trPr>
          <w:trHeight w:val="130"/>
        </w:trPr>
        <w:tc>
          <w:tcPr>
            <w:tcW w:w="4980" w:type="dxa"/>
            <w:vAlign w:val="bottom"/>
            <w:tcBorders>
              <w:left w:val="single" w:sz="8" w:color="auto"/>
              <w:right w:val="single" w:sz="8" w:color="auto"/>
            </w:tcBorders>
          </w:tcPr>
          <w:p>
            <w:pPr>
              <w:ind w:left="2360"/>
              <w:spacing w:after="0" w:line="130" w:lineRule="exact"/>
              <w:rPr>
                <w:sz w:val="20"/>
                <w:szCs w:val="20"/>
                <w:color w:val="auto"/>
              </w:rPr>
            </w:pPr>
            <w:r>
              <w:rPr>
                <w:rFonts w:ascii="Arial" w:cs="Arial" w:eastAsia="Arial" w:hAnsi="Arial"/>
                <w:sz w:val="12"/>
                <w:szCs w:val="12"/>
                <w:b w:val="1"/>
                <w:bCs w:val="1"/>
                <w:color w:val="auto"/>
              </w:rPr>
              <w:t>4Q21</w:t>
            </w:r>
          </w:p>
        </w:tc>
        <w:tc>
          <w:tcPr>
            <w:tcW w:w="1120" w:type="dxa"/>
            <w:vAlign w:val="bottom"/>
          </w:tcPr>
          <w:p>
            <w:pPr>
              <w:jc w:val="right"/>
              <w:ind w:right="62"/>
              <w:spacing w:after="0" w:line="130" w:lineRule="exact"/>
              <w:rPr>
                <w:sz w:val="20"/>
                <w:szCs w:val="20"/>
                <w:color w:val="auto"/>
              </w:rPr>
            </w:pPr>
            <w:r>
              <w:rPr>
                <w:rFonts w:ascii="Arial" w:cs="Arial" w:eastAsia="Arial" w:hAnsi="Arial"/>
                <w:sz w:val="12"/>
                <w:szCs w:val="12"/>
                <w:color w:val="auto"/>
              </w:rPr>
              <w:t>3.68%</w:t>
            </w:r>
          </w:p>
        </w:tc>
        <w:tc>
          <w:tcPr>
            <w:tcW w:w="1040" w:type="dxa"/>
            <w:vAlign w:val="bottom"/>
          </w:tcPr>
          <w:p>
            <w:pPr>
              <w:jc w:val="right"/>
              <w:ind w:right="102"/>
              <w:spacing w:after="0" w:line="130" w:lineRule="exact"/>
              <w:rPr>
                <w:sz w:val="20"/>
                <w:szCs w:val="20"/>
                <w:color w:val="auto"/>
              </w:rPr>
            </w:pPr>
            <w:r>
              <w:rPr>
                <w:rFonts w:ascii="Arial" w:cs="Arial" w:eastAsia="Arial" w:hAnsi="Arial"/>
                <w:sz w:val="12"/>
                <w:szCs w:val="12"/>
                <w:color w:val="auto"/>
              </w:rPr>
              <w:t>12.83%</w:t>
            </w:r>
          </w:p>
        </w:tc>
        <w:tc>
          <w:tcPr>
            <w:tcW w:w="86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color w:val="auto"/>
              </w:rPr>
              <w:t>2.71%</w:t>
            </w:r>
          </w:p>
        </w:tc>
        <w:tc>
          <w:tcPr>
            <w:tcW w:w="10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4.25%</w:t>
            </w:r>
          </w:p>
        </w:tc>
        <w:tc>
          <w:tcPr>
            <w:tcW w:w="0" w:type="dxa"/>
            <w:vAlign w:val="bottom"/>
          </w:tcPr>
          <w:p>
            <w:pPr>
              <w:spacing w:after="0"/>
              <w:rPr>
                <w:sz w:val="1"/>
                <w:szCs w:val="1"/>
                <w:color w:val="auto"/>
              </w:rPr>
            </w:pPr>
          </w:p>
        </w:tc>
      </w:tr>
      <w:tr>
        <w:trPr>
          <w:trHeight w:val="140"/>
        </w:trPr>
        <w:tc>
          <w:tcPr>
            <w:tcW w:w="4980" w:type="dxa"/>
            <w:vAlign w:val="bottom"/>
            <w:tcBorders>
              <w:left w:val="single" w:sz="8" w:color="auto"/>
              <w:bottom w:val="single" w:sz="8" w:color="auto"/>
              <w:right w:val="single" w:sz="8" w:color="auto"/>
            </w:tcBorders>
          </w:tcPr>
          <w:p>
            <w:pPr>
              <w:ind w:left="2360"/>
              <w:spacing w:after="0"/>
              <w:rPr>
                <w:sz w:val="20"/>
                <w:szCs w:val="20"/>
                <w:color w:val="auto"/>
              </w:rPr>
            </w:pPr>
            <w:r>
              <w:rPr>
                <w:rFonts w:ascii="Arial" w:cs="Arial" w:eastAsia="Arial" w:hAnsi="Arial"/>
                <w:sz w:val="12"/>
                <w:szCs w:val="12"/>
                <w:b w:val="1"/>
                <w:bCs w:val="1"/>
                <w:color w:val="auto"/>
              </w:rPr>
              <w:t>1Q22</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3.85%</w:t>
            </w: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12.71%</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2.76%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4.44%</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9"/>
          <w:szCs w:val="9"/>
          <w:i w:val="1"/>
          <w:iCs w:val="1"/>
          <w:color w:val="auto"/>
        </w:rPr>
        <w:t>NIM: Annualized Net interest income / Average period end and period beginning interest earning assets.</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143"/>
        </w:trPr>
        <w:tc>
          <w:tcPr>
            <w:tcW w:w="610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Risk Adjusted NIM</w:t>
            </w:r>
          </w:p>
        </w:tc>
        <w:tc>
          <w:tcPr>
            <w:tcW w:w="1120" w:type="dxa"/>
            <w:vAlign w:val="bottom"/>
            <w:tcBorders>
              <w:top w:val="single" w:sz="8" w:color="auto"/>
            </w:tcBorders>
            <w:vMerge w:val="restart"/>
            <w:shd w:val="clear" w:color="auto" w:fill="2AD2C9"/>
          </w:tcPr>
          <w:p>
            <w:pPr>
              <w:jc w:val="right"/>
              <w:ind w:right="102"/>
              <w:spacing w:after="0"/>
              <w:rPr>
                <w:sz w:val="20"/>
                <w:szCs w:val="20"/>
                <w:color w:val="auto"/>
              </w:rPr>
            </w:pPr>
            <w:r>
              <w:rPr>
                <w:rFonts w:ascii="Arial" w:cs="Arial" w:eastAsia="Arial" w:hAnsi="Arial"/>
                <w:sz w:val="12"/>
                <w:szCs w:val="12"/>
                <w:b w:val="1"/>
                <w:bCs w:val="1"/>
                <w:color w:val="FFFFFF"/>
                <w:w w:val="96"/>
              </w:rPr>
              <w:t>BCP Stand-alone</w:t>
            </w:r>
          </w:p>
        </w:tc>
        <w:tc>
          <w:tcPr>
            <w:tcW w:w="1040" w:type="dxa"/>
            <w:vAlign w:val="bottom"/>
            <w:tcBorders>
              <w:top w:val="single" w:sz="8" w:color="auto"/>
            </w:tcBorders>
            <w:vMerge w:val="restart"/>
            <w:shd w:val="clear" w:color="auto" w:fill="2AD2C9"/>
          </w:tcPr>
          <w:p>
            <w:pPr>
              <w:jc w:val="right"/>
              <w:ind w:right="382"/>
              <w:spacing w:after="0"/>
              <w:rPr>
                <w:sz w:val="20"/>
                <w:szCs w:val="20"/>
                <w:color w:val="auto"/>
              </w:rPr>
            </w:pPr>
            <w:r>
              <w:rPr>
                <w:rFonts w:ascii="Arial" w:cs="Arial" w:eastAsia="Arial" w:hAnsi="Arial"/>
                <w:sz w:val="12"/>
                <w:szCs w:val="12"/>
                <w:b w:val="1"/>
                <w:bCs w:val="1"/>
                <w:color w:val="FFFFFF"/>
              </w:rPr>
              <w:t>Mibanco</w:t>
            </w:r>
          </w:p>
        </w:tc>
        <w:tc>
          <w:tcPr>
            <w:tcW w:w="860" w:type="dxa"/>
            <w:vAlign w:val="bottom"/>
            <w:tcBorders>
              <w:top w:val="single" w:sz="8" w:color="auto"/>
              <w:right w:val="single" w:sz="8" w:color="auto"/>
            </w:tcBorders>
            <w:shd w:val="clear" w:color="auto" w:fill="2AD2C9"/>
          </w:tcPr>
          <w:p>
            <w:pPr>
              <w:jc w:val="right"/>
              <w:ind w:right="342"/>
              <w:spacing w:after="0"/>
              <w:rPr>
                <w:sz w:val="20"/>
                <w:szCs w:val="20"/>
                <w:color w:val="auto"/>
              </w:rPr>
            </w:pPr>
            <w:r>
              <w:rPr>
                <w:rFonts w:ascii="Arial" w:cs="Arial" w:eastAsia="Arial" w:hAnsi="Arial"/>
                <w:sz w:val="12"/>
                <w:szCs w:val="12"/>
                <w:b w:val="1"/>
                <w:bCs w:val="1"/>
                <w:color w:val="FFFFFF"/>
              </w:rPr>
              <w:t>BCP</w:t>
            </w:r>
          </w:p>
        </w:tc>
        <w:tc>
          <w:tcPr>
            <w:tcW w:w="1020" w:type="dxa"/>
            <w:vAlign w:val="bottom"/>
            <w:tcBorders>
              <w:top w:val="single" w:sz="8" w:color="auto"/>
              <w:right w:val="single" w:sz="8" w:color="auto"/>
            </w:tcBorders>
            <w:vMerge w:val="restart"/>
            <w:shd w:val="clear" w:color="auto" w:fill="2AD2C9"/>
          </w:tcPr>
          <w:p>
            <w:pPr>
              <w:jc w:val="right"/>
              <w:ind w:right="182"/>
              <w:spacing w:after="0"/>
              <w:rPr>
                <w:sz w:val="20"/>
                <w:szCs w:val="20"/>
                <w:color w:val="auto"/>
              </w:rPr>
            </w:pPr>
            <w:r>
              <w:rPr>
                <w:rFonts w:ascii="Arial" w:cs="Arial" w:eastAsia="Arial" w:hAnsi="Arial"/>
                <w:sz w:val="12"/>
                <w:szCs w:val="12"/>
                <w:b w:val="1"/>
                <w:bCs w:val="1"/>
                <w:color w:val="FFFFFF"/>
              </w:rPr>
              <w:t>Credicorp</w:t>
            </w:r>
          </w:p>
        </w:tc>
        <w:tc>
          <w:tcPr>
            <w:tcW w:w="0" w:type="dxa"/>
            <w:vAlign w:val="bottom"/>
          </w:tcPr>
          <w:p>
            <w:pPr>
              <w:spacing w:after="0"/>
              <w:rPr>
                <w:sz w:val="1"/>
                <w:szCs w:val="1"/>
                <w:color w:val="auto"/>
              </w:rPr>
            </w:pPr>
          </w:p>
        </w:tc>
      </w:tr>
      <w:tr>
        <w:trPr>
          <w:trHeight w:val="140"/>
        </w:trPr>
        <w:tc>
          <w:tcPr>
            <w:tcW w:w="6100" w:type="dxa"/>
            <w:vAlign w:val="bottom"/>
            <w:tcBorders>
              <w:left w:val="single" w:sz="8" w:color="auto"/>
              <w:bottom w:val="single" w:sz="8" w:color="2AD2C9"/>
              <w:right w:val="single" w:sz="8" w:color="auto"/>
            </w:tcBorders>
            <w:shd w:val="clear" w:color="auto" w:fill="2AD2C9"/>
          </w:tcPr>
          <w:p>
            <w:pPr>
              <w:ind w:left="20"/>
              <w:spacing w:after="0"/>
              <w:rPr>
                <w:sz w:val="20"/>
                <w:szCs w:val="20"/>
                <w:color w:val="auto"/>
              </w:rPr>
            </w:pPr>
            <w:r>
              <w:rPr>
                <w:rFonts w:ascii="Arial" w:cs="Arial" w:eastAsia="Arial" w:hAnsi="Arial"/>
                <w:sz w:val="12"/>
                <w:szCs w:val="12"/>
                <w:b w:val="1"/>
                <w:bCs w:val="1"/>
                <w:color w:val="FFFFFF"/>
              </w:rPr>
              <w:t>Breakdown</w:t>
            </w:r>
          </w:p>
        </w:tc>
        <w:tc>
          <w:tcPr>
            <w:tcW w:w="1120" w:type="dxa"/>
            <w:vAlign w:val="bottom"/>
            <w:tcBorders>
              <w:bottom w:val="single" w:sz="8" w:color="2AD2C9"/>
            </w:tcBorders>
            <w:vMerge w:val="continue"/>
            <w:shd w:val="clear" w:color="auto" w:fill="2AD2C9"/>
          </w:tcPr>
          <w:p>
            <w:pPr>
              <w:spacing w:after="0"/>
              <w:rPr>
                <w:sz w:val="12"/>
                <w:szCs w:val="12"/>
                <w:color w:val="auto"/>
              </w:rPr>
            </w:pPr>
          </w:p>
        </w:tc>
        <w:tc>
          <w:tcPr>
            <w:tcW w:w="1040" w:type="dxa"/>
            <w:vAlign w:val="bottom"/>
            <w:tcBorders>
              <w:bottom w:val="single" w:sz="8" w:color="2AD2C9"/>
            </w:tcBorders>
            <w:vMerge w:val="continue"/>
            <w:shd w:val="clear" w:color="auto" w:fill="2AD2C9"/>
          </w:tcPr>
          <w:p>
            <w:pPr>
              <w:spacing w:after="0"/>
              <w:rPr>
                <w:sz w:val="12"/>
                <w:szCs w:val="12"/>
                <w:color w:val="auto"/>
              </w:rPr>
            </w:pPr>
          </w:p>
        </w:tc>
        <w:tc>
          <w:tcPr>
            <w:tcW w:w="860" w:type="dxa"/>
            <w:vAlign w:val="bottom"/>
            <w:tcBorders>
              <w:bottom w:val="single" w:sz="8" w:color="2AD2C9"/>
              <w:right w:val="single" w:sz="8" w:color="auto"/>
            </w:tcBorders>
            <w:shd w:val="clear" w:color="auto" w:fill="2AD2C9"/>
          </w:tcPr>
          <w:p>
            <w:pPr>
              <w:jc w:val="right"/>
              <w:ind w:right="262"/>
              <w:spacing w:after="0"/>
              <w:rPr>
                <w:sz w:val="20"/>
                <w:szCs w:val="20"/>
                <w:color w:val="auto"/>
              </w:rPr>
            </w:pPr>
            <w:r>
              <w:rPr>
                <w:rFonts w:ascii="Arial" w:cs="Arial" w:eastAsia="Arial" w:hAnsi="Arial"/>
                <w:sz w:val="12"/>
                <w:szCs w:val="12"/>
                <w:b w:val="1"/>
                <w:bCs w:val="1"/>
                <w:color w:val="FFFFFF"/>
              </w:rPr>
              <w:t>Bolivia</w:t>
            </w:r>
          </w:p>
        </w:tc>
        <w:tc>
          <w:tcPr>
            <w:tcW w:w="1020" w:type="dxa"/>
            <w:vAlign w:val="bottom"/>
            <w:tcBorders>
              <w:bottom w:val="single" w:sz="8" w:color="2AD2C9"/>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6100" w:type="dxa"/>
            <w:vAlign w:val="bottom"/>
            <w:tcBorders>
              <w:top w:val="single" w:sz="8" w:color="auto"/>
              <w:left w:val="single" w:sz="8" w:color="auto"/>
              <w:right w:val="single" w:sz="8" w:color="auto"/>
            </w:tcBorders>
          </w:tcPr>
          <w:p>
            <w:pPr>
              <w:ind w:left="2920"/>
              <w:spacing w:after="0" w:line="122" w:lineRule="exact"/>
              <w:rPr>
                <w:sz w:val="20"/>
                <w:szCs w:val="20"/>
                <w:color w:val="auto"/>
              </w:rPr>
            </w:pPr>
            <w:r>
              <w:rPr>
                <w:rFonts w:ascii="Arial" w:cs="Arial" w:eastAsia="Arial" w:hAnsi="Arial"/>
                <w:sz w:val="12"/>
                <w:szCs w:val="12"/>
                <w:b w:val="1"/>
                <w:bCs w:val="1"/>
                <w:color w:val="auto"/>
              </w:rPr>
              <w:t>1Q21</w:t>
            </w:r>
          </w:p>
        </w:tc>
        <w:tc>
          <w:tcPr>
            <w:tcW w:w="1120" w:type="dxa"/>
            <w:vAlign w:val="bottom"/>
            <w:tcBorders>
              <w:top w:val="single" w:sz="8" w:color="auto"/>
            </w:tcBorders>
          </w:tcPr>
          <w:p>
            <w:pPr>
              <w:jc w:val="right"/>
              <w:ind w:right="62"/>
              <w:spacing w:after="0" w:line="122" w:lineRule="exact"/>
              <w:rPr>
                <w:sz w:val="20"/>
                <w:szCs w:val="20"/>
                <w:color w:val="auto"/>
              </w:rPr>
            </w:pPr>
            <w:r>
              <w:rPr>
                <w:rFonts w:ascii="Arial" w:cs="Arial" w:eastAsia="Arial" w:hAnsi="Arial"/>
                <w:sz w:val="12"/>
                <w:szCs w:val="12"/>
                <w:color w:val="auto"/>
              </w:rPr>
              <w:t>2.37%</w:t>
            </w:r>
          </w:p>
        </w:tc>
        <w:tc>
          <w:tcPr>
            <w:tcW w:w="1040" w:type="dxa"/>
            <w:vAlign w:val="bottom"/>
            <w:tcBorders>
              <w:top w:val="single" w:sz="8" w:color="auto"/>
            </w:tcBorders>
          </w:tcPr>
          <w:p>
            <w:pPr>
              <w:jc w:val="right"/>
              <w:ind w:right="102"/>
              <w:spacing w:after="0" w:line="122" w:lineRule="exact"/>
              <w:rPr>
                <w:sz w:val="20"/>
                <w:szCs w:val="20"/>
                <w:color w:val="auto"/>
              </w:rPr>
            </w:pPr>
            <w:r>
              <w:rPr>
                <w:rFonts w:ascii="Arial" w:cs="Arial" w:eastAsia="Arial" w:hAnsi="Arial"/>
                <w:sz w:val="12"/>
                <w:szCs w:val="12"/>
                <w:color w:val="auto"/>
              </w:rPr>
              <w:t>6.81%</w:t>
            </w:r>
          </w:p>
        </w:tc>
        <w:tc>
          <w:tcPr>
            <w:tcW w:w="860" w:type="dxa"/>
            <w:vAlign w:val="bottom"/>
            <w:tcBorders>
              <w:top w:val="single" w:sz="8" w:color="auto"/>
              <w:right w:val="single" w:sz="8" w:color="auto"/>
            </w:tcBorders>
          </w:tcPr>
          <w:p>
            <w:pPr>
              <w:jc w:val="right"/>
              <w:spacing w:after="0" w:line="122" w:lineRule="exact"/>
              <w:rPr>
                <w:sz w:val="20"/>
                <w:szCs w:val="20"/>
                <w:color w:val="auto"/>
              </w:rPr>
            </w:pPr>
            <w:r>
              <w:rPr>
                <w:rFonts w:ascii="Arial" w:cs="Arial" w:eastAsia="Arial" w:hAnsi="Arial"/>
                <w:sz w:val="12"/>
                <w:szCs w:val="12"/>
                <w:color w:val="auto"/>
              </w:rPr>
              <w:t>1.90%</w:t>
            </w:r>
          </w:p>
        </w:tc>
        <w:tc>
          <w:tcPr>
            <w:tcW w:w="1020" w:type="dxa"/>
            <w:vAlign w:val="bottom"/>
            <w:tcBorders>
              <w:top w:val="single" w:sz="8" w:color="auto"/>
              <w:right w:val="single" w:sz="8" w:color="auto"/>
            </w:tcBorders>
          </w:tcPr>
          <w:p>
            <w:pPr>
              <w:jc w:val="right"/>
              <w:spacing w:after="0" w:line="122" w:lineRule="exact"/>
              <w:rPr>
                <w:sz w:val="20"/>
                <w:szCs w:val="20"/>
                <w:color w:val="auto"/>
              </w:rPr>
            </w:pPr>
            <w:r>
              <w:rPr>
                <w:rFonts w:ascii="Arial" w:cs="Arial" w:eastAsia="Arial" w:hAnsi="Arial"/>
                <w:sz w:val="12"/>
                <w:szCs w:val="12"/>
                <w:b w:val="1"/>
                <w:bCs w:val="1"/>
                <w:color w:val="auto"/>
              </w:rPr>
              <w:t>2.75%</w:t>
            </w:r>
          </w:p>
        </w:tc>
        <w:tc>
          <w:tcPr>
            <w:tcW w:w="0" w:type="dxa"/>
            <w:vAlign w:val="bottom"/>
          </w:tcPr>
          <w:p>
            <w:pPr>
              <w:spacing w:after="0"/>
              <w:rPr>
                <w:sz w:val="1"/>
                <w:szCs w:val="1"/>
                <w:color w:val="auto"/>
              </w:rPr>
            </w:pPr>
          </w:p>
        </w:tc>
      </w:tr>
      <w:tr>
        <w:trPr>
          <w:trHeight w:val="130"/>
        </w:trPr>
        <w:tc>
          <w:tcPr>
            <w:tcW w:w="6100" w:type="dxa"/>
            <w:vAlign w:val="bottom"/>
            <w:tcBorders>
              <w:left w:val="single" w:sz="8" w:color="auto"/>
              <w:right w:val="single" w:sz="8" w:color="auto"/>
            </w:tcBorders>
          </w:tcPr>
          <w:p>
            <w:pPr>
              <w:ind w:left="2920"/>
              <w:spacing w:after="0" w:line="130" w:lineRule="exact"/>
              <w:rPr>
                <w:sz w:val="20"/>
                <w:szCs w:val="20"/>
                <w:color w:val="auto"/>
              </w:rPr>
            </w:pPr>
            <w:r>
              <w:rPr>
                <w:rFonts w:ascii="Arial" w:cs="Arial" w:eastAsia="Arial" w:hAnsi="Arial"/>
                <w:sz w:val="12"/>
                <w:szCs w:val="12"/>
                <w:b w:val="1"/>
                <w:bCs w:val="1"/>
                <w:color w:val="auto"/>
              </w:rPr>
              <w:t>4Q21</w:t>
            </w:r>
          </w:p>
        </w:tc>
        <w:tc>
          <w:tcPr>
            <w:tcW w:w="1120" w:type="dxa"/>
            <w:vAlign w:val="bottom"/>
          </w:tcPr>
          <w:p>
            <w:pPr>
              <w:jc w:val="right"/>
              <w:ind w:right="62"/>
              <w:spacing w:after="0" w:line="130" w:lineRule="exact"/>
              <w:rPr>
                <w:sz w:val="20"/>
                <w:szCs w:val="20"/>
                <w:color w:val="auto"/>
              </w:rPr>
            </w:pPr>
            <w:r>
              <w:rPr>
                <w:rFonts w:ascii="Arial" w:cs="Arial" w:eastAsia="Arial" w:hAnsi="Arial"/>
                <w:sz w:val="12"/>
                <w:szCs w:val="12"/>
                <w:color w:val="auto"/>
              </w:rPr>
              <w:t>3.48%</w:t>
            </w:r>
          </w:p>
        </w:tc>
        <w:tc>
          <w:tcPr>
            <w:tcW w:w="1040" w:type="dxa"/>
            <w:vAlign w:val="bottom"/>
          </w:tcPr>
          <w:p>
            <w:pPr>
              <w:jc w:val="right"/>
              <w:ind w:right="102"/>
              <w:spacing w:after="0" w:line="130" w:lineRule="exact"/>
              <w:rPr>
                <w:sz w:val="20"/>
                <w:szCs w:val="20"/>
                <w:color w:val="auto"/>
              </w:rPr>
            </w:pPr>
            <w:r>
              <w:rPr>
                <w:rFonts w:ascii="Arial" w:cs="Arial" w:eastAsia="Arial" w:hAnsi="Arial"/>
                <w:sz w:val="12"/>
                <w:szCs w:val="12"/>
                <w:color w:val="auto"/>
              </w:rPr>
              <w:t>11.81%</w:t>
            </w:r>
          </w:p>
        </w:tc>
        <w:tc>
          <w:tcPr>
            <w:tcW w:w="86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color w:val="auto"/>
              </w:rPr>
              <w:t>2.45%</w:t>
            </w:r>
          </w:p>
        </w:tc>
        <w:tc>
          <w:tcPr>
            <w:tcW w:w="102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4.04%</w:t>
            </w:r>
          </w:p>
        </w:tc>
        <w:tc>
          <w:tcPr>
            <w:tcW w:w="0" w:type="dxa"/>
            <w:vAlign w:val="bottom"/>
          </w:tcPr>
          <w:p>
            <w:pPr>
              <w:spacing w:after="0"/>
              <w:rPr>
                <w:sz w:val="1"/>
                <w:szCs w:val="1"/>
                <w:color w:val="auto"/>
              </w:rPr>
            </w:pPr>
          </w:p>
        </w:tc>
      </w:tr>
      <w:tr>
        <w:trPr>
          <w:trHeight w:val="140"/>
        </w:trPr>
        <w:tc>
          <w:tcPr>
            <w:tcW w:w="6100" w:type="dxa"/>
            <w:vAlign w:val="bottom"/>
            <w:tcBorders>
              <w:left w:val="single" w:sz="8" w:color="auto"/>
              <w:bottom w:val="single" w:sz="8" w:color="auto"/>
              <w:right w:val="single" w:sz="8" w:color="auto"/>
            </w:tcBorders>
          </w:tcPr>
          <w:p>
            <w:pPr>
              <w:ind w:left="2920"/>
              <w:spacing w:after="0"/>
              <w:rPr>
                <w:sz w:val="20"/>
                <w:szCs w:val="20"/>
                <w:color w:val="auto"/>
              </w:rPr>
            </w:pPr>
            <w:r>
              <w:rPr>
                <w:rFonts w:ascii="Arial" w:cs="Arial" w:eastAsia="Arial" w:hAnsi="Arial"/>
                <w:sz w:val="12"/>
                <w:szCs w:val="12"/>
                <w:b w:val="1"/>
                <w:bCs w:val="1"/>
                <w:color w:val="auto"/>
              </w:rPr>
              <w:t>1Q22</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3.52%</w:t>
            </w: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10.10%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2.86%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3.99%</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i w:val="1"/>
          <w:iCs w:val="1"/>
          <w:color w:val="auto"/>
        </w:rPr>
        <w:t>Risk-Adjusted NIM: (Annualized Net interest income - annualized provisions) / Average period end and period beginning interest earning assets.</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50" w:name="page51"/>
    <w:bookmarkEnd w:id="50"/>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12.4. Regulatory Capital</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Adequary Ratios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 / thousands, IFRS)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339"/>
        </w:trPr>
        <w:tc>
          <w:tcPr>
            <w:tcW w:w="6160" w:type="dxa"/>
            <w:vAlign w:val="bottom"/>
            <w:tcBorders>
              <w:right w:val="single" w:sz="8" w:color="auto"/>
            </w:tcBorders>
          </w:tcPr>
          <w:p>
            <w:pPr>
              <w:spacing w:after="0"/>
              <w:rPr>
                <w:sz w:val="24"/>
                <w:szCs w:val="24"/>
                <w:color w:val="auto"/>
              </w:rPr>
            </w:pPr>
          </w:p>
        </w:tc>
        <w:tc>
          <w:tcPr>
            <w:tcW w:w="1380" w:type="dxa"/>
            <w:vAlign w:val="bottom"/>
            <w:tcBorders>
              <w:top w:val="single" w:sz="8" w:color="auto"/>
            </w:tcBorders>
            <w:vMerge w:val="restart"/>
            <w:shd w:val="clear" w:color="auto" w:fill="2AD2C9"/>
          </w:tcPr>
          <w:p>
            <w:pPr>
              <w:jc w:val="right"/>
              <w:ind w:right="441"/>
              <w:spacing w:after="0"/>
              <w:rPr>
                <w:sz w:val="20"/>
                <w:szCs w:val="20"/>
                <w:color w:val="auto"/>
              </w:rPr>
            </w:pPr>
            <w:r>
              <w:rPr>
                <w:rFonts w:ascii="Arial" w:cs="Arial" w:eastAsia="Arial" w:hAnsi="Arial"/>
                <w:sz w:val="16"/>
                <w:szCs w:val="16"/>
                <w:b w:val="1"/>
                <w:bCs w:val="1"/>
                <w:color w:val="FFFFFF"/>
              </w:rPr>
              <w:t>Mar 21</w:t>
            </w:r>
          </w:p>
        </w:tc>
        <w:tc>
          <w:tcPr>
            <w:tcW w:w="1220" w:type="dxa"/>
            <w:vAlign w:val="bottom"/>
            <w:tcBorders>
              <w:top w:val="single" w:sz="8" w:color="auto"/>
            </w:tcBorders>
            <w:shd w:val="clear" w:color="auto" w:fill="2AD2C9"/>
          </w:tcPr>
          <w:p>
            <w:pPr>
              <w:jc w:val="right"/>
              <w:ind w:right="501"/>
              <w:spacing w:after="0"/>
              <w:rPr>
                <w:sz w:val="20"/>
                <w:szCs w:val="20"/>
                <w:color w:val="auto"/>
              </w:rPr>
            </w:pPr>
            <w:r>
              <w:rPr>
                <w:rFonts w:ascii="Arial" w:cs="Arial" w:eastAsia="Arial" w:hAnsi="Arial"/>
                <w:sz w:val="16"/>
                <w:szCs w:val="16"/>
                <w:b w:val="1"/>
                <w:bCs w:val="1"/>
                <w:color w:val="FFFFFF"/>
              </w:rPr>
              <w:t>As of</w:t>
            </w:r>
          </w:p>
        </w:tc>
        <w:tc>
          <w:tcPr>
            <w:tcW w:w="1060" w:type="dxa"/>
            <w:vAlign w:val="bottom"/>
            <w:tcBorders>
              <w:top w:val="single" w:sz="8" w:color="auto"/>
              <w:right w:val="single" w:sz="8" w:color="auto"/>
            </w:tcBorders>
            <w:vMerge w:val="restart"/>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Mar 22</w:t>
            </w:r>
          </w:p>
        </w:tc>
        <w:tc>
          <w:tcPr>
            <w:tcW w:w="1460" w:type="dxa"/>
            <w:vAlign w:val="bottom"/>
            <w:tcBorders>
              <w:top w:val="single" w:sz="8" w:color="auto"/>
              <w:right w:val="single" w:sz="8" w:color="auto"/>
            </w:tcBorders>
            <w:gridSpan w:val="2"/>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160" w:type="dxa"/>
            <w:vAlign w:val="bottom"/>
            <w:tcBorders>
              <w:bottom w:val="single" w:sz="8" w:color="auto"/>
              <w:right w:val="single" w:sz="8" w:color="auto"/>
            </w:tcBorders>
          </w:tcPr>
          <w:p>
            <w:pPr>
              <w:spacing w:after="0"/>
              <w:rPr>
                <w:sz w:val="16"/>
                <w:szCs w:val="16"/>
                <w:color w:val="auto"/>
              </w:rPr>
            </w:pPr>
          </w:p>
        </w:tc>
        <w:tc>
          <w:tcPr>
            <w:tcW w:w="1380" w:type="dxa"/>
            <w:vAlign w:val="bottom"/>
            <w:tcBorders>
              <w:bottom w:val="single" w:sz="8" w:color="auto"/>
            </w:tcBorders>
            <w:vMerge w:val="continue"/>
            <w:shd w:val="clear" w:color="auto" w:fill="2AD2C9"/>
          </w:tcPr>
          <w:p>
            <w:pPr>
              <w:spacing w:after="0"/>
              <w:rPr>
                <w:sz w:val="16"/>
                <w:szCs w:val="16"/>
                <w:color w:val="auto"/>
              </w:rPr>
            </w:pPr>
          </w:p>
        </w:tc>
        <w:tc>
          <w:tcPr>
            <w:tcW w:w="1220" w:type="dxa"/>
            <w:vAlign w:val="bottom"/>
            <w:tcBorders>
              <w:bottom w:val="single" w:sz="8" w:color="auto"/>
            </w:tcBorders>
            <w:shd w:val="clear" w:color="auto" w:fill="2AD2C9"/>
          </w:tcPr>
          <w:p>
            <w:pPr>
              <w:jc w:val="right"/>
              <w:ind w:right="441"/>
              <w:spacing w:after="0"/>
              <w:rPr>
                <w:sz w:val="20"/>
                <w:szCs w:val="20"/>
                <w:color w:val="auto"/>
              </w:rPr>
            </w:pPr>
            <w:r>
              <w:rPr>
                <w:rFonts w:ascii="Arial" w:cs="Arial" w:eastAsia="Arial" w:hAnsi="Arial"/>
                <w:sz w:val="16"/>
                <w:szCs w:val="16"/>
                <w:b w:val="1"/>
                <w:bCs w:val="1"/>
                <w:color w:val="FFFFFF"/>
              </w:rPr>
              <w:t>Dec 21</w:t>
            </w:r>
          </w:p>
        </w:tc>
        <w:tc>
          <w:tcPr>
            <w:tcW w:w="106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820" w:type="dxa"/>
            <w:vAlign w:val="bottom"/>
            <w:tcBorders>
              <w:bottom w:val="single" w:sz="8" w:color="auto"/>
            </w:tcBorders>
            <w:shd w:val="clear" w:color="auto" w:fill="2AD2C9"/>
          </w:tcPr>
          <w:p>
            <w:pPr>
              <w:jc w:val="right"/>
              <w:ind w:right="221"/>
              <w:spacing w:after="0"/>
              <w:rPr>
                <w:sz w:val="20"/>
                <w:szCs w:val="20"/>
                <w:color w:val="auto"/>
              </w:rPr>
            </w:pPr>
            <w:r>
              <w:rPr>
                <w:rFonts w:ascii="Arial" w:cs="Arial" w:eastAsia="Arial" w:hAnsi="Arial"/>
                <w:sz w:val="16"/>
                <w:szCs w:val="16"/>
                <w:b w:val="1"/>
                <w:bCs w:val="1"/>
                <w:color w:val="FFFFFF"/>
              </w:rPr>
              <w:t>QoQ</w:t>
            </w:r>
          </w:p>
        </w:tc>
        <w:tc>
          <w:tcPr>
            <w:tcW w:w="640" w:type="dxa"/>
            <w:vAlign w:val="bottom"/>
            <w:tcBorders>
              <w:bottom w:val="single" w:sz="8" w:color="auto"/>
              <w:right w:val="single" w:sz="8" w:color="auto"/>
            </w:tcBorders>
            <w:shd w:val="clear" w:color="auto" w:fill="2AD2C9"/>
          </w:tcPr>
          <w:p>
            <w:pPr>
              <w:jc w:val="right"/>
              <w:ind w:right="1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1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Capital Stock</w:t>
            </w:r>
          </w:p>
        </w:tc>
        <w:tc>
          <w:tcPr>
            <w:tcW w:w="138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1,318,993</w:t>
            </w:r>
          </w:p>
        </w:tc>
        <w:tc>
          <w:tcPr>
            <w:tcW w:w="1220" w:type="dxa"/>
            <w:vAlign w:val="bottom"/>
          </w:tcPr>
          <w:p>
            <w:pPr>
              <w:jc w:val="right"/>
              <w:ind w:right="101"/>
              <w:spacing w:after="0" w:line="155" w:lineRule="exact"/>
              <w:rPr>
                <w:sz w:val="20"/>
                <w:szCs w:val="20"/>
                <w:color w:val="auto"/>
              </w:rPr>
            </w:pPr>
            <w:r>
              <w:rPr>
                <w:rFonts w:ascii="Arial" w:cs="Arial" w:eastAsia="Arial" w:hAnsi="Arial"/>
                <w:sz w:val="16"/>
                <w:szCs w:val="16"/>
                <w:color w:val="auto"/>
              </w:rPr>
              <w:t>1,318,993</w:t>
            </w:r>
          </w:p>
        </w:tc>
        <w:tc>
          <w:tcPr>
            <w:tcW w:w="10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1,318,993</w:t>
            </w:r>
          </w:p>
        </w:tc>
        <w:tc>
          <w:tcPr>
            <w:tcW w:w="820" w:type="dxa"/>
            <w:vAlign w:val="bottom"/>
          </w:tcPr>
          <w:p>
            <w:pPr>
              <w:jc w:val="right"/>
              <w:ind w:right="21"/>
              <w:spacing w:after="0" w:line="155" w:lineRule="exact"/>
              <w:rPr>
                <w:sz w:val="20"/>
                <w:szCs w:val="20"/>
                <w:color w:val="auto"/>
              </w:rPr>
            </w:pPr>
            <w:r>
              <w:rPr>
                <w:rFonts w:ascii="Arial" w:cs="Arial" w:eastAsia="Arial" w:hAnsi="Arial"/>
                <w:sz w:val="16"/>
                <w:szCs w:val="16"/>
                <w:color w:val="auto"/>
              </w:rPr>
              <w:t>0.0%</w:t>
            </w:r>
          </w:p>
        </w:tc>
        <w:tc>
          <w:tcPr>
            <w:tcW w:w="6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Treasury Stocks</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(207,840)</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(207,538)</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(207,700)</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0.1%</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9"/>
        </w:trPr>
        <w:tc>
          <w:tcPr>
            <w:tcW w:w="61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Capital Surplus</w:t>
            </w:r>
          </w:p>
        </w:tc>
        <w:tc>
          <w:tcPr>
            <w:tcW w:w="1380" w:type="dxa"/>
            <w:vAlign w:val="bottom"/>
          </w:tcPr>
          <w:p>
            <w:pPr>
              <w:jc w:val="right"/>
              <w:ind w:right="81"/>
              <w:spacing w:after="0" w:line="169" w:lineRule="exact"/>
              <w:rPr>
                <w:sz w:val="20"/>
                <w:szCs w:val="20"/>
                <w:color w:val="auto"/>
              </w:rPr>
            </w:pPr>
            <w:r>
              <w:rPr>
                <w:rFonts w:ascii="Arial" w:cs="Arial" w:eastAsia="Arial" w:hAnsi="Arial"/>
                <w:sz w:val="16"/>
                <w:szCs w:val="16"/>
                <w:color w:val="auto"/>
              </w:rPr>
              <w:t>224,591</w:t>
            </w:r>
          </w:p>
        </w:tc>
        <w:tc>
          <w:tcPr>
            <w:tcW w:w="122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228,857</w:t>
            </w:r>
          </w:p>
        </w:tc>
        <w:tc>
          <w:tcPr>
            <w:tcW w:w="10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227,361</w:t>
            </w:r>
          </w:p>
        </w:tc>
        <w:tc>
          <w:tcPr>
            <w:tcW w:w="820" w:type="dxa"/>
            <w:vAlign w:val="bottom"/>
          </w:tcPr>
          <w:p>
            <w:pPr>
              <w:jc w:val="right"/>
              <w:ind w:right="21"/>
              <w:spacing w:after="0" w:line="169" w:lineRule="exact"/>
              <w:rPr>
                <w:sz w:val="20"/>
                <w:szCs w:val="20"/>
                <w:color w:val="auto"/>
              </w:rPr>
            </w:pPr>
            <w:r>
              <w:rPr>
                <w:rFonts w:ascii="Arial" w:cs="Arial" w:eastAsia="Arial" w:hAnsi="Arial"/>
                <w:sz w:val="16"/>
                <w:szCs w:val="16"/>
                <w:color w:val="auto"/>
              </w:rPr>
              <w:t>-0.7%</w:t>
            </w:r>
          </w:p>
        </w:tc>
        <w:tc>
          <w:tcPr>
            <w:tcW w:w="6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Legal and Other capital reserves </w:t>
            </w:r>
            <w:r>
              <w:rPr>
                <w:rFonts w:ascii="Arial" w:cs="Arial" w:eastAsia="Arial" w:hAnsi="Arial"/>
                <w:sz w:val="20"/>
                <w:szCs w:val="20"/>
                <w:color w:val="auto"/>
                <w:vertAlign w:val="superscript"/>
              </w:rPr>
              <w:t>(1)</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21,707,166</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21,364,272</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21,292,614</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-0.3%</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Minority interest </w:t>
            </w:r>
            <w:r>
              <w:rPr>
                <w:rFonts w:ascii="Arial" w:cs="Arial" w:eastAsia="Arial" w:hAnsi="Arial"/>
                <w:sz w:val="20"/>
                <w:szCs w:val="20"/>
                <w:color w:val="auto"/>
                <w:vertAlign w:val="superscript"/>
              </w:rPr>
              <w:t>(2)</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456,849</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420,062</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493,113</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17.4%</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8"/>
        </w:trPr>
        <w:tc>
          <w:tcPr>
            <w:tcW w:w="616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Loan loss reserves </w:t>
            </w:r>
            <w:r>
              <w:rPr>
                <w:rFonts w:ascii="Arial" w:cs="Arial" w:eastAsia="Arial" w:hAnsi="Arial"/>
                <w:sz w:val="20"/>
                <w:szCs w:val="20"/>
                <w:color w:val="auto"/>
                <w:vertAlign w:val="superscript"/>
              </w:rPr>
              <w:t>(3)</w:t>
            </w:r>
          </w:p>
        </w:tc>
        <w:tc>
          <w:tcPr>
            <w:tcW w:w="138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1,809,048</w:t>
            </w:r>
          </w:p>
        </w:tc>
        <w:tc>
          <w:tcPr>
            <w:tcW w:w="1220" w:type="dxa"/>
            <w:vAlign w:val="bottom"/>
          </w:tcPr>
          <w:p>
            <w:pPr>
              <w:jc w:val="right"/>
              <w:ind w:right="101"/>
              <w:spacing w:after="0" w:line="178" w:lineRule="exact"/>
              <w:rPr>
                <w:sz w:val="20"/>
                <w:szCs w:val="20"/>
                <w:color w:val="auto"/>
              </w:rPr>
            </w:pPr>
            <w:r>
              <w:rPr>
                <w:rFonts w:ascii="Arial" w:cs="Arial" w:eastAsia="Arial" w:hAnsi="Arial"/>
                <w:sz w:val="16"/>
                <w:szCs w:val="16"/>
                <w:color w:val="auto"/>
              </w:rPr>
              <w:t>2,001,065</w:t>
            </w:r>
          </w:p>
        </w:tc>
        <w:tc>
          <w:tcPr>
            <w:tcW w:w="10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1,971,343</w:t>
            </w:r>
          </w:p>
        </w:tc>
        <w:tc>
          <w:tcPr>
            <w:tcW w:w="820" w:type="dxa"/>
            <w:vAlign w:val="bottom"/>
          </w:tcPr>
          <w:p>
            <w:pPr>
              <w:jc w:val="right"/>
              <w:ind w:right="21"/>
              <w:spacing w:after="0" w:line="178" w:lineRule="exact"/>
              <w:rPr>
                <w:sz w:val="20"/>
                <w:szCs w:val="20"/>
                <w:color w:val="auto"/>
              </w:rPr>
            </w:pPr>
            <w:r>
              <w:rPr>
                <w:rFonts w:ascii="Arial" w:cs="Arial" w:eastAsia="Arial" w:hAnsi="Arial"/>
                <w:sz w:val="16"/>
                <w:szCs w:val="16"/>
                <w:color w:val="auto"/>
              </w:rPr>
              <w:t>-1.5%</w:t>
            </w:r>
          </w:p>
        </w:tc>
        <w:tc>
          <w:tcPr>
            <w:tcW w:w="6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Perpetual subordinated debt</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01"/>
              <w:spacing w:after="0"/>
              <w:rPr>
                <w:sz w:val="20"/>
                <w:szCs w:val="20"/>
                <w:color w:val="auto"/>
              </w:rPr>
            </w:pPr>
            <w:r>
              <w:rPr>
                <w:rFonts w:ascii="Arial" w:cs="Arial" w:eastAsia="Arial" w:hAnsi="Arial"/>
                <w:sz w:val="13"/>
                <w:szCs w:val="13"/>
                <w:color w:val="auto"/>
              </w:rPr>
              <w:t>-</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Subordinated Debt</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7,118,128</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6,125,315</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5,695,192</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-7.0%</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Investments in equity and subordinated debt of financial and insurance companies</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(735,021)</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(712,518)</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(727,620)</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Goodwill</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(812,242)</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(796,859)</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(809,980)</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1.6%</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69"/>
        </w:trPr>
        <w:tc>
          <w:tcPr>
            <w:tcW w:w="61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Current year Net Loss</w:t>
            </w:r>
          </w:p>
        </w:tc>
        <w:tc>
          <w:tcPr>
            <w:tcW w:w="1380" w:type="dxa"/>
            <w:vAlign w:val="bottom"/>
          </w:tcPr>
          <w:p>
            <w:pPr>
              <w:jc w:val="right"/>
              <w:ind w:right="81"/>
              <w:spacing w:after="0" w:line="169"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line="169" w:lineRule="exact"/>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Deduction for subordinated debt limit (50% of Tier I excluding deductions) </w:t>
            </w:r>
            <w:r>
              <w:rPr>
                <w:rFonts w:ascii="Arial" w:cs="Arial" w:eastAsia="Arial" w:hAnsi="Arial"/>
                <w:sz w:val="20"/>
                <w:szCs w:val="20"/>
                <w:color w:val="auto"/>
                <w:vertAlign w:val="superscript"/>
              </w:rPr>
              <w:t>(4)</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16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Deduction for Tier I Limit (50% of Regulatory capital) </w:t>
            </w:r>
            <w:r>
              <w:rPr>
                <w:rFonts w:ascii="Arial" w:cs="Arial" w:eastAsia="Arial" w:hAnsi="Arial"/>
                <w:sz w:val="22"/>
                <w:szCs w:val="22"/>
                <w:color w:val="auto"/>
                <w:vertAlign w:val="superscript"/>
              </w:rPr>
              <w:t>(4)</w:t>
            </w: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16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Regulatory Capital (A)</w:t>
            </w:r>
          </w:p>
        </w:tc>
        <w:tc>
          <w:tcPr>
            <w:tcW w:w="138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30,879,672</w:t>
            </w:r>
          </w:p>
        </w:tc>
        <w:tc>
          <w:tcPr>
            <w:tcW w:w="122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29,741,649</w:t>
            </w:r>
          </w:p>
        </w:tc>
        <w:tc>
          <w:tcPr>
            <w:tcW w:w="10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29,253,316</w:t>
            </w:r>
          </w:p>
        </w:tc>
        <w:tc>
          <w:tcPr>
            <w:tcW w:w="820" w:type="dxa"/>
            <w:vAlign w:val="bottom"/>
            <w:tcBorders>
              <w:bottom w:val="single" w:sz="8" w:color="auto"/>
            </w:tcBorders>
          </w:tcPr>
          <w:p>
            <w:pPr>
              <w:jc w:val="right"/>
              <w:ind w:right="21"/>
              <w:spacing w:after="0" w:line="174" w:lineRule="exact"/>
              <w:rPr>
                <w:sz w:val="20"/>
                <w:szCs w:val="20"/>
                <w:color w:val="auto"/>
              </w:rPr>
            </w:pPr>
            <w:r>
              <w:rPr>
                <w:rFonts w:ascii="Arial" w:cs="Arial" w:eastAsia="Arial" w:hAnsi="Arial"/>
                <w:sz w:val="16"/>
                <w:szCs w:val="16"/>
                <w:b w:val="1"/>
                <w:bCs w:val="1"/>
                <w:color w:val="auto"/>
              </w:rPr>
              <w:t>-1.6%</w:t>
            </w:r>
          </w:p>
        </w:tc>
        <w:tc>
          <w:tcPr>
            <w:tcW w:w="6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175"/>
        </w:trPr>
        <w:tc>
          <w:tcPr>
            <w:tcW w:w="6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16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 xml:space="preserve">Tier 1 </w:t>
            </w:r>
            <w:r>
              <w:rPr>
                <w:rFonts w:ascii="Arial" w:cs="Arial" w:eastAsia="Arial" w:hAnsi="Arial"/>
                <w:sz w:val="17"/>
                <w:szCs w:val="17"/>
                <w:color w:val="auto"/>
                <w:vertAlign w:val="superscript"/>
              </w:rPr>
              <w:t>(5)</w:t>
            </w:r>
          </w:p>
        </w:tc>
        <w:tc>
          <w:tcPr>
            <w:tcW w:w="1380" w:type="dxa"/>
            <w:vAlign w:val="bottom"/>
          </w:tcPr>
          <w:p>
            <w:pPr>
              <w:jc w:val="right"/>
              <w:ind w:right="81"/>
              <w:spacing w:after="0" w:line="150" w:lineRule="exact"/>
              <w:rPr>
                <w:sz w:val="20"/>
                <w:szCs w:val="20"/>
                <w:color w:val="auto"/>
              </w:rPr>
            </w:pPr>
            <w:r>
              <w:rPr>
                <w:rFonts w:ascii="Arial" w:cs="Arial" w:eastAsia="Arial" w:hAnsi="Arial"/>
                <w:sz w:val="16"/>
                <w:szCs w:val="16"/>
                <w:color w:val="auto"/>
              </w:rPr>
              <w:t>15,357,748</w:t>
            </w:r>
          </w:p>
        </w:tc>
        <w:tc>
          <w:tcPr>
            <w:tcW w:w="1220" w:type="dxa"/>
            <w:vAlign w:val="bottom"/>
          </w:tcPr>
          <w:p>
            <w:pPr>
              <w:jc w:val="right"/>
              <w:ind w:right="101"/>
              <w:spacing w:after="0" w:line="150" w:lineRule="exact"/>
              <w:rPr>
                <w:sz w:val="20"/>
                <w:szCs w:val="20"/>
                <w:color w:val="auto"/>
              </w:rPr>
            </w:pPr>
            <w:r>
              <w:rPr>
                <w:rFonts w:ascii="Arial" w:cs="Arial" w:eastAsia="Arial" w:hAnsi="Arial"/>
                <w:sz w:val="16"/>
                <w:szCs w:val="16"/>
                <w:color w:val="auto"/>
              </w:rPr>
              <w:t>15,352,163</w:t>
            </w:r>
          </w:p>
        </w:tc>
        <w:tc>
          <w:tcPr>
            <w:tcW w:w="10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15,402,884</w:t>
            </w:r>
          </w:p>
        </w:tc>
        <w:tc>
          <w:tcPr>
            <w:tcW w:w="820" w:type="dxa"/>
            <w:vAlign w:val="bottom"/>
          </w:tcPr>
          <w:p>
            <w:pPr>
              <w:jc w:val="right"/>
              <w:ind w:right="21"/>
              <w:spacing w:after="0" w:line="150" w:lineRule="exact"/>
              <w:rPr>
                <w:sz w:val="20"/>
                <w:szCs w:val="20"/>
                <w:color w:val="auto"/>
              </w:rPr>
            </w:pPr>
            <w:r>
              <w:rPr>
                <w:rFonts w:ascii="Arial" w:cs="Arial" w:eastAsia="Arial" w:hAnsi="Arial"/>
                <w:sz w:val="16"/>
                <w:szCs w:val="16"/>
                <w:color w:val="auto"/>
              </w:rPr>
              <w:t>0.3%</w:t>
            </w:r>
          </w:p>
        </w:tc>
        <w:tc>
          <w:tcPr>
            <w:tcW w:w="64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8"/>
        </w:trPr>
        <w:tc>
          <w:tcPr>
            <w:tcW w:w="616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Tier 2 </w:t>
            </w:r>
            <w:r>
              <w:rPr>
                <w:rFonts w:ascii="Arial" w:cs="Arial" w:eastAsia="Arial" w:hAnsi="Arial"/>
                <w:sz w:val="22"/>
                <w:szCs w:val="22"/>
                <w:color w:val="auto"/>
                <w:vertAlign w:val="superscript"/>
              </w:rPr>
              <w:t>(6)</w:t>
            </w:r>
            <w:r>
              <w:rPr>
                <w:rFonts w:ascii="Arial" w:cs="Arial" w:eastAsia="Arial" w:hAnsi="Arial"/>
                <w:sz w:val="14"/>
                <w:szCs w:val="14"/>
                <w:color w:val="auto"/>
              </w:rPr>
              <w:t xml:space="preserve"> + Tier 3 </w:t>
            </w:r>
            <w:r>
              <w:rPr>
                <w:rFonts w:ascii="Arial" w:cs="Arial" w:eastAsia="Arial" w:hAnsi="Arial"/>
                <w:sz w:val="22"/>
                <w:szCs w:val="22"/>
                <w:color w:val="auto"/>
                <w:vertAlign w:val="superscript"/>
              </w:rPr>
              <w:t>(7)</w:t>
            </w: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15,357,748</w:t>
            </w: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14,389,486</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13,850,433</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5"/>
        </w:trPr>
        <w:tc>
          <w:tcPr>
            <w:tcW w:w="6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616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 xml:space="preserve">Financial Consolidated Group (FCG) Regulatory Capital Requirements </w:t>
            </w:r>
            <w:r>
              <w:rPr>
                <w:rFonts w:ascii="Arial" w:cs="Arial" w:eastAsia="Arial" w:hAnsi="Arial"/>
                <w:sz w:val="17"/>
                <w:szCs w:val="17"/>
                <w:color w:val="auto"/>
                <w:vertAlign w:val="superscript"/>
              </w:rPr>
              <w:t>(8)</w:t>
            </w:r>
          </w:p>
        </w:tc>
        <w:tc>
          <w:tcPr>
            <w:tcW w:w="1380" w:type="dxa"/>
            <w:vAlign w:val="bottom"/>
          </w:tcPr>
          <w:p>
            <w:pPr>
              <w:jc w:val="right"/>
              <w:ind w:right="81"/>
              <w:spacing w:after="0" w:line="150" w:lineRule="exact"/>
              <w:rPr>
                <w:sz w:val="20"/>
                <w:szCs w:val="20"/>
                <w:color w:val="auto"/>
              </w:rPr>
            </w:pPr>
            <w:r>
              <w:rPr>
                <w:rFonts w:ascii="Arial" w:cs="Arial" w:eastAsia="Arial" w:hAnsi="Arial"/>
                <w:sz w:val="16"/>
                <w:szCs w:val="16"/>
                <w:color w:val="auto"/>
              </w:rPr>
              <w:t>20,121,083</w:t>
            </w:r>
          </w:p>
        </w:tc>
        <w:tc>
          <w:tcPr>
            <w:tcW w:w="1220" w:type="dxa"/>
            <w:vAlign w:val="bottom"/>
          </w:tcPr>
          <w:p>
            <w:pPr>
              <w:jc w:val="right"/>
              <w:ind w:right="101"/>
              <w:spacing w:after="0" w:line="150" w:lineRule="exact"/>
              <w:rPr>
                <w:sz w:val="20"/>
                <w:szCs w:val="20"/>
                <w:color w:val="auto"/>
              </w:rPr>
            </w:pPr>
            <w:r>
              <w:rPr>
                <w:rFonts w:ascii="Arial" w:cs="Arial" w:eastAsia="Arial" w:hAnsi="Arial"/>
                <w:sz w:val="16"/>
                <w:szCs w:val="16"/>
                <w:color w:val="auto"/>
              </w:rPr>
              <w:t>18,530,113</w:t>
            </w:r>
          </w:p>
        </w:tc>
        <w:tc>
          <w:tcPr>
            <w:tcW w:w="106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18,372,067</w:t>
            </w:r>
          </w:p>
        </w:tc>
        <w:tc>
          <w:tcPr>
            <w:tcW w:w="820" w:type="dxa"/>
            <w:vAlign w:val="bottom"/>
          </w:tcPr>
          <w:p>
            <w:pPr>
              <w:jc w:val="right"/>
              <w:ind w:right="21"/>
              <w:spacing w:after="0" w:line="150" w:lineRule="exact"/>
              <w:rPr>
                <w:sz w:val="20"/>
                <w:szCs w:val="20"/>
                <w:color w:val="auto"/>
              </w:rPr>
            </w:pPr>
            <w:r>
              <w:rPr>
                <w:rFonts w:ascii="Arial" w:cs="Arial" w:eastAsia="Arial" w:hAnsi="Arial"/>
                <w:sz w:val="16"/>
                <w:szCs w:val="16"/>
                <w:color w:val="auto"/>
              </w:rPr>
              <w:t>-0.9%</w:t>
            </w:r>
          </w:p>
        </w:tc>
        <w:tc>
          <w:tcPr>
            <w:tcW w:w="64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78"/>
        </w:trPr>
        <w:tc>
          <w:tcPr>
            <w:tcW w:w="616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Insurance Consolidated Group (ICG) Capital Requirements </w:t>
            </w:r>
            <w:r>
              <w:rPr>
                <w:rFonts w:ascii="Arial" w:cs="Arial" w:eastAsia="Arial" w:hAnsi="Arial"/>
                <w:sz w:val="20"/>
                <w:szCs w:val="20"/>
                <w:color w:val="auto"/>
                <w:vertAlign w:val="superscript"/>
              </w:rPr>
              <w:t>(9)</w:t>
            </w:r>
          </w:p>
        </w:tc>
        <w:tc>
          <w:tcPr>
            <w:tcW w:w="138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1,362,246</w:t>
            </w:r>
          </w:p>
        </w:tc>
        <w:tc>
          <w:tcPr>
            <w:tcW w:w="1220" w:type="dxa"/>
            <w:vAlign w:val="bottom"/>
          </w:tcPr>
          <w:p>
            <w:pPr>
              <w:jc w:val="right"/>
              <w:ind w:right="101"/>
              <w:spacing w:after="0" w:line="178" w:lineRule="exact"/>
              <w:rPr>
                <w:sz w:val="20"/>
                <w:szCs w:val="20"/>
                <w:color w:val="auto"/>
              </w:rPr>
            </w:pPr>
            <w:r>
              <w:rPr>
                <w:rFonts w:ascii="Arial" w:cs="Arial" w:eastAsia="Arial" w:hAnsi="Arial"/>
                <w:sz w:val="16"/>
                <w:szCs w:val="16"/>
                <w:color w:val="auto"/>
              </w:rPr>
              <w:t>1,430,567</w:t>
            </w:r>
          </w:p>
        </w:tc>
        <w:tc>
          <w:tcPr>
            <w:tcW w:w="10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1,450,871</w:t>
            </w:r>
          </w:p>
        </w:tc>
        <w:tc>
          <w:tcPr>
            <w:tcW w:w="820" w:type="dxa"/>
            <w:vAlign w:val="bottom"/>
          </w:tcPr>
          <w:p>
            <w:pPr>
              <w:jc w:val="right"/>
              <w:ind w:right="21"/>
              <w:spacing w:after="0" w:line="178" w:lineRule="exact"/>
              <w:rPr>
                <w:sz w:val="20"/>
                <w:szCs w:val="20"/>
                <w:color w:val="auto"/>
              </w:rPr>
            </w:pPr>
            <w:r>
              <w:rPr>
                <w:rFonts w:ascii="Arial" w:cs="Arial" w:eastAsia="Arial" w:hAnsi="Arial"/>
                <w:sz w:val="16"/>
                <w:szCs w:val="16"/>
                <w:color w:val="auto"/>
              </w:rPr>
              <w:t>1.4%</w:t>
            </w:r>
          </w:p>
        </w:tc>
        <w:tc>
          <w:tcPr>
            <w:tcW w:w="6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73"/>
        </w:trPr>
        <w:tc>
          <w:tcPr>
            <w:tcW w:w="61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FCG Capital Requirements related to operations with ICG</w:t>
            </w:r>
          </w:p>
        </w:tc>
        <w:tc>
          <w:tcPr>
            <w:tcW w:w="138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(467,303)</w:t>
            </w:r>
          </w:p>
        </w:tc>
        <w:tc>
          <w:tcPr>
            <w:tcW w:w="122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(513,262)</w:t>
            </w:r>
          </w:p>
        </w:tc>
        <w:tc>
          <w:tcPr>
            <w:tcW w:w="10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(446,149)</w:t>
            </w:r>
          </w:p>
        </w:tc>
        <w:tc>
          <w:tcPr>
            <w:tcW w:w="8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-13.1%</w:t>
            </w: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4"/>
        </w:trPr>
        <w:tc>
          <w:tcPr>
            <w:tcW w:w="61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ICG Capital Requirements related to operations with FCG</w:t>
            </w: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616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Regulatory Capital Requirements (B)</w:t>
            </w:r>
          </w:p>
        </w:tc>
        <w:tc>
          <w:tcPr>
            <w:tcW w:w="138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21,016,027</w:t>
            </w:r>
          </w:p>
        </w:tc>
        <w:tc>
          <w:tcPr>
            <w:tcW w:w="122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19,447,419</w:t>
            </w:r>
          </w:p>
        </w:tc>
        <w:tc>
          <w:tcPr>
            <w:tcW w:w="10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19,376,789</w:t>
            </w:r>
          </w:p>
        </w:tc>
        <w:tc>
          <w:tcPr>
            <w:tcW w:w="820" w:type="dxa"/>
            <w:vAlign w:val="bottom"/>
            <w:tcBorders>
              <w:bottom w:val="single" w:sz="8" w:color="auto"/>
            </w:tcBorders>
          </w:tcPr>
          <w:p>
            <w:pPr>
              <w:jc w:val="right"/>
              <w:ind w:right="21"/>
              <w:spacing w:after="0" w:line="174" w:lineRule="exact"/>
              <w:rPr>
                <w:sz w:val="20"/>
                <w:szCs w:val="20"/>
                <w:color w:val="auto"/>
              </w:rPr>
            </w:pPr>
            <w:r>
              <w:rPr>
                <w:rFonts w:ascii="Arial" w:cs="Arial" w:eastAsia="Arial" w:hAnsi="Arial"/>
                <w:sz w:val="16"/>
                <w:szCs w:val="16"/>
                <w:b w:val="1"/>
                <w:bCs w:val="1"/>
                <w:color w:val="auto"/>
              </w:rPr>
              <w:t>-0.4%</w:t>
            </w:r>
          </w:p>
        </w:tc>
        <w:tc>
          <w:tcPr>
            <w:tcW w:w="6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175"/>
        </w:trPr>
        <w:tc>
          <w:tcPr>
            <w:tcW w:w="616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Regulatory Capital Ratio (A) / (B)</w:t>
            </w:r>
          </w:p>
        </w:tc>
        <w:tc>
          <w:tcPr>
            <w:tcW w:w="138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1.47</w:t>
            </w:r>
          </w:p>
        </w:tc>
        <w:tc>
          <w:tcPr>
            <w:tcW w:w="122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1.53</w:t>
            </w:r>
          </w:p>
        </w:tc>
        <w:tc>
          <w:tcPr>
            <w:tcW w:w="10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1.51</w:t>
            </w: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6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Required Regulatory Capital Ratio </w:t>
            </w:r>
            <w:r>
              <w:rPr>
                <w:rFonts w:ascii="Arial" w:cs="Arial" w:eastAsia="Arial" w:hAnsi="Arial"/>
                <w:sz w:val="20"/>
                <w:szCs w:val="20"/>
                <w:color w:val="auto"/>
                <w:vertAlign w:val="superscript"/>
              </w:rPr>
              <w:t>(10)</w:t>
            </w:r>
          </w:p>
        </w:tc>
        <w:tc>
          <w:tcPr>
            <w:tcW w:w="138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1.00</w:t>
            </w:r>
          </w:p>
        </w:tc>
        <w:tc>
          <w:tcPr>
            <w:tcW w:w="122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1.00</w:t>
            </w:r>
          </w:p>
        </w:tc>
        <w:tc>
          <w:tcPr>
            <w:tcW w:w="10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1.00</w:t>
            </w: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Legal and other capital reserves include restricted capital reserves (PEN 14,745 million) and optional capital reserves (PEN 6,661 million).</w:t>
      </w:r>
    </w:p>
    <w:p>
      <w:pPr>
        <w:spacing w:after="0" w:line="104"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Minority interest includes Tier I (PEN 421 million)</w:t>
      </w:r>
    </w:p>
    <w:p>
      <w:pPr>
        <w:spacing w:after="0" w:line="12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Up to 1.25% of total risk-weighted assets of Banco de Credito del Peru, Solucion Empresa Administradora Hipotecaria, Mibanco and ASB Bank Corp.</w:t>
      </w:r>
    </w:p>
    <w:p>
      <w:pPr>
        <w:spacing w:after="0" w:line="12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Tier II + Tier III can not be more than 50% of total regulatory capital.</w:t>
      </w:r>
    </w:p>
    <w:p>
      <w:pPr>
        <w:spacing w:after="0" w:line="11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Tier I = capital + restricted capital reserves + Tier I minority interest - goodwill - (0.5 x investment in equity and subordinated debt of financial and insurance companies)+ perpetual subordinated debt.</w:t>
      </w:r>
    </w:p>
    <w:p>
      <w:pPr>
        <w:spacing w:after="0" w:line="12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Tier II = subordinated debt + TierII minority interest tier + loan loss reserves - (0.5 x investment in equity and subordinated debt of financial and insurance companies).</w:t>
      </w:r>
    </w:p>
    <w:p>
      <w:pPr>
        <w:spacing w:after="0" w:line="12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Tier III = Subordinated debt covering market risk only.</w:t>
      </w:r>
    </w:p>
    <w:p>
      <w:pPr>
        <w:spacing w:after="0" w:line="11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Includes regulatory capital requirements of the financial consolidated group.</w:t>
      </w:r>
    </w:p>
    <w:p>
      <w:pPr>
        <w:spacing w:after="0" w:line="123"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Includes regulatory capital requirements of the insurance consolidated group.</w:t>
      </w:r>
    </w:p>
    <w:p>
      <w:pPr>
        <w:spacing w:after="0" w:line="123" w:lineRule="exact"/>
        <w:rPr>
          <w:rFonts w:ascii="Times New Roman" w:cs="Times New Roman" w:eastAsia="Times New Roman" w:hAnsi="Times New Roman"/>
          <w:sz w:val="9"/>
          <w:szCs w:val="9"/>
          <w:i w:val="1"/>
          <w:iCs w:val="1"/>
          <w:color w:val="auto"/>
        </w:rPr>
      </w:pPr>
    </w:p>
    <w:p>
      <w:pPr>
        <w:ind w:left="180" w:hanging="173"/>
        <w:spacing w:after="0"/>
        <w:tabs>
          <w:tab w:leader="none" w:pos="180" w:val="left"/>
        </w:tabs>
        <w:numPr>
          <w:ilvl w:val="0"/>
          <w:numId w:val="4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Regulatory Capital / Total Regulatory Capital Requirements (legal minimum = 1.00).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i w:val="1"/>
          <w:iCs w:val="1"/>
          <w:color w:val="auto"/>
        </w:rPr>
        <w:t>(*) Regulatory Capital Ratio differs from previously reported</w:t>
      </w: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51" w:name="page52"/>
    <w:bookmarkEnd w:id="51"/>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Adequary Ratios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 thousands, IFRS)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600" w:type="dxa"/>
            <w:vAlign w:val="bottom"/>
            <w:tcBorders>
              <w:top w:val="single" w:sz="8" w:color="auto"/>
              <w:left w:val="single" w:sz="8" w:color="auto"/>
              <w:right w:val="single" w:sz="8" w:color="auto"/>
            </w:tcBorders>
            <w:shd w:val="clear" w:color="auto" w:fill="2AD2C9"/>
          </w:tcPr>
          <w:p>
            <w:pPr>
              <w:ind w:left="20"/>
              <w:spacing w:after="0" w:line="176" w:lineRule="exact"/>
              <w:rPr>
                <w:sz w:val="20"/>
                <w:szCs w:val="20"/>
                <w:color w:val="auto"/>
              </w:rPr>
            </w:pPr>
            <w:r>
              <w:rPr>
                <w:rFonts w:ascii="Arial" w:cs="Arial" w:eastAsia="Arial" w:hAnsi="Arial"/>
                <w:sz w:val="16"/>
                <w:szCs w:val="16"/>
                <w:b w:val="1"/>
                <w:bCs w:val="1"/>
                <w:color w:val="FFFFFF"/>
              </w:rPr>
              <w:t>Regulatory Capital and Capital Adequacy Ratios</w:t>
            </w:r>
          </w:p>
        </w:tc>
        <w:tc>
          <w:tcPr>
            <w:tcW w:w="1540" w:type="dxa"/>
            <w:vAlign w:val="bottom"/>
            <w:tcBorders>
              <w:top w:val="single" w:sz="8" w:color="auto"/>
            </w:tcBorders>
            <w:shd w:val="clear" w:color="auto" w:fill="2AD2C9"/>
          </w:tcPr>
          <w:p>
            <w:pPr>
              <w:spacing w:after="0"/>
              <w:rPr>
                <w:sz w:val="15"/>
                <w:szCs w:val="15"/>
                <w:color w:val="auto"/>
              </w:rPr>
            </w:pPr>
          </w:p>
        </w:tc>
        <w:tc>
          <w:tcPr>
            <w:tcW w:w="1360" w:type="dxa"/>
            <w:vAlign w:val="bottom"/>
            <w:tcBorders>
              <w:top w:val="single" w:sz="8" w:color="auto"/>
            </w:tcBorders>
            <w:vMerge w:val="restart"/>
            <w:shd w:val="clear" w:color="auto" w:fill="2AD2C9"/>
          </w:tcPr>
          <w:p>
            <w:pPr>
              <w:jc w:val="right"/>
              <w:ind w:right="621"/>
              <w:spacing w:after="0"/>
              <w:rPr>
                <w:sz w:val="20"/>
                <w:szCs w:val="20"/>
                <w:color w:val="auto"/>
              </w:rPr>
            </w:pPr>
            <w:r>
              <w:rPr>
                <w:rFonts w:ascii="Arial" w:cs="Arial" w:eastAsia="Arial" w:hAnsi="Arial"/>
                <w:sz w:val="16"/>
                <w:szCs w:val="16"/>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5"/>
                <w:szCs w:val="15"/>
                <w:color w:val="auto"/>
              </w:rPr>
            </w:pPr>
          </w:p>
        </w:tc>
        <w:tc>
          <w:tcPr>
            <w:tcW w:w="1640" w:type="dxa"/>
            <w:vAlign w:val="bottom"/>
            <w:tcBorders>
              <w:top w:val="single" w:sz="8" w:color="auto"/>
              <w:right w:val="single" w:sz="8" w:color="auto"/>
            </w:tcBorders>
            <w:gridSpan w:val="2"/>
            <w:vMerge w:val="restart"/>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31"/>
        </w:trPr>
        <w:tc>
          <w:tcPr>
            <w:tcW w:w="560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6"/>
                <w:szCs w:val="16"/>
                <w:b w:val="1"/>
                <w:bCs w:val="1"/>
                <w:color w:val="FFFFFF"/>
              </w:rPr>
              <w:t>S/000</w:t>
            </w:r>
          </w:p>
        </w:tc>
        <w:tc>
          <w:tcPr>
            <w:tcW w:w="1540" w:type="dxa"/>
            <w:vAlign w:val="bottom"/>
            <w:shd w:val="clear" w:color="auto" w:fill="2AD2C9"/>
          </w:tcPr>
          <w:p>
            <w:pPr>
              <w:spacing w:after="0"/>
              <w:rPr>
                <w:sz w:val="11"/>
                <w:szCs w:val="11"/>
                <w:color w:val="auto"/>
              </w:rPr>
            </w:pPr>
          </w:p>
        </w:tc>
        <w:tc>
          <w:tcPr>
            <w:tcW w:w="1360" w:type="dxa"/>
            <w:vAlign w:val="bottom"/>
            <w:vMerge w:val="continue"/>
            <w:shd w:val="clear" w:color="auto" w:fill="2AD2C9"/>
          </w:tcPr>
          <w:p>
            <w:pPr>
              <w:spacing w:after="0"/>
              <w:rPr>
                <w:sz w:val="11"/>
                <w:szCs w:val="11"/>
                <w:color w:val="auto"/>
              </w:rPr>
            </w:pPr>
          </w:p>
        </w:tc>
        <w:tc>
          <w:tcPr>
            <w:tcW w:w="1140" w:type="dxa"/>
            <w:vAlign w:val="bottom"/>
            <w:tcBorders>
              <w:right w:val="single" w:sz="8" w:color="auto"/>
            </w:tcBorders>
            <w:shd w:val="clear" w:color="auto" w:fill="2AD2C9"/>
          </w:tcPr>
          <w:p>
            <w:pPr>
              <w:spacing w:after="0"/>
              <w:rPr>
                <w:sz w:val="11"/>
                <w:szCs w:val="11"/>
                <w:color w:val="auto"/>
              </w:rPr>
            </w:pPr>
          </w:p>
        </w:tc>
        <w:tc>
          <w:tcPr>
            <w:tcW w:w="1640" w:type="dxa"/>
            <w:vAlign w:val="bottom"/>
            <w:tcBorders>
              <w:right w:val="single" w:sz="8" w:color="auto"/>
            </w:tcBorders>
            <w:gridSpan w:val="2"/>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5600" w:type="dxa"/>
            <w:vAlign w:val="bottom"/>
            <w:tcBorders>
              <w:left w:val="single" w:sz="8" w:color="auto"/>
              <w:right w:val="single" w:sz="8" w:color="auto"/>
            </w:tcBorders>
            <w:vMerge w:val="continue"/>
            <w:shd w:val="clear" w:color="auto" w:fill="2AD2C9"/>
          </w:tcPr>
          <w:p>
            <w:pPr>
              <w:spacing w:after="0"/>
              <w:rPr>
                <w:sz w:val="7"/>
                <w:szCs w:val="7"/>
                <w:color w:val="auto"/>
              </w:rPr>
            </w:pPr>
          </w:p>
        </w:tc>
        <w:tc>
          <w:tcPr>
            <w:tcW w:w="1540" w:type="dxa"/>
            <w:vAlign w:val="bottom"/>
            <w:vMerge w:val="restart"/>
            <w:shd w:val="clear" w:color="auto" w:fill="2AD2C9"/>
          </w:tcPr>
          <w:p>
            <w:pPr>
              <w:jc w:val="right"/>
              <w:ind w:right="541"/>
              <w:spacing w:after="0"/>
              <w:rPr>
                <w:sz w:val="20"/>
                <w:szCs w:val="20"/>
                <w:color w:val="auto"/>
              </w:rPr>
            </w:pPr>
            <w:r>
              <w:rPr>
                <w:rFonts w:ascii="Arial" w:cs="Arial" w:eastAsia="Arial" w:hAnsi="Arial"/>
                <w:sz w:val="16"/>
                <w:szCs w:val="16"/>
                <w:b w:val="1"/>
                <w:bCs w:val="1"/>
                <w:color w:val="FFFFFF"/>
              </w:rPr>
              <w:t>Mar 21</w:t>
            </w:r>
          </w:p>
        </w:tc>
        <w:tc>
          <w:tcPr>
            <w:tcW w:w="1360" w:type="dxa"/>
            <w:vAlign w:val="bottom"/>
            <w:vMerge w:val="restart"/>
            <w:shd w:val="clear" w:color="auto" w:fill="2AD2C9"/>
          </w:tcPr>
          <w:p>
            <w:pPr>
              <w:jc w:val="right"/>
              <w:ind w:right="561"/>
              <w:spacing w:after="0"/>
              <w:rPr>
                <w:sz w:val="20"/>
                <w:szCs w:val="20"/>
                <w:color w:val="auto"/>
              </w:rPr>
            </w:pPr>
            <w:r>
              <w:rPr>
                <w:rFonts w:ascii="Arial" w:cs="Arial" w:eastAsia="Arial" w:hAnsi="Arial"/>
                <w:sz w:val="16"/>
                <w:szCs w:val="16"/>
                <w:b w:val="1"/>
                <w:bCs w:val="1"/>
                <w:color w:val="FFFFFF"/>
              </w:rPr>
              <w:t>Dec 21</w:t>
            </w:r>
          </w:p>
        </w:tc>
        <w:tc>
          <w:tcPr>
            <w:tcW w:w="1140" w:type="dxa"/>
            <w:vAlign w:val="bottom"/>
            <w:tcBorders>
              <w:right w:val="single" w:sz="8" w:color="auto"/>
            </w:tcBorders>
            <w:vMerge w:val="restart"/>
            <w:shd w:val="clear" w:color="auto" w:fill="2AD2C9"/>
          </w:tcPr>
          <w:p>
            <w:pPr>
              <w:jc w:val="right"/>
              <w:ind w:right="361"/>
              <w:spacing w:after="0"/>
              <w:rPr>
                <w:sz w:val="20"/>
                <w:szCs w:val="20"/>
                <w:color w:val="auto"/>
              </w:rPr>
            </w:pPr>
            <w:r>
              <w:rPr>
                <w:rFonts w:ascii="Arial" w:cs="Arial" w:eastAsia="Arial" w:hAnsi="Arial"/>
                <w:sz w:val="16"/>
                <w:szCs w:val="16"/>
                <w:b w:val="1"/>
                <w:bCs w:val="1"/>
                <w:color w:val="FFFFFF"/>
              </w:rPr>
              <w:t>Mar 22</w:t>
            </w:r>
          </w:p>
        </w:tc>
        <w:tc>
          <w:tcPr>
            <w:tcW w:w="940" w:type="dxa"/>
            <w:vAlign w:val="bottom"/>
            <w:vMerge w:val="restart"/>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QoQ</w:t>
            </w:r>
          </w:p>
        </w:tc>
        <w:tc>
          <w:tcPr>
            <w:tcW w:w="700" w:type="dxa"/>
            <w:vAlign w:val="bottom"/>
            <w:tcBorders>
              <w:right w:val="single" w:sz="8" w:color="auto"/>
            </w:tcBorders>
            <w:vMerge w:val="restart"/>
            <w:shd w:val="clear" w:color="auto" w:fill="2AD2C9"/>
          </w:tcPr>
          <w:p>
            <w:pPr>
              <w:jc w:val="right"/>
              <w:ind w:right="20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49"/>
        </w:trPr>
        <w:tc>
          <w:tcPr>
            <w:tcW w:w="56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1540" w:type="dxa"/>
            <w:vAlign w:val="bottom"/>
            <w:tcBorders>
              <w:bottom w:val="single" w:sz="8" w:color="auto"/>
            </w:tcBorders>
            <w:vMerge w:val="continue"/>
            <w:shd w:val="clear" w:color="auto" w:fill="2AD2C9"/>
          </w:tcPr>
          <w:p>
            <w:pPr>
              <w:spacing w:after="0"/>
              <w:rPr>
                <w:sz w:val="12"/>
                <w:szCs w:val="12"/>
                <w:color w:val="auto"/>
              </w:rPr>
            </w:pPr>
          </w:p>
        </w:tc>
        <w:tc>
          <w:tcPr>
            <w:tcW w:w="1360" w:type="dxa"/>
            <w:vAlign w:val="bottom"/>
            <w:tcBorders>
              <w:bottom w:val="single" w:sz="8" w:color="auto"/>
            </w:tcBorders>
            <w:vMerge w:val="continue"/>
            <w:shd w:val="clear" w:color="auto" w:fill="2AD2C9"/>
          </w:tcPr>
          <w:p>
            <w:pPr>
              <w:spacing w:after="0"/>
              <w:rPr>
                <w:sz w:val="12"/>
                <w:szCs w:val="12"/>
                <w:color w:val="auto"/>
              </w:rPr>
            </w:pPr>
          </w:p>
        </w:tc>
        <w:tc>
          <w:tcPr>
            <w:tcW w:w="114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940" w:type="dxa"/>
            <w:vAlign w:val="bottom"/>
            <w:tcBorders>
              <w:bottom w:val="single" w:sz="8" w:color="auto"/>
            </w:tcBorders>
            <w:vMerge w:val="continue"/>
            <w:shd w:val="clear" w:color="auto" w:fill="2AD2C9"/>
          </w:tcPr>
          <w:p>
            <w:pPr>
              <w:spacing w:after="0"/>
              <w:rPr>
                <w:sz w:val="12"/>
                <w:szCs w:val="12"/>
                <w:color w:val="auto"/>
              </w:rPr>
            </w:pPr>
          </w:p>
        </w:tc>
        <w:tc>
          <w:tcPr>
            <w:tcW w:w="70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6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Capital Stock</w:t>
            </w:r>
          </w:p>
        </w:tc>
        <w:tc>
          <w:tcPr>
            <w:tcW w:w="15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11,317,387</w:t>
            </w:r>
          </w:p>
        </w:tc>
        <w:tc>
          <w:tcPr>
            <w:tcW w:w="1360" w:type="dxa"/>
            <w:vAlign w:val="bottom"/>
          </w:tcPr>
          <w:p>
            <w:pPr>
              <w:jc w:val="right"/>
              <w:ind w:right="141"/>
              <w:spacing w:after="0" w:line="155" w:lineRule="exact"/>
              <w:rPr>
                <w:sz w:val="20"/>
                <w:szCs w:val="20"/>
                <w:color w:val="auto"/>
              </w:rPr>
            </w:pPr>
            <w:r>
              <w:rPr>
                <w:rFonts w:ascii="Arial" w:cs="Arial" w:eastAsia="Arial" w:hAnsi="Arial"/>
                <w:sz w:val="16"/>
                <w:szCs w:val="16"/>
                <w:color w:val="auto"/>
              </w:rPr>
              <w:t>11,317,387</w:t>
            </w:r>
          </w:p>
        </w:tc>
        <w:tc>
          <w:tcPr>
            <w:tcW w:w="11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12,176,365</w:t>
            </w:r>
          </w:p>
        </w:tc>
        <w:tc>
          <w:tcPr>
            <w:tcW w:w="940" w:type="dxa"/>
            <w:vAlign w:val="bottom"/>
          </w:tcPr>
          <w:p>
            <w:pPr>
              <w:jc w:val="right"/>
              <w:ind w:right="61"/>
              <w:spacing w:after="0" w:line="155" w:lineRule="exact"/>
              <w:rPr>
                <w:sz w:val="20"/>
                <w:szCs w:val="20"/>
                <w:color w:val="auto"/>
              </w:rPr>
            </w:pPr>
            <w:r>
              <w:rPr>
                <w:rFonts w:ascii="Arial" w:cs="Arial" w:eastAsia="Arial" w:hAnsi="Arial"/>
                <w:sz w:val="16"/>
                <w:szCs w:val="16"/>
                <w:color w:val="auto"/>
              </w:rPr>
              <w:t>7.6%</w:t>
            </w:r>
          </w:p>
        </w:tc>
        <w:tc>
          <w:tcPr>
            <w:tcW w:w="7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Legal and Other capital reserves</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6,707,503</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6,707,831</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7,516,510</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12.1%</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9"/>
        </w:trPr>
        <w:tc>
          <w:tcPr>
            <w:tcW w:w="56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Accumulated earnings with capitalization agreement</w:t>
            </w:r>
          </w:p>
        </w:tc>
        <w:tc>
          <w:tcPr>
            <w:tcW w:w="1540" w:type="dxa"/>
            <w:vAlign w:val="bottom"/>
          </w:tcPr>
          <w:p>
            <w:pPr>
              <w:jc w:val="right"/>
              <w:ind w:right="121"/>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line="169" w:lineRule="exact"/>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line="169" w:lineRule="exact"/>
              <w:rPr>
                <w:sz w:val="20"/>
                <w:szCs w:val="20"/>
                <w:color w:val="auto"/>
              </w:rPr>
            </w:pPr>
            <w:r>
              <w:rPr>
                <w:rFonts w:ascii="Arial" w:cs="Arial" w:eastAsia="Arial" w:hAnsi="Arial"/>
                <w:sz w:val="16"/>
                <w:szCs w:val="16"/>
                <w:color w:val="auto"/>
              </w:rPr>
              <w:t>n.a.</w:t>
            </w:r>
          </w:p>
        </w:tc>
        <w:tc>
          <w:tcPr>
            <w:tcW w:w="7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8"/>
        </w:trPr>
        <w:tc>
          <w:tcPr>
            <w:tcW w:w="56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Loan loss reserves </w:t>
            </w:r>
            <w:r>
              <w:rPr>
                <w:rFonts w:ascii="Arial" w:cs="Arial" w:eastAsia="Arial" w:hAnsi="Arial"/>
                <w:sz w:val="20"/>
                <w:szCs w:val="20"/>
                <w:color w:val="auto"/>
                <w:vertAlign w:val="superscript"/>
              </w:rPr>
              <w:t>(1)</w:t>
            </w:r>
          </w:p>
        </w:tc>
        <w:tc>
          <w:tcPr>
            <w:tcW w:w="1540" w:type="dxa"/>
            <w:vAlign w:val="bottom"/>
          </w:tcPr>
          <w:p>
            <w:pPr>
              <w:jc w:val="right"/>
              <w:ind w:right="121"/>
              <w:spacing w:after="0" w:line="178" w:lineRule="exact"/>
              <w:rPr>
                <w:sz w:val="20"/>
                <w:szCs w:val="20"/>
                <w:color w:val="auto"/>
              </w:rPr>
            </w:pPr>
            <w:r>
              <w:rPr>
                <w:rFonts w:ascii="Arial" w:cs="Arial" w:eastAsia="Arial" w:hAnsi="Arial"/>
                <w:sz w:val="16"/>
                <w:szCs w:val="16"/>
                <w:color w:val="auto"/>
              </w:rPr>
              <w:t>1,609,750</w:t>
            </w:r>
          </w:p>
        </w:tc>
        <w:tc>
          <w:tcPr>
            <w:tcW w:w="1360" w:type="dxa"/>
            <w:vAlign w:val="bottom"/>
          </w:tcPr>
          <w:p>
            <w:pPr>
              <w:jc w:val="right"/>
              <w:ind w:right="141"/>
              <w:spacing w:after="0" w:line="178" w:lineRule="exact"/>
              <w:rPr>
                <w:sz w:val="20"/>
                <w:szCs w:val="20"/>
                <w:color w:val="auto"/>
              </w:rPr>
            </w:pPr>
            <w:r>
              <w:rPr>
                <w:rFonts w:ascii="Arial" w:cs="Arial" w:eastAsia="Arial" w:hAnsi="Arial"/>
                <w:sz w:val="16"/>
                <w:szCs w:val="16"/>
                <w:color w:val="auto"/>
              </w:rPr>
              <w:t>1,735,372</w:t>
            </w:r>
          </w:p>
        </w:tc>
        <w:tc>
          <w:tcPr>
            <w:tcW w:w="11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1,707,458</w:t>
            </w:r>
          </w:p>
        </w:tc>
        <w:tc>
          <w:tcPr>
            <w:tcW w:w="940" w:type="dxa"/>
            <w:vAlign w:val="bottom"/>
          </w:tcPr>
          <w:p>
            <w:pPr>
              <w:jc w:val="right"/>
              <w:ind w:right="61"/>
              <w:spacing w:after="0" w:line="178" w:lineRule="exact"/>
              <w:rPr>
                <w:sz w:val="20"/>
                <w:szCs w:val="20"/>
                <w:color w:val="auto"/>
              </w:rPr>
            </w:pPr>
            <w:r>
              <w:rPr>
                <w:rFonts w:ascii="Arial" w:cs="Arial" w:eastAsia="Arial" w:hAnsi="Arial"/>
                <w:sz w:val="16"/>
                <w:szCs w:val="16"/>
                <w:color w:val="auto"/>
              </w:rPr>
              <w:t>-1.6%</w:t>
            </w:r>
          </w:p>
        </w:tc>
        <w:tc>
          <w:tcPr>
            <w:tcW w:w="7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Perpetual subordinated debt</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Subordinated Debt</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6,276,991</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5,397,450</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5,007,300</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-7.2%</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Investment in subsidiaries and others, net of unrealized profit and net income</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(2,281,859)</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(2,263,805)</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(2,432,571)</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7.5%</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160"/>
              <w:spacing w:after="0" w:line="174" w:lineRule="exact"/>
              <w:rPr>
                <w:sz w:val="20"/>
                <w:szCs w:val="20"/>
                <w:color w:val="auto"/>
              </w:rPr>
            </w:pPr>
            <w:r>
              <w:rPr>
                <w:rFonts w:ascii="Arial" w:cs="Arial" w:eastAsia="Arial" w:hAnsi="Arial"/>
                <w:sz w:val="16"/>
                <w:szCs w:val="16"/>
                <w:color w:val="auto"/>
              </w:rPr>
              <w:t>Investment in subsidiaries and others</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(2,295,243)</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(2,435,661)</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(2,535,289)</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4.1%</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160"/>
              <w:spacing w:after="0" w:line="174" w:lineRule="exact"/>
              <w:rPr>
                <w:sz w:val="20"/>
                <w:szCs w:val="20"/>
                <w:color w:val="auto"/>
              </w:rPr>
            </w:pPr>
            <w:r>
              <w:rPr>
                <w:rFonts w:ascii="Arial" w:cs="Arial" w:eastAsia="Arial" w:hAnsi="Arial"/>
                <w:sz w:val="16"/>
                <w:szCs w:val="16"/>
                <w:color w:val="auto"/>
              </w:rPr>
              <w:t>Unrealized profit and net income in subsidiaries</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13,383</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171,857</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102,718</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-40.2%</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Goodwill</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(122,083)</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(122,083)</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(122,083)</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0.0%</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4"/>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Regulatory Capital - SBS</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23,507,689</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22,772,151</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23,852,979</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4.7%</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Off-balance sheet</w:t>
            </w:r>
          </w:p>
        </w:tc>
        <w:tc>
          <w:tcPr>
            <w:tcW w:w="154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color w:val="auto"/>
              </w:rPr>
              <w:t>94,853,451</w:t>
            </w:r>
          </w:p>
        </w:tc>
        <w:tc>
          <w:tcPr>
            <w:tcW w:w="1360" w:type="dxa"/>
            <w:vAlign w:val="bottom"/>
            <w:tcBorders>
              <w:bottom w:val="single" w:sz="8" w:color="auto"/>
            </w:tcBorders>
          </w:tcPr>
          <w:p>
            <w:pPr>
              <w:jc w:val="right"/>
              <w:ind w:right="141"/>
              <w:spacing w:after="0" w:line="174" w:lineRule="exact"/>
              <w:rPr>
                <w:sz w:val="20"/>
                <w:szCs w:val="20"/>
                <w:color w:val="auto"/>
              </w:rPr>
            </w:pPr>
            <w:r>
              <w:rPr>
                <w:rFonts w:ascii="Arial" w:cs="Arial" w:eastAsia="Arial" w:hAnsi="Arial"/>
                <w:sz w:val="16"/>
                <w:szCs w:val="16"/>
                <w:color w:val="auto"/>
              </w:rPr>
              <w:t>94,628,498</w:t>
            </w:r>
          </w:p>
        </w:tc>
        <w:tc>
          <w:tcPr>
            <w:tcW w:w="11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87,775,815</w:t>
            </w:r>
          </w:p>
        </w:tc>
        <w:tc>
          <w:tcPr>
            <w:tcW w:w="94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color w:val="auto"/>
              </w:rPr>
              <w:t>-7.2%</w:t>
            </w:r>
          </w:p>
        </w:tc>
        <w:tc>
          <w:tcPr>
            <w:tcW w:w="7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6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 xml:space="preserve">Regulatory Tier 1 Capital </w:t>
            </w:r>
            <w:r>
              <w:rPr>
                <w:rFonts w:ascii="Arial" w:cs="Arial" w:eastAsia="Arial" w:hAnsi="Arial"/>
                <w:sz w:val="17"/>
                <w:szCs w:val="17"/>
                <w:color w:val="auto"/>
                <w:vertAlign w:val="superscript"/>
              </w:rPr>
              <w:t>(2)</w:t>
            </w:r>
          </w:p>
        </w:tc>
        <w:tc>
          <w:tcPr>
            <w:tcW w:w="1540" w:type="dxa"/>
            <w:vAlign w:val="bottom"/>
          </w:tcPr>
          <w:p>
            <w:pPr>
              <w:jc w:val="right"/>
              <w:ind w:right="121"/>
              <w:spacing w:after="0" w:line="150" w:lineRule="exact"/>
              <w:rPr>
                <w:sz w:val="20"/>
                <w:szCs w:val="20"/>
                <w:color w:val="auto"/>
              </w:rPr>
            </w:pPr>
            <w:r>
              <w:rPr>
                <w:rFonts w:ascii="Arial" w:cs="Arial" w:eastAsia="Arial" w:hAnsi="Arial"/>
                <w:sz w:val="16"/>
                <w:szCs w:val="16"/>
                <w:color w:val="auto"/>
              </w:rPr>
              <w:t>15,133,634</w:t>
            </w:r>
          </w:p>
        </w:tc>
        <w:tc>
          <w:tcPr>
            <w:tcW w:w="1360" w:type="dxa"/>
            <w:vAlign w:val="bottom"/>
          </w:tcPr>
          <w:p>
            <w:pPr>
              <w:jc w:val="right"/>
              <w:ind w:right="141"/>
              <w:spacing w:after="0" w:line="150" w:lineRule="exact"/>
              <w:rPr>
                <w:sz w:val="20"/>
                <w:szCs w:val="20"/>
                <w:color w:val="auto"/>
              </w:rPr>
            </w:pPr>
            <w:r>
              <w:rPr>
                <w:rFonts w:ascii="Arial" w:cs="Arial" w:eastAsia="Arial" w:hAnsi="Arial"/>
                <w:sz w:val="16"/>
                <w:szCs w:val="16"/>
                <w:color w:val="auto"/>
              </w:rPr>
              <w:t>15,142,988</w:t>
            </w:r>
          </w:p>
        </w:tc>
        <w:tc>
          <w:tcPr>
            <w:tcW w:w="114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16,220,724</w:t>
            </w:r>
          </w:p>
        </w:tc>
        <w:tc>
          <w:tcPr>
            <w:tcW w:w="940" w:type="dxa"/>
            <w:vAlign w:val="bottom"/>
          </w:tcPr>
          <w:p>
            <w:pPr>
              <w:jc w:val="right"/>
              <w:ind w:right="61"/>
              <w:spacing w:after="0" w:line="150" w:lineRule="exact"/>
              <w:rPr>
                <w:sz w:val="20"/>
                <w:szCs w:val="20"/>
                <w:color w:val="auto"/>
              </w:rPr>
            </w:pPr>
            <w:r>
              <w:rPr>
                <w:rFonts w:ascii="Arial" w:cs="Arial" w:eastAsia="Arial" w:hAnsi="Arial"/>
                <w:sz w:val="16"/>
                <w:szCs w:val="16"/>
                <w:color w:val="auto"/>
              </w:rPr>
              <w:t>7.1%</w:t>
            </w:r>
          </w:p>
        </w:tc>
        <w:tc>
          <w:tcPr>
            <w:tcW w:w="70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8"/>
        </w:trPr>
        <w:tc>
          <w:tcPr>
            <w:tcW w:w="560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Regulatory Tier 2 Capital </w:t>
            </w:r>
            <w:r>
              <w:rPr>
                <w:rFonts w:ascii="Arial" w:cs="Arial" w:eastAsia="Arial" w:hAnsi="Arial"/>
                <w:sz w:val="22"/>
                <w:szCs w:val="22"/>
                <w:color w:val="auto"/>
                <w:vertAlign w:val="superscript"/>
              </w:rPr>
              <w:t>(3)</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8,374,055</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7,629,163</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7,632,256</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0.0%</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Total risk-weighted assets - SBS </w:t>
            </w:r>
            <w:r>
              <w:rPr>
                <w:rFonts w:ascii="Arial" w:cs="Arial" w:eastAsia="Arial" w:hAnsi="Arial"/>
                <w:sz w:val="20"/>
                <w:szCs w:val="20"/>
                <w:b w:val="1"/>
                <w:bCs w:val="1"/>
                <w:color w:val="auto"/>
                <w:vertAlign w:val="superscript"/>
              </w:rPr>
              <w:t>(4)</w:t>
            </w:r>
          </w:p>
        </w:tc>
        <w:tc>
          <w:tcPr>
            <w:tcW w:w="154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b w:val="1"/>
                <w:bCs w:val="1"/>
                <w:color w:val="auto"/>
              </w:rPr>
              <w:t>142,854,356</w:t>
            </w:r>
          </w:p>
        </w:tc>
        <w:tc>
          <w:tcPr>
            <w:tcW w:w="1360" w:type="dxa"/>
            <w:vAlign w:val="bottom"/>
            <w:tcBorders>
              <w:bottom w:val="single" w:sz="8" w:color="auto"/>
            </w:tcBorders>
          </w:tcPr>
          <w:p>
            <w:pPr>
              <w:jc w:val="right"/>
              <w:ind w:right="141"/>
              <w:spacing w:after="0" w:line="174" w:lineRule="exact"/>
              <w:rPr>
                <w:sz w:val="20"/>
                <w:szCs w:val="20"/>
                <w:color w:val="auto"/>
              </w:rPr>
            </w:pPr>
            <w:r>
              <w:rPr>
                <w:rFonts w:ascii="Arial" w:cs="Arial" w:eastAsia="Arial" w:hAnsi="Arial"/>
                <w:sz w:val="16"/>
                <w:szCs w:val="16"/>
                <w:b w:val="1"/>
                <w:bCs w:val="1"/>
                <w:color w:val="auto"/>
              </w:rPr>
              <w:t>152,376,235</w:t>
            </w:r>
          </w:p>
        </w:tc>
        <w:tc>
          <w:tcPr>
            <w:tcW w:w="11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151,045,319</w:t>
            </w:r>
          </w:p>
        </w:tc>
        <w:tc>
          <w:tcPr>
            <w:tcW w:w="94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-0.9%</w:t>
            </w:r>
          </w:p>
        </w:tc>
        <w:tc>
          <w:tcPr>
            <w:tcW w:w="7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150"/>
        </w:trPr>
        <w:tc>
          <w:tcPr>
            <w:tcW w:w="56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6"/>
                <w:szCs w:val="16"/>
                <w:color w:val="auto"/>
              </w:rPr>
              <w:t>Credit risk-weighted assets</w:t>
            </w:r>
          </w:p>
        </w:tc>
        <w:tc>
          <w:tcPr>
            <w:tcW w:w="1540" w:type="dxa"/>
            <w:vAlign w:val="bottom"/>
          </w:tcPr>
          <w:p>
            <w:pPr>
              <w:jc w:val="right"/>
              <w:ind w:right="121"/>
              <w:spacing w:after="0" w:line="150" w:lineRule="exact"/>
              <w:rPr>
                <w:sz w:val="20"/>
                <w:szCs w:val="20"/>
                <w:color w:val="auto"/>
              </w:rPr>
            </w:pPr>
            <w:r>
              <w:rPr>
                <w:rFonts w:ascii="Arial" w:cs="Arial" w:eastAsia="Arial" w:hAnsi="Arial"/>
                <w:sz w:val="16"/>
                <w:szCs w:val="16"/>
                <w:color w:val="auto"/>
              </w:rPr>
              <w:t>126,638,687</w:t>
            </w:r>
          </w:p>
        </w:tc>
        <w:tc>
          <w:tcPr>
            <w:tcW w:w="1360" w:type="dxa"/>
            <w:vAlign w:val="bottom"/>
          </w:tcPr>
          <w:p>
            <w:pPr>
              <w:jc w:val="right"/>
              <w:ind w:right="141"/>
              <w:spacing w:after="0" w:line="150" w:lineRule="exact"/>
              <w:rPr>
                <w:sz w:val="20"/>
                <w:szCs w:val="20"/>
                <w:color w:val="auto"/>
              </w:rPr>
            </w:pPr>
            <w:r>
              <w:rPr>
                <w:rFonts w:ascii="Arial" w:cs="Arial" w:eastAsia="Arial" w:hAnsi="Arial"/>
                <w:sz w:val="16"/>
                <w:szCs w:val="16"/>
                <w:color w:val="auto"/>
              </w:rPr>
              <w:t>137,707,535</w:t>
            </w:r>
          </w:p>
        </w:tc>
        <w:tc>
          <w:tcPr>
            <w:tcW w:w="114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135,397,192</w:t>
            </w:r>
          </w:p>
        </w:tc>
        <w:tc>
          <w:tcPr>
            <w:tcW w:w="940" w:type="dxa"/>
            <w:vAlign w:val="bottom"/>
          </w:tcPr>
          <w:p>
            <w:pPr>
              <w:jc w:val="right"/>
              <w:ind w:right="61"/>
              <w:spacing w:after="0" w:line="150" w:lineRule="exact"/>
              <w:rPr>
                <w:sz w:val="20"/>
                <w:szCs w:val="20"/>
                <w:color w:val="auto"/>
              </w:rPr>
            </w:pPr>
            <w:r>
              <w:rPr>
                <w:rFonts w:ascii="Arial" w:cs="Arial" w:eastAsia="Arial" w:hAnsi="Arial"/>
                <w:sz w:val="16"/>
                <w:szCs w:val="16"/>
                <w:color w:val="auto"/>
              </w:rPr>
              <w:t>-1.7%</w:t>
            </w:r>
          </w:p>
        </w:tc>
        <w:tc>
          <w:tcPr>
            <w:tcW w:w="70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78"/>
        </w:trPr>
        <w:tc>
          <w:tcPr>
            <w:tcW w:w="56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Market risk-weighted assets </w:t>
            </w:r>
            <w:r>
              <w:rPr>
                <w:rFonts w:ascii="Arial" w:cs="Arial" w:eastAsia="Arial" w:hAnsi="Arial"/>
                <w:sz w:val="20"/>
                <w:szCs w:val="20"/>
                <w:color w:val="auto"/>
                <w:vertAlign w:val="superscript"/>
              </w:rPr>
              <w:t>(5)</w:t>
            </w:r>
          </w:p>
        </w:tc>
        <w:tc>
          <w:tcPr>
            <w:tcW w:w="1540" w:type="dxa"/>
            <w:vAlign w:val="bottom"/>
          </w:tcPr>
          <w:p>
            <w:pPr>
              <w:jc w:val="right"/>
              <w:ind w:right="121"/>
              <w:spacing w:after="0" w:line="178" w:lineRule="exact"/>
              <w:rPr>
                <w:sz w:val="20"/>
                <w:szCs w:val="20"/>
                <w:color w:val="auto"/>
              </w:rPr>
            </w:pPr>
            <w:r>
              <w:rPr>
                <w:rFonts w:ascii="Arial" w:cs="Arial" w:eastAsia="Arial" w:hAnsi="Arial"/>
                <w:sz w:val="16"/>
                <w:szCs w:val="16"/>
                <w:color w:val="auto"/>
              </w:rPr>
              <w:t>4,708,619</w:t>
            </w:r>
          </w:p>
        </w:tc>
        <w:tc>
          <w:tcPr>
            <w:tcW w:w="1360" w:type="dxa"/>
            <w:vAlign w:val="bottom"/>
          </w:tcPr>
          <w:p>
            <w:pPr>
              <w:jc w:val="right"/>
              <w:ind w:right="141"/>
              <w:spacing w:after="0" w:line="178" w:lineRule="exact"/>
              <w:rPr>
                <w:sz w:val="20"/>
                <w:szCs w:val="20"/>
                <w:color w:val="auto"/>
              </w:rPr>
            </w:pPr>
            <w:r>
              <w:rPr>
                <w:rFonts w:ascii="Arial" w:cs="Arial" w:eastAsia="Arial" w:hAnsi="Arial"/>
                <w:sz w:val="16"/>
                <w:szCs w:val="16"/>
                <w:color w:val="auto"/>
              </w:rPr>
              <w:t>2,408,770</w:t>
            </w:r>
          </w:p>
        </w:tc>
        <w:tc>
          <w:tcPr>
            <w:tcW w:w="11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2,231,891</w:t>
            </w:r>
          </w:p>
        </w:tc>
        <w:tc>
          <w:tcPr>
            <w:tcW w:w="940" w:type="dxa"/>
            <w:vAlign w:val="bottom"/>
          </w:tcPr>
          <w:p>
            <w:pPr>
              <w:jc w:val="right"/>
              <w:ind w:right="61"/>
              <w:spacing w:after="0" w:line="178" w:lineRule="exact"/>
              <w:rPr>
                <w:sz w:val="20"/>
                <w:szCs w:val="20"/>
                <w:color w:val="auto"/>
              </w:rPr>
            </w:pPr>
            <w:r>
              <w:rPr>
                <w:rFonts w:ascii="Arial" w:cs="Arial" w:eastAsia="Arial" w:hAnsi="Arial"/>
                <w:sz w:val="16"/>
                <w:szCs w:val="16"/>
                <w:color w:val="auto"/>
              </w:rPr>
              <w:t>-7.3%</w:t>
            </w:r>
          </w:p>
        </w:tc>
        <w:tc>
          <w:tcPr>
            <w:tcW w:w="7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194"/>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Operational risk-weighted assets</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11,507,050</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12,259,930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13,416,236</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9.4%</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capital requirement - SBS</w:t>
            </w:r>
          </w:p>
        </w:tc>
        <w:tc>
          <w:tcPr>
            <w:tcW w:w="154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b w:val="1"/>
                <w:bCs w:val="1"/>
                <w:color w:val="auto"/>
              </w:rPr>
              <w:t>16,509,727</w:t>
            </w:r>
          </w:p>
        </w:tc>
        <w:tc>
          <w:tcPr>
            <w:tcW w:w="1360" w:type="dxa"/>
            <w:vAlign w:val="bottom"/>
            <w:tcBorders>
              <w:bottom w:val="single" w:sz="8" w:color="auto"/>
            </w:tcBorders>
          </w:tcPr>
          <w:p>
            <w:pPr>
              <w:jc w:val="right"/>
              <w:ind w:right="141"/>
              <w:spacing w:after="0" w:line="174" w:lineRule="exact"/>
              <w:rPr>
                <w:sz w:val="20"/>
                <w:szCs w:val="20"/>
                <w:color w:val="auto"/>
              </w:rPr>
            </w:pPr>
            <w:r>
              <w:rPr>
                <w:rFonts w:ascii="Arial" w:cs="Arial" w:eastAsia="Arial" w:hAnsi="Arial"/>
                <w:sz w:val="16"/>
                <w:szCs w:val="16"/>
                <w:b w:val="1"/>
                <w:bCs w:val="1"/>
                <w:color w:val="auto"/>
              </w:rPr>
              <w:t>14,433,033</w:t>
            </w:r>
          </w:p>
        </w:tc>
        <w:tc>
          <w:tcPr>
            <w:tcW w:w="11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14,355,691</w:t>
            </w:r>
          </w:p>
        </w:tc>
        <w:tc>
          <w:tcPr>
            <w:tcW w:w="94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-0.5%</w:t>
            </w:r>
          </w:p>
        </w:tc>
        <w:tc>
          <w:tcPr>
            <w:tcW w:w="7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-13.0%</w:t>
            </w:r>
          </w:p>
        </w:tc>
        <w:tc>
          <w:tcPr>
            <w:tcW w:w="0" w:type="dxa"/>
            <w:vAlign w:val="bottom"/>
          </w:tcPr>
          <w:p>
            <w:pPr>
              <w:spacing w:after="0"/>
              <w:rPr>
                <w:sz w:val="1"/>
                <w:szCs w:val="1"/>
                <w:color w:val="auto"/>
              </w:rPr>
            </w:pPr>
          </w:p>
        </w:tc>
      </w:tr>
      <w:tr>
        <w:trPr>
          <w:trHeight w:val="154"/>
        </w:trPr>
        <w:tc>
          <w:tcPr>
            <w:tcW w:w="56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Credit risk capital requirement</w:t>
            </w:r>
          </w:p>
        </w:tc>
        <w:tc>
          <w:tcPr>
            <w:tcW w:w="15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12,663,869</w:t>
            </w:r>
          </w:p>
        </w:tc>
        <w:tc>
          <w:tcPr>
            <w:tcW w:w="1360" w:type="dxa"/>
            <w:vAlign w:val="bottom"/>
          </w:tcPr>
          <w:p>
            <w:pPr>
              <w:jc w:val="right"/>
              <w:ind w:right="141"/>
              <w:spacing w:after="0" w:line="155" w:lineRule="exact"/>
              <w:rPr>
                <w:sz w:val="20"/>
                <w:szCs w:val="20"/>
                <w:color w:val="auto"/>
              </w:rPr>
            </w:pPr>
            <w:r>
              <w:rPr>
                <w:rFonts w:ascii="Arial" w:cs="Arial" w:eastAsia="Arial" w:hAnsi="Arial"/>
                <w:sz w:val="16"/>
                <w:szCs w:val="16"/>
                <w:color w:val="auto"/>
              </w:rPr>
              <w:t>11,016,603</w:t>
            </w:r>
          </w:p>
        </w:tc>
        <w:tc>
          <w:tcPr>
            <w:tcW w:w="11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10,831,775</w:t>
            </w:r>
          </w:p>
        </w:tc>
        <w:tc>
          <w:tcPr>
            <w:tcW w:w="940" w:type="dxa"/>
            <w:vAlign w:val="bottom"/>
          </w:tcPr>
          <w:p>
            <w:pPr>
              <w:jc w:val="right"/>
              <w:ind w:right="61"/>
              <w:spacing w:after="0" w:line="155" w:lineRule="exact"/>
              <w:rPr>
                <w:sz w:val="20"/>
                <w:szCs w:val="20"/>
                <w:color w:val="auto"/>
              </w:rPr>
            </w:pPr>
            <w:r>
              <w:rPr>
                <w:rFonts w:ascii="Arial" w:cs="Arial" w:eastAsia="Arial" w:hAnsi="Arial"/>
                <w:sz w:val="16"/>
                <w:szCs w:val="16"/>
                <w:color w:val="auto"/>
              </w:rPr>
              <w:t>-1.7%</w:t>
            </w:r>
          </w:p>
        </w:tc>
        <w:tc>
          <w:tcPr>
            <w:tcW w:w="7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Market risk capital requirement</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470,862</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240,877</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223,189</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-7.3%</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Operational risk capital requirement</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1,150,705</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1,225,993</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1,341,624</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9.4%</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94"/>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Additional capital requirements</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2,224,292</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1,949,560</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1,959,102</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0.5%</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Common Equity Tier 1 - Basel IFRS </w:t>
            </w:r>
            <w:r>
              <w:rPr>
                <w:rFonts w:ascii="Arial" w:cs="Arial" w:eastAsia="Arial" w:hAnsi="Arial"/>
                <w:sz w:val="20"/>
                <w:szCs w:val="20"/>
                <w:b w:val="1"/>
                <w:bCs w:val="1"/>
                <w:color w:val="auto"/>
                <w:vertAlign w:val="superscript"/>
              </w:rPr>
              <w:t>(6)</w:t>
            </w:r>
          </w:p>
        </w:tc>
        <w:tc>
          <w:tcPr>
            <w:tcW w:w="154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b w:val="1"/>
                <w:bCs w:val="1"/>
                <w:color w:val="auto"/>
              </w:rPr>
              <w:t>14,897,432</w:t>
            </w:r>
          </w:p>
        </w:tc>
        <w:tc>
          <w:tcPr>
            <w:tcW w:w="1360" w:type="dxa"/>
            <w:vAlign w:val="bottom"/>
            <w:tcBorders>
              <w:bottom w:val="single" w:sz="8" w:color="auto"/>
            </w:tcBorders>
          </w:tcPr>
          <w:p>
            <w:pPr>
              <w:jc w:val="right"/>
              <w:ind w:right="141"/>
              <w:spacing w:after="0" w:line="174" w:lineRule="exact"/>
              <w:rPr>
                <w:sz w:val="20"/>
                <w:szCs w:val="20"/>
                <w:color w:val="auto"/>
              </w:rPr>
            </w:pPr>
            <w:r>
              <w:rPr>
                <w:rFonts w:ascii="Arial" w:cs="Arial" w:eastAsia="Arial" w:hAnsi="Arial"/>
                <w:sz w:val="16"/>
                <w:szCs w:val="16"/>
                <w:b w:val="1"/>
                <w:bCs w:val="1"/>
                <w:color w:val="auto"/>
              </w:rPr>
              <w:t>17,024,608</w:t>
            </w:r>
          </w:p>
        </w:tc>
        <w:tc>
          <w:tcPr>
            <w:tcW w:w="11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16,477,382</w:t>
            </w:r>
          </w:p>
        </w:tc>
        <w:tc>
          <w:tcPr>
            <w:tcW w:w="94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-3.2%</w:t>
            </w:r>
          </w:p>
        </w:tc>
        <w:tc>
          <w:tcPr>
            <w:tcW w:w="7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154"/>
        </w:trPr>
        <w:tc>
          <w:tcPr>
            <w:tcW w:w="56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Capital and reserves</w:t>
            </w:r>
          </w:p>
        </w:tc>
        <w:tc>
          <w:tcPr>
            <w:tcW w:w="15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17,512,648</w:t>
            </w:r>
          </w:p>
        </w:tc>
        <w:tc>
          <w:tcPr>
            <w:tcW w:w="1360" w:type="dxa"/>
            <w:vAlign w:val="bottom"/>
          </w:tcPr>
          <w:p>
            <w:pPr>
              <w:jc w:val="right"/>
              <w:ind w:right="141"/>
              <w:spacing w:after="0" w:line="155" w:lineRule="exact"/>
              <w:rPr>
                <w:sz w:val="20"/>
                <w:szCs w:val="20"/>
                <w:color w:val="auto"/>
              </w:rPr>
            </w:pPr>
            <w:r>
              <w:rPr>
                <w:rFonts w:ascii="Arial" w:cs="Arial" w:eastAsia="Arial" w:hAnsi="Arial"/>
                <w:sz w:val="16"/>
                <w:szCs w:val="16"/>
                <w:color w:val="auto"/>
              </w:rPr>
              <w:t>17,512,975</w:t>
            </w:r>
          </w:p>
        </w:tc>
        <w:tc>
          <w:tcPr>
            <w:tcW w:w="11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19,180,633</w:t>
            </w:r>
          </w:p>
        </w:tc>
        <w:tc>
          <w:tcPr>
            <w:tcW w:w="940" w:type="dxa"/>
            <w:vAlign w:val="bottom"/>
          </w:tcPr>
          <w:p>
            <w:pPr>
              <w:jc w:val="right"/>
              <w:ind w:right="61"/>
              <w:spacing w:after="0" w:line="155" w:lineRule="exact"/>
              <w:rPr>
                <w:sz w:val="20"/>
                <w:szCs w:val="20"/>
                <w:color w:val="auto"/>
              </w:rPr>
            </w:pPr>
            <w:r>
              <w:rPr>
                <w:rFonts w:ascii="Arial" w:cs="Arial" w:eastAsia="Arial" w:hAnsi="Arial"/>
                <w:sz w:val="16"/>
                <w:szCs w:val="16"/>
                <w:color w:val="auto"/>
              </w:rPr>
              <w:t>9.5%</w:t>
            </w:r>
          </w:p>
        </w:tc>
        <w:tc>
          <w:tcPr>
            <w:tcW w:w="7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Retained earnings</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723,680</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3,615,646</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1,740,668</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-51.9%</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Unrealized gains (losses)</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(68,242)</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(495,371)</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(780,063)</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57.5%</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Goodwill and intangibles</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(1,179,722)</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(1,302,414)</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(1,266,218)</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-2.8%</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4"/>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Investments in subsidiaries</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(2,090,931)</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(2,306,228)</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(2,397,638)</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64"/>
        </w:trPr>
        <w:tc>
          <w:tcPr>
            <w:tcW w:w="56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0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Risk-Weighted Assets </w:t>
            </w:r>
            <w:r>
              <w:rPr>
                <w:rFonts w:ascii="Arial" w:cs="Arial" w:eastAsia="Arial" w:hAnsi="Arial"/>
                <w:sz w:val="13"/>
                <w:szCs w:val="13"/>
                <w:color w:val="auto"/>
              </w:rPr>
              <w:t>-</w:t>
            </w:r>
            <w:r>
              <w:rPr>
                <w:rFonts w:ascii="Arial" w:cs="Arial" w:eastAsia="Arial" w:hAnsi="Arial"/>
                <w:sz w:val="13"/>
                <w:szCs w:val="13"/>
                <w:b w:val="1"/>
                <w:bCs w:val="1"/>
                <w:color w:val="auto"/>
              </w:rPr>
              <w:t xml:space="preserve"> Basel IFRS </w:t>
            </w:r>
            <w:r>
              <w:rPr>
                <w:rFonts w:ascii="Arial" w:cs="Arial" w:eastAsia="Arial" w:hAnsi="Arial"/>
                <w:sz w:val="20"/>
                <w:szCs w:val="20"/>
                <w:b w:val="1"/>
                <w:bCs w:val="1"/>
                <w:color w:val="auto"/>
                <w:vertAlign w:val="superscript"/>
              </w:rPr>
              <w:t>(7)</w:t>
            </w:r>
          </w:p>
        </w:tc>
        <w:tc>
          <w:tcPr>
            <w:tcW w:w="1540" w:type="dxa"/>
            <w:vAlign w:val="bottom"/>
            <w:tcBorders>
              <w:bottom w:val="single" w:sz="8" w:color="auto"/>
            </w:tcBorders>
          </w:tcPr>
          <w:p>
            <w:pPr>
              <w:jc w:val="right"/>
              <w:ind w:right="121"/>
              <w:spacing w:after="0" w:line="174" w:lineRule="exact"/>
              <w:rPr>
                <w:sz w:val="20"/>
                <w:szCs w:val="20"/>
                <w:color w:val="auto"/>
              </w:rPr>
            </w:pPr>
            <w:r>
              <w:rPr>
                <w:rFonts w:ascii="Arial" w:cs="Arial" w:eastAsia="Arial" w:hAnsi="Arial"/>
                <w:sz w:val="16"/>
                <w:szCs w:val="16"/>
                <w:b w:val="1"/>
                <w:bCs w:val="1"/>
                <w:color w:val="auto"/>
              </w:rPr>
              <w:t>135,266,151</w:t>
            </w:r>
          </w:p>
        </w:tc>
        <w:tc>
          <w:tcPr>
            <w:tcW w:w="1360" w:type="dxa"/>
            <w:vAlign w:val="bottom"/>
            <w:tcBorders>
              <w:bottom w:val="single" w:sz="8" w:color="auto"/>
            </w:tcBorders>
          </w:tcPr>
          <w:p>
            <w:pPr>
              <w:jc w:val="right"/>
              <w:ind w:right="141"/>
              <w:spacing w:after="0" w:line="174" w:lineRule="exact"/>
              <w:rPr>
                <w:sz w:val="20"/>
                <w:szCs w:val="20"/>
                <w:color w:val="auto"/>
              </w:rPr>
            </w:pPr>
            <w:r>
              <w:rPr>
                <w:rFonts w:ascii="Arial" w:cs="Arial" w:eastAsia="Arial" w:hAnsi="Arial"/>
                <w:sz w:val="16"/>
                <w:szCs w:val="16"/>
                <w:b w:val="1"/>
                <w:bCs w:val="1"/>
                <w:color w:val="auto"/>
              </w:rPr>
              <w:t>142,915,780</w:t>
            </w:r>
          </w:p>
        </w:tc>
        <w:tc>
          <w:tcPr>
            <w:tcW w:w="11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141,698,998</w:t>
            </w:r>
          </w:p>
        </w:tc>
        <w:tc>
          <w:tcPr>
            <w:tcW w:w="94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-0.9%</w:t>
            </w:r>
          </w:p>
        </w:tc>
        <w:tc>
          <w:tcPr>
            <w:tcW w:w="7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154"/>
        </w:trPr>
        <w:tc>
          <w:tcPr>
            <w:tcW w:w="56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Total risk-weighted assets</w:t>
            </w:r>
          </w:p>
        </w:tc>
        <w:tc>
          <w:tcPr>
            <w:tcW w:w="154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142,854,356</w:t>
            </w:r>
          </w:p>
        </w:tc>
        <w:tc>
          <w:tcPr>
            <w:tcW w:w="1360" w:type="dxa"/>
            <w:vAlign w:val="bottom"/>
          </w:tcPr>
          <w:p>
            <w:pPr>
              <w:jc w:val="right"/>
              <w:ind w:right="141"/>
              <w:spacing w:after="0" w:line="155" w:lineRule="exact"/>
              <w:rPr>
                <w:sz w:val="20"/>
                <w:szCs w:val="20"/>
                <w:color w:val="auto"/>
              </w:rPr>
            </w:pPr>
            <w:r>
              <w:rPr>
                <w:rFonts w:ascii="Arial" w:cs="Arial" w:eastAsia="Arial" w:hAnsi="Arial"/>
                <w:sz w:val="16"/>
                <w:szCs w:val="16"/>
                <w:color w:val="auto"/>
              </w:rPr>
              <w:t>152,376,235</w:t>
            </w:r>
          </w:p>
        </w:tc>
        <w:tc>
          <w:tcPr>
            <w:tcW w:w="11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151,045,319</w:t>
            </w:r>
          </w:p>
        </w:tc>
        <w:tc>
          <w:tcPr>
            <w:tcW w:w="940" w:type="dxa"/>
            <w:vAlign w:val="bottom"/>
          </w:tcPr>
          <w:p>
            <w:pPr>
              <w:jc w:val="right"/>
              <w:ind w:right="61"/>
              <w:spacing w:after="0" w:line="155" w:lineRule="exact"/>
              <w:rPr>
                <w:sz w:val="20"/>
                <w:szCs w:val="20"/>
                <w:color w:val="auto"/>
              </w:rPr>
            </w:pPr>
            <w:r>
              <w:rPr>
                <w:rFonts w:ascii="Arial" w:cs="Arial" w:eastAsia="Arial" w:hAnsi="Arial"/>
                <w:sz w:val="16"/>
                <w:szCs w:val="16"/>
                <w:color w:val="auto"/>
              </w:rPr>
              <w:t>-0.9%</w:t>
            </w:r>
          </w:p>
        </w:tc>
        <w:tc>
          <w:tcPr>
            <w:tcW w:w="7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160"/>
              <w:spacing w:after="0" w:line="174" w:lineRule="exact"/>
              <w:rPr>
                <w:sz w:val="20"/>
                <w:szCs w:val="20"/>
                <w:color w:val="auto"/>
              </w:rPr>
            </w:pPr>
            <w:r>
              <w:rPr>
                <w:rFonts w:ascii="Arial" w:cs="Arial" w:eastAsia="Arial" w:hAnsi="Arial"/>
                <w:sz w:val="16"/>
                <w:szCs w:val="16"/>
                <w:color w:val="auto"/>
              </w:rPr>
              <w:t>(-) RWA Intangible assets, excluding goodwill.</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9,387,483</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10,993,753</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10,798,886</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-1.8%</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160"/>
              <w:spacing w:after="0" w:line="174" w:lineRule="exact"/>
              <w:rPr>
                <w:sz w:val="20"/>
                <w:szCs w:val="20"/>
                <w:color w:val="auto"/>
              </w:rPr>
            </w:pPr>
            <w:r>
              <w:rPr>
                <w:rFonts w:ascii="Arial" w:cs="Arial" w:eastAsia="Arial" w:hAnsi="Arial"/>
                <w:sz w:val="16"/>
                <w:szCs w:val="16"/>
                <w:color w:val="auto"/>
              </w:rPr>
              <w:t>(+) RWA Deferred tax assets generated as a result of temporary differences</w:t>
            </w:r>
          </w:p>
        </w:tc>
        <w:tc>
          <w:tcPr>
            <w:tcW w:w="1540" w:type="dxa"/>
            <w:vAlign w:val="bottom"/>
            <w:vMerge w:val="restart"/>
          </w:tcPr>
          <w:p>
            <w:pPr>
              <w:jc w:val="right"/>
              <w:ind w:right="121"/>
              <w:spacing w:after="0"/>
              <w:rPr>
                <w:sz w:val="20"/>
                <w:szCs w:val="20"/>
                <w:color w:val="auto"/>
              </w:rPr>
            </w:pPr>
            <w:r>
              <w:rPr>
                <w:rFonts w:ascii="Arial" w:cs="Arial" w:eastAsia="Arial" w:hAnsi="Arial"/>
                <w:sz w:val="16"/>
                <w:szCs w:val="16"/>
                <w:color w:val="auto"/>
              </w:rPr>
              <w:t>1,280,595</w:t>
            </w:r>
          </w:p>
        </w:tc>
        <w:tc>
          <w:tcPr>
            <w:tcW w:w="1360" w:type="dxa"/>
            <w:vAlign w:val="bottom"/>
            <w:vMerge w:val="restart"/>
          </w:tcPr>
          <w:p>
            <w:pPr>
              <w:jc w:val="right"/>
              <w:ind w:right="141"/>
              <w:spacing w:after="0"/>
              <w:rPr>
                <w:sz w:val="20"/>
                <w:szCs w:val="20"/>
                <w:color w:val="auto"/>
              </w:rPr>
            </w:pPr>
            <w:r>
              <w:rPr>
                <w:rFonts w:ascii="Arial" w:cs="Arial" w:eastAsia="Arial" w:hAnsi="Arial"/>
                <w:sz w:val="16"/>
                <w:szCs w:val="16"/>
                <w:color w:val="auto"/>
              </w:rPr>
              <w:t>1,001,471</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882,435</w:t>
            </w:r>
          </w:p>
        </w:tc>
        <w:tc>
          <w:tcPr>
            <w:tcW w:w="940" w:type="dxa"/>
            <w:vAlign w:val="bottom"/>
            <w:vMerge w:val="restart"/>
          </w:tcPr>
          <w:p>
            <w:pPr>
              <w:jc w:val="right"/>
              <w:ind w:right="61"/>
              <w:spacing w:after="0"/>
              <w:rPr>
                <w:sz w:val="20"/>
                <w:szCs w:val="20"/>
                <w:color w:val="auto"/>
              </w:rPr>
            </w:pPr>
            <w:r>
              <w:rPr>
                <w:rFonts w:ascii="Arial" w:cs="Arial" w:eastAsia="Arial" w:hAnsi="Arial"/>
                <w:sz w:val="16"/>
                <w:szCs w:val="16"/>
                <w:color w:val="auto"/>
              </w:rPr>
              <w:t>-11.9%</w:t>
            </w:r>
          </w:p>
        </w:tc>
        <w:tc>
          <w:tcPr>
            <w:tcW w:w="7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23"/>
        </w:trPr>
        <w:tc>
          <w:tcPr>
            <w:tcW w:w="5600" w:type="dxa"/>
            <w:vAlign w:val="bottom"/>
            <w:tcBorders>
              <w:left w:val="single" w:sz="8" w:color="auto"/>
              <w:right w:val="single" w:sz="8" w:color="auto"/>
            </w:tcBorders>
            <w:vMerge w:val="restart"/>
          </w:tcPr>
          <w:p>
            <w:pPr>
              <w:ind w:left="260"/>
              <w:spacing w:after="0" w:line="174" w:lineRule="exact"/>
              <w:rPr>
                <w:sz w:val="20"/>
                <w:szCs w:val="20"/>
                <w:color w:val="auto"/>
              </w:rPr>
            </w:pPr>
            <w:r>
              <w:rPr>
                <w:rFonts w:ascii="Arial" w:cs="Arial" w:eastAsia="Arial" w:hAnsi="Arial"/>
                <w:sz w:val="16"/>
                <w:szCs w:val="16"/>
                <w:color w:val="auto"/>
              </w:rPr>
              <w:t>in income tax, in excess of 10% of CET1</w:t>
            </w:r>
          </w:p>
        </w:tc>
        <w:tc>
          <w:tcPr>
            <w:tcW w:w="15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5600" w:type="dxa"/>
            <w:vAlign w:val="bottom"/>
            <w:tcBorders>
              <w:left w:val="single" w:sz="8" w:color="auto"/>
              <w:right w:val="single" w:sz="8" w:color="auto"/>
            </w:tcBorders>
            <w:vMerge w:val="continue"/>
          </w:tcPr>
          <w:p>
            <w:pPr>
              <w:spacing w:after="0"/>
              <w:rPr>
                <w:sz w:val="4"/>
                <w:szCs w:val="4"/>
                <w:color w:val="auto"/>
              </w:rPr>
            </w:pPr>
          </w:p>
        </w:tc>
        <w:tc>
          <w:tcPr>
            <w:tcW w:w="1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600" w:type="dxa"/>
            <w:vAlign w:val="bottom"/>
            <w:tcBorders>
              <w:left w:val="single" w:sz="8" w:color="auto"/>
              <w:right w:val="single" w:sz="8" w:color="auto"/>
            </w:tcBorders>
          </w:tcPr>
          <w:p>
            <w:pPr>
              <w:ind w:left="160"/>
              <w:spacing w:after="0" w:line="169" w:lineRule="exact"/>
              <w:rPr>
                <w:sz w:val="20"/>
                <w:szCs w:val="20"/>
                <w:color w:val="auto"/>
              </w:rPr>
            </w:pPr>
            <w:r>
              <w:rPr>
                <w:rFonts w:ascii="Arial" w:cs="Arial" w:eastAsia="Arial" w:hAnsi="Arial"/>
                <w:sz w:val="16"/>
                <w:szCs w:val="16"/>
                <w:color w:val="auto"/>
              </w:rPr>
              <w:t>(+) RWA Deferred tax assets generated as a result of past losses</w:t>
            </w:r>
          </w:p>
        </w:tc>
        <w:tc>
          <w:tcPr>
            <w:tcW w:w="1540" w:type="dxa"/>
            <w:vAlign w:val="bottom"/>
          </w:tcPr>
          <w:p>
            <w:pPr>
              <w:jc w:val="right"/>
              <w:ind w:right="121"/>
              <w:spacing w:after="0" w:line="169" w:lineRule="exact"/>
              <w:rPr>
                <w:sz w:val="20"/>
                <w:szCs w:val="20"/>
                <w:color w:val="auto"/>
              </w:rPr>
            </w:pPr>
            <w:r>
              <w:rPr>
                <w:rFonts w:ascii="Arial" w:cs="Arial" w:eastAsia="Arial" w:hAnsi="Arial"/>
                <w:sz w:val="16"/>
                <w:szCs w:val="16"/>
                <w:color w:val="auto"/>
              </w:rPr>
              <w:t>-</w:t>
            </w:r>
          </w:p>
        </w:tc>
        <w:tc>
          <w:tcPr>
            <w:tcW w:w="1360" w:type="dxa"/>
            <w:vAlign w:val="bottom"/>
          </w:tcPr>
          <w:p>
            <w:pPr>
              <w:jc w:val="right"/>
              <w:ind w:right="141"/>
              <w:spacing w:after="0" w:line="169" w:lineRule="exact"/>
              <w:rPr>
                <w:sz w:val="20"/>
                <w:szCs w:val="20"/>
                <w:color w:val="auto"/>
              </w:rPr>
            </w:pPr>
            <w:r>
              <w:rPr>
                <w:rFonts w:ascii="Arial" w:cs="Arial" w:eastAsia="Arial" w:hAnsi="Arial"/>
                <w:sz w:val="16"/>
                <w:szCs w:val="16"/>
                <w:color w:val="auto"/>
              </w:rPr>
              <w:t>-</w:t>
            </w:r>
          </w:p>
        </w:tc>
        <w:tc>
          <w:tcPr>
            <w:tcW w:w="11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line="169" w:lineRule="exact"/>
              <w:rPr>
                <w:sz w:val="20"/>
                <w:szCs w:val="20"/>
                <w:color w:val="auto"/>
              </w:rPr>
            </w:pPr>
            <w:r>
              <w:rPr>
                <w:rFonts w:ascii="Arial" w:cs="Arial" w:eastAsia="Arial" w:hAnsi="Arial"/>
                <w:sz w:val="16"/>
                <w:szCs w:val="16"/>
                <w:color w:val="auto"/>
              </w:rPr>
              <w:t>n.a.</w:t>
            </w:r>
          </w:p>
        </w:tc>
        <w:tc>
          <w:tcPr>
            <w:tcW w:w="7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8"/>
        </w:trPr>
        <w:tc>
          <w:tcPr>
            <w:tcW w:w="5600" w:type="dxa"/>
            <w:vAlign w:val="bottom"/>
            <w:tcBorders>
              <w:left w:val="single" w:sz="8" w:color="auto"/>
              <w:bottom w:val="single" w:sz="8" w:color="auto"/>
              <w:right w:val="single" w:sz="8" w:color="auto"/>
            </w:tcBorders>
          </w:tcPr>
          <w:p>
            <w:pPr>
              <w:ind w:left="160"/>
              <w:spacing w:after="0" w:line="197" w:lineRule="exact"/>
              <w:rPr>
                <w:sz w:val="20"/>
                <w:szCs w:val="20"/>
                <w:color w:val="auto"/>
              </w:rPr>
            </w:pPr>
            <w:r>
              <w:rPr>
                <w:rFonts w:ascii="Arial" w:cs="Arial" w:eastAsia="Arial" w:hAnsi="Arial"/>
                <w:sz w:val="14"/>
                <w:szCs w:val="14"/>
                <w:color w:val="auto"/>
              </w:rPr>
              <w:t xml:space="preserve">(+) IFRS Adjustments </w:t>
            </w:r>
            <w:r>
              <w:rPr>
                <w:rFonts w:ascii="Arial" w:cs="Arial" w:eastAsia="Arial" w:hAnsi="Arial"/>
                <w:sz w:val="22"/>
                <w:szCs w:val="22"/>
                <w:color w:val="auto"/>
                <w:vertAlign w:val="superscript"/>
              </w:rPr>
              <w:t>(11)</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518,683</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531,826</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570,130</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7.2%</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Capital ratios</w:t>
            </w:r>
          </w:p>
        </w:tc>
        <w:tc>
          <w:tcPr>
            <w:tcW w:w="1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6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 xml:space="preserve">Regulatory Tier 1 ratio </w:t>
            </w:r>
            <w:r>
              <w:rPr>
                <w:rFonts w:ascii="Arial" w:cs="Arial" w:eastAsia="Arial" w:hAnsi="Arial"/>
                <w:sz w:val="17"/>
                <w:szCs w:val="17"/>
                <w:color w:val="auto"/>
                <w:vertAlign w:val="superscript"/>
              </w:rPr>
              <w:t>(8)</w:t>
            </w:r>
          </w:p>
        </w:tc>
        <w:tc>
          <w:tcPr>
            <w:tcW w:w="1540" w:type="dxa"/>
            <w:vAlign w:val="bottom"/>
          </w:tcPr>
          <w:p>
            <w:pPr>
              <w:jc w:val="right"/>
              <w:ind w:right="121"/>
              <w:spacing w:after="0" w:line="150" w:lineRule="exact"/>
              <w:rPr>
                <w:sz w:val="20"/>
                <w:szCs w:val="20"/>
                <w:color w:val="auto"/>
              </w:rPr>
            </w:pPr>
            <w:r>
              <w:rPr>
                <w:rFonts w:ascii="Arial" w:cs="Arial" w:eastAsia="Arial" w:hAnsi="Arial"/>
                <w:sz w:val="16"/>
                <w:szCs w:val="16"/>
                <w:color w:val="auto"/>
              </w:rPr>
              <w:t>10.59%</w:t>
            </w:r>
          </w:p>
        </w:tc>
        <w:tc>
          <w:tcPr>
            <w:tcW w:w="1360" w:type="dxa"/>
            <w:vAlign w:val="bottom"/>
          </w:tcPr>
          <w:p>
            <w:pPr>
              <w:jc w:val="right"/>
              <w:ind w:right="141"/>
              <w:spacing w:after="0" w:line="150" w:lineRule="exact"/>
              <w:rPr>
                <w:sz w:val="20"/>
                <w:szCs w:val="20"/>
                <w:color w:val="auto"/>
              </w:rPr>
            </w:pPr>
            <w:r>
              <w:rPr>
                <w:rFonts w:ascii="Arial" w:cs="Arial" w:eastAsia="Arial" w:hAnsi="Arial"/>
                <w:sz w:val="16"/>
                <w:szCs w:val="16"/>
                <w:color w:val="auto"/>
              </w:rPr>
              <w:t>9.94%</w:t>
            </w:r>
          </w:p>
        </w:tc>
        <w:tc>
          <w:tcPr>
            <w:tcW w:w="114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10.74%</w:t>
            </w:r>
          </w:p>
        </w:tc>
        <w:tc>
          <w:tcPr>
            <w:tcW w:w="940" w:type="dxa"/>
            <w:vAlign w:val="bottom"/>
          </w:tcPr>
          <w:p>
            <w:pPr>
              <w:jc w:val="right"/>
              <w:ind w:right="61"/>
              <w:spacing w:after="0" w:line="150" w:lineRule="exact"/>
              <w:rPr>
                <w:sz w:val="20"/>
                <w:szCs w:val="20"/>
                <w:color w:val="auto"/>
              </w:rPr>
            </w:pPr>
            <w:r>
              <w:rPr>
                <w:rFonts w:ascii="Arial" w:cs="Arial" w:eastAsia="Arial" w:hAnsi="Arial"/>
                <w:sz w:val="16"/>
                <w:szCs w:val="16"/>
                <w:color w:val="auto"/>
              </w:rPr>
              <w:t>80 bps</w:t>
            </w:r>
          </w:p>
        </w:tc>
        <w:tc>
          <w:tcPr>
            <w:tcW w:w="70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15 bps</w:t>
            </w:r>
          </w:p>
        </w:tc>
        <w:tc>
          <w:tcPr>
            <w:tcW w:w="0" w:type="dxa"/>
            <w:vAlign w:val="bottom"/>
          </w:tcPr>
          <w:p>
            <w:pPr>
              <w:spacing w:after="0"/>
              <w:rPr>
                <w:sz w:val="1"/>
                <w:szCs w:val="1"/>
                <w:color w:val="auto"/>
              </w:rPr>
            </w:pPr>
          </w:p>
        </w:tc>
      </w:tr>
      <w:tr>
        <w:trPr>
          <w:trHeight w:val="173"/>
        </w:trPr>
        <w:tc>
          <w:tcPr>
            <w:tcW w:w="56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0"/>
                <w:szCs w:val="20"/>
                <w:color w:val="auto"/>
                <w:vertAlign w:val="superscript"/>
              </w:rPr>
              <w:t>(9)(12)</w:t>
            </w:r>
          </w:p>
        </w:tc>
        <w:tc>
          <w:tcPr>
            <w:tcW w:w="154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11.01%</w:t>
            </w:r>
          </w:p>
        </w:tc>
        <w:tc>
          <w:tcPr>
            <w:tcW w:w="1360" w:type="dxa"/>
            <w:vAlign w:val="bottom"/>
          </w:tcPr>
          <w:p>
            <w:pPr>
              <w:jc w:val="right"/>
              <w:ind w:right="141"/>
              <w:spacing w:after="0" w:line="174" w:lineRule="exact"/>
              <w:rPr>
                <w:sz w:val="20"/>
                <w:szCs w:val="20"/>
                <w:color w:val="auto"/>
              </w:rPr>
            </w:pPr>
            <w:r>
              <w:rPr>
                <w:rFonts w:ascii="Arial" w:cs="Arial" w:eastAsia="Arial" w:hAnsi="Arial"/>
                <w:sz w:val="16"/>
                <w:szCs w:val="16"/>
                <w:color w:val="auto"/>
              </w:rPr>
              <w:t>11.91%</w:t>
            </w:r>
          </w:p>
        </w:tc>
        <w:tc>
          <w:tcPr>
            <w:tcW w:w="11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11.63%</w:t>
            </w:r>
          </w:p>
        </w:tc>
        <w:tc>
          <w:tcPr>
            <w:tcW w:w="9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-28 bps</w:t>
            </w:r>
          </w:p>
        </w:tc>
        <w:tc>
          <w:tcPr>
            <w:tcW w:w="7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62 bps</w:t>
            </w:r>
          </w:p>
        </w:tc>
        <w:tc>
          <w:tcPr>
            <w:tcW w:w="0" w:type="dxa"/>
            <w:vAlign w:val="bottom"/>
          </w:tcPr>
          <w:p>
            <w:pPr>
              <w:spacing w:after="0"/>
              <w:rPr>
                <w:sz w:val="1"/>
                <w:szCs w:val="1"/>
                <w:color w:val="auto"/>
              </w:rPr>
            </w:pPr>
          </w:p>
        </w:tc>
      </w:tr>
      <w:tr>
        <w:trPr>
          <w:trHeight w:val="178"/>
        </w:trPr>
        <w:tc>
          <w:tcPr>
            <w:tcW w:w="56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Regulatory Global Capital ratio </w:t>
            </w:r>
            <w:r>
              <w:rPr>
                <w:rFonts w:ascii="Arial" w:cs="Arial" w:eastAsia="Arial" w:hAnsi="Arial"/>
                <w:sz w:val="20"/>
                <w:szCs w:val="20"/>
                <w:color w:val="auto"/>
                <w:vertAlign w:val="superscript"/>
              </w:rPr>
              <w:t>(10)</w:t>
            </w:r>
          </w:p>
        </w:tc>
        <w:tc>
          <w:tcPr>
            <w:tcW w:w="1540" w:type="dxa"/>
            <w:vAlign w:val="bottom"/>
          </w:tcPr>
          <w:p>
            <w:pPr>
              <w:jc w:val="right"/>
              <w:ind w:right="121"/>
              <w:spacing w:after="0" w:line="178" w:lineRule="exact"/>
              <w:rPr>
                <w:sz w:val="20"/>
                <w:szCs w:val="20"/>
                <w:color w:val="auto"/>
              </w:rPr>
            </w:pPr>
            <w:r>
              <w:rPr>
                <w:rFonts w:ascii="Arial" w:cs="Arial" w:eastAsia="Arial" w:hAnsi="Arial"/>
                <w:sz w:val="16"/>
                <w:szCs w:val="16"/>
                <w:color w:val="auto"/>
              </w:rPr>
              <w:t>16.46%</w:t>
            </w:r>
          </w:p>
        </w:tc>
        <w:tc>
          <w:tcPr>
            <w:tcW w:w="1360" w:type="dxa"/>
            <w:vAlign w:val="bottom"/>
          </w:tcPr>
          <w:p>
            <w:pPr>
              <w:jc w:val="right"/>
              <w:ind w:right="141"/>
              <w:spacing w:after="0" w:line="178" w:lineRule="exact"/>
              <w:rPr>
                <w:sz w:val="20"/>
                <w:szCs w:val="20"/>
                <w:color w:val="auto"/>
              </w:rPr>
            </w:pPr>
            <w:r>
              <w:rPr>
                <w:rFonts w:ascii="Arial" w:cs="Arial" w:eastAsia="Arial" w:hAnsi="Arial"/>
                <w:sz w:val="16"/>
                <w:szCs w:val="16"/>
                <w:color w:val="auto"/>
              </w:rPr>
              <w:t>14.94%</w:t>
            </w:r>
          </w:p>
        </w:tc>
        <w:tc>
          <w:tcPr>
            <w:tcW w:w="11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15.79%</w:t>
            </w:r>
          </w:p>
        </w:tc>
        <w:tc>
          <w:tcPr>
            <w:tcW w:w="940" w:type="dxa"/>
            <w:vAlign w:val="bottom"/>
          </w:tcPr>
          <w:p>
            <w:pPr>
              <w:jc w:val="right"/>
              <w:ind w:right="61"/>
              <w:spacing w:after="0" w:line="178" w:lineRule="exact"/>
              <w:rPr>
                <w:sz w:val="20"/>
                <w:szCs w:val="20"/>
                <w:color w:val="auto"/>
              </w:rPr>
            </w:pPr>
            <w:r>
              <w:rPr>
                <w:rFonts w:ascii="Arial" w:cs="Arial" w:eastAsia="Arial" w:hAnsi="Arial"/>
                <w:sz w:val="16"/>
                <w:szCs w:val="16"/>
                <w:color w:val="auto"/>
              </w:rPr>
              <w:t>85 bps</w:t>
            </w:r>
          </w:p>
        </w:tc>
        <w:tc>
          <w:tcPr>
            <w:tcW w:w="7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-67 bps</w:t>
            </w:r>
          </w:p>
        </w:tc>
        <w:tc>
          <w:tcPr>
            <w:tcW w:w="0" w:type="dxa"/>
            <w:vAlign w:val="bottom"/>
          </w:tcPr>
          <w:p>
            <w:pPr>
              <w:spacing w:after="0"/>
              <w:rPr>
                <w:sz w:val="1"/>
                <w:szCs w:val="1"/>
                <w:color w:val="auto"/>
              </w:rPr>
            </w:pPr>
          </w:p>
        </w:tc>
      </w:tr>
      <w:tr>
        <w:trPr>
          <w:trHeight w:val="194"/>
        </w:trPr>
        <w:tc>
          <w:tcPr>
            <w:tcW w:w="56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Risk-weighted assets / Regulatory capital</w:t>
            </w: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6.08</w:t>
            </w:r>
          </w:p>
        </w:tc>
        <w:tc>
          <w:tcPr>
            <w:tcW w:w="13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6.69</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-5.4%</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140" w:hanging="133"/>
        <w:spacing w:after="0"/>
        <w:tabs>
          <w:tab w:leader="none" w:pos="1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Up to 1.25% of total risk-weighted assets.</w:t>
      </w:r>
    </w:p>
    <w:p>
      <w:pPr>
        <w:spacing w:after="0" w:line="16" w:lineRule="exact"/>
        <w:rPr>
          <w:rFonts w:ascii="Times New Roman" w:cs="Times New Roman" w:eastAsia="Times New Roman" w:hAnsi="Times New Roman"/>
          <w:sz w:val="9"/>
          <w:szCs w:val="9"/>
          <w:i w:val="1"/>
          <w:iCs w:val="1"/>
          <w:color w:val="auto"/>
        </w:rPr>
      </w:pPr>
    </w:p>
    <w:p>
      <w:pPr>
        <w:ind w:right="40" w:firstLine="7"/>
        <w:spacing w:after="0" w:line="251" w:lineRule="auto"/>
        <w:tabs>
          <w:tab w:leader="none" w:pos="133"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40" w:hanging="133"/>
        <w:spacing w:after="0"/>
        <w:tabs>
          <w:tab w:leader="none" w:pos="1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Regulatory Tier 2 Capital = Subordinated debt + Loan loss reserves + Unrestricted Reserves + (0.5 x Unrealized profit and net income in subsidiaries) - (0.5 x Investment in subsidiaries).</w:t>
      </w:r>
    </w:p>
    <w:p>
      <w:pPr>
        <w:spacing w:after="0" w:line="4"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Since July 2012, Total Risk-weighted assets = Credit risk-weighted assets * 1.00 + Capital requirement to cover market risk * 10 + Capital requirement to cover operational risk * 10 * 1.00 (since July 2014)</w:t>
      </w:r>
    </w:p>
    <w:p>
      <w:pPr>
        <w:spacing w:after="0" w:line="4"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It includes capital requirement to cover price and rate risk.</w:t>
      </w:r>
    </w:p>
    <w:p>
      <w:pPr>
        <w:spacing w:after="0" w:line="4" w:lineRule="exact"/>
        <w:rPr>
          <w:rFonts w:ascii="Times New Roman" w:cs="Times New Roman" w:eastAsia="Times New Roman" w:hAnsi="Times New Roman"/>
          <w:sz w:val="9"/>
          <w:szCs w:val="9"/>
          <w:i w:val="1"/>
          <w:iCs w:val="1"/>
          <w:color w:val="auto"/>
        </w:rPr>
      </w:pPr>
    </w:p>
    <w:p>
      <w:pPr>
        <w:ind w:right="120" w:firstLine="7"/>
        <w:spacing w:after="0" w:line="251" w:lineRule="auto"/>
        <w:tabs>
          <w:tab w:leader="none" w:pos="133"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Common Equity Tier I = Capital + Reserves – 100% of applicable deductions (investment in subsidiaries, goodwill, intangibles and net deferred taxes that rely on future profitability) + retained earnings + unrealized gains. Figures differ from previously reported cause current calculations are based on IFRS figures.</w:t>
      </w:r>
    </w:p>
    <w:p>
      <w:pPr>
        <w:ind w:right="200" w:firstLine="7"/>
        <w:spacing w:after="0" w:line="251" w:lineRule="auto"/>
        <w:tabs>
          <w:tab w:leader="none" w:pos="133"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ind w:left="140" w:hanging="133"/>
        <w:spacing w:after="0"/>
        <w:tabs>
          <w:tab w:leader="none" w:pos="1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Regulatory Tier 1 Capital / Total Risk-weighted assets</w:t>
      </w:r>
    </w:p>
    <w:p>
      <w:pPr>
        <w:spacing w:after="0" w:line="4" w:lineRule="exact"/>
        <w:rPr>
          <w:rFonts w:ascii="Times New Roman" w:cs="Times New Roman" w:eastAsia="Times New Roman" w:hAnsi="Times New Roman"/>
          <w:sz w:val="9"/>
          <w:szCs w:val="9"/>
          <w:i w:val="1"/>
          <w:iCs w:val="1"/>
          <w:color w:val="auto"/>
        </w:rPr>
      </w:pPr>
    </w:p>
    <w:p>
      <w:pPr>
        <w:ind w:left="140" w:hanging="133"/>
        <w:spacing w:after="0"/>
        <w:tabs>
          <w:tab w:leader="none" w:pos="14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Common Equity Tier I / Adjusted Risk-Weighted Assetsd Risk-Weighted Assets</w:t>
      </w:r>
    </w:p>
    <w:p>
      <w:pPr>
        <w:spacing w:after="0" w:line="4" w:lineRule="exact"/>
        <w:rPr>
          <w:rFonts w:ascii="Times New Roman" w:cs="Times New Roman" w:eastAsia="Times New Roman" w:hAnsi="Times New Roman"/>
          <w:sz w:val="9"/>
          <w:szCs w:val="9"/>
          <w:i w:val="1"/>
          <w:iCs w:val="1"/>
          <w:color w:val="auto"/>
        </w:rPr>
      </w:pPr>
    </w:p>
    <w:p>
      <w:pPr>
        <w:ind w:left="180" w:hanging="173"/>
        <w:spacing w:after="0"/>
        <w:tabs>
          <w:tab w:leader="none" w:pos="18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Total Regulatory Capital / Total Risk-weighted assets (legal minimum = 10% since July 2011)</w:t>
      </w:r>
    </w:p>
    <w:p>
      <w:pPr>
        <w:spacing w:after="0" w:line="4" w:lineRule="exact"/>
        <w:rPr>
          <w:rFonts w:ascii="Times New Roman" w:cs="Times New Roman" w:eastAsia="Times New Roman" w:hAnsi="Times New Roman"/>
          <w:sz w:val="9"/>
          <w:szCs w:val="9"/>
          <w:i w:val="1"/>
          <w:iCs w:val="1"/>
          <w:color w:val="auto"/>
        </w:rPr>
      </w:pPr>
    </w:p>
    <w:p>
      <w:pPr>
        <w:ind w:right="40" w:firstLine="7"/>
        <w:spacing w:after="0" w:line="251" w:lineRule="auto"/>
        <w:tabs>
          <w:tab w:leader="none" w:pos="173"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Adjustments for differences in balance assets under Local Accounting (which regulatory Rwas are calculated) and IFRS in the Right of use account (lease). As of March 2022, the 'Right of Use' account increased to S/ 364M, explained the 64% of the adjustment. The rest adjustments correspond to differences in stock of provisions and Deferred Taxes.</w:t>
      </w:r>
    </w:p>
    <w:p>
      <w:pPr>
        <w:ind w:left="180" w:hanging="173"/>
        <w:spacing w:after="0"/>
        <w:tabs>
          <w:tab w:leader="none" w:pos="180" w:val="left"/>
        </w:tabs>
        <w:numPr>
          <w:ilvl w:val="0"/>
          <w:numId w:val="4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Common Equity Tier I calculated based on IFRS Accounting</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Adequacy Ratios at Mibanco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 / thousands)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000" w:type="dxa"/>
            <w:vAlign w:val="bottom"/>
            <w:tcBorders>
              <w:right w:val="single" w:sz="8" w:color="auto"/>
            </w:tcBorders>
          </w:tcPr>
          <w:p>
            <w:pPr>
              <w:spacing w:after="0"/>
              <w:rPr>
                <w:sz w:val="15"/>
                <w:szCs w:val="15"/>
                <w:color w:val="auto"/>
              </w:rPr>
            </w:pPr>
          </w:p>
        </w:tc>
        <w:tc>
          <w:tcPr>
            <w:tcW w:w="1320" w:type="dxa"/>
            <w:vAlign w:val="bottom"/>
            <w:tcBorders>
              <w:top w:val="single" w:sz="8" w:color="auto"/>
            </w:tcBorders>
            <w:vMerge w:val="restart"/>
            <w:shd w:val="clear" w:color="auto" w:fill="2AD2C9"/>
          </w:tcPr>
          <w:p>
            <w:pPr>
              <w:jc w:val="right"/>
              <w:ind w:right="401"/>
              <w:spacing w:after="0"/>
              <w:rPr>
                <w:sz w:val="20"/>
                <w:szCs w:val="20"/>
                <w:color w:val="auto"/>
              </w:rPr>
            </w:pPr>
            <w:r>
              <w:rPr>
                <w:rFonts w:ascii="Arial" w:cs="Arial" w:eastAsia="Arial" w:hAnsi="Arial"/>
                <w:sz w:val="16"/>
                <w:szCs w:val="16"/>
                <w:b w:val="1"/>
                <w:bCs w:val="1"/>
                <w:color w:val="FFFFFF"/>
              </w:rPr>
              <w:t>Mar 21</w:t>
            </w:r>
          </w:p>
        </w:tc>
        <w:tc>
          <w:tcPr>
            <w:tcW w:w="1160" w:type="dxa"/>
            <w:vAlign w:val="bottom"/>
            <w:tcBorders>
              <w:top w:val="single" w:sz="8" w:color="auto"/>
            </w:tcBorders>
            <w:shd w:val="clear" w:color="auto" w:fill="2AD2C9"/>
          </w:tcPr>
          <w:p>
            <w:pPr>
              <w:jc w:val="right"/>
              <w:ind w:right="461"/>
              <w:spacing w:after="0" w:line="176" w:lineRule="exact"/>
              <w:rPr>
                <w:sz w:val="20"/>
                <w:szCs w:val="20"/>
                <w:color w:val="auto"/>
              </w:rPr>
            </w:pPr>
            <w:r>
              <w:rPr>
                <w:rFonts w:ascii="Arial" w:cs="Arial" w:eastAsia="Arial" w:hAnsi="Arial"/>
                <w:sz w:val="16"/>
                <w:szCs w:val="16"/>
                <w:b w:val="1"/>
                <w:bCs w:val="1"/>
                <w:color w:val="FFFFFF"/>
              </w:rPr>
              <w:t>As of</w:t>
            </w:r>
          </w:p>
        </w:tc>
        <w:tc>
          <w:tcPr>
            <w:tcW w:w="1020" w:type="dxa"/>
            <w:vAlign w:val="bottom"/>
            <w:tcBorders>
              <w:top w:val="single" w:sz="8" w:color="auto"/>
              <w:right w:val="single" w:sz="8" w:color="auto"/>
            </w:tcBorders>
            <w:vMerge w:val="restart"/>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Mar 22</w:t>
            </w:r>
          </w:p>
        </w:tc>
        <w:tc>
          <w:tcPr>
            <w:tcW w:w="1780" w:type="dxa"/>
            <w:vAlign w:val="bottom"/>
            <w:tcBorders>
              <w:top w:val="single" w:sz="8" w:color="auto"/>
              <w:right w:val="single" w:sz="8" w:color="auto"/>
            </w:tcBorders>
            <w:gridSpan w:val="2"/>
            <w:shd w:val="clear" w:color="auto" w:fill="2AD2C9"/>
          </w:tcPr>
          <w:p>
            <w:pPr>
              <w:jc w:val="right"/>
              <w:ind w:right="46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00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right"/>
              <w:ind w:right="401"/>
              <w:spacing w:after="0"/>
              <w:rPr>
                <w:sz w:val="20"/>
                <w:szCs w:val="20"/>
                <w:color w:val="auto"/>
              </w:rPr>
            </w:pPr>
            <w:r>
              <w:rPr>
                <w:rFonts w:ascii="Arial" w:cs="Arial" w:eastAsia="Arial" w:hAnsi="Arial"/>
                <w:sz w:val="16"/>
                <w:szCs w:val="16"/>
                <w:b w:val="1"/>
                <w:bCs w:val="1"/>
                <w:color w:val="FFFFFF"/>
              </w:rPr>
              <w:t>Dec 21</w:t>
            </w:r>
          </w:p>
        </w:tc>
        <w:tc>
          <w:tcPr>
            <w:tcW w:w="102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000" w:type="dxa"/>
            <w:vAlign w:val="bottom"/>
            <w:tcBorders>
              <w:bottom w:val="single" w:sz="8" w:color="auto"/>
            </w:tcBorders>
            <w:shd w:val="clear" w:color="auto" w:fill="2AD2C9"/>
          </w:tcPr>
          <w:p>
            <w:pPr>
              <w:jc w:val="right"/>
              <w:ind w:right="321"/>
              <w:spacing w:after="0"/>
              <w:rPr>
                <w:sz w:val="20"/>
                <w:szCs w:val="20"/>
                <w:color w:val="auto"/>
              </w:rPr>
            </w:pPr>
            <w:r>
              <w:rPr>
                <w:rFonts w:ascii="Arial" w:cs="Arial" w:eastAsia="Arial" w:hAnsi="Arial"/>
                <w:sz w:val="16"/>
                <w:szCs w:val="16"/>
                <w:b w:val="1"/>
                <w:bCs w:val="1"/>
                <w:color w:val="FFFFFF"/>
              </w:rPr>
              <w:t>QoQ</w:t>
            </w:r>
          </w:p>
        </w:tc>
        <w:tc>
          <w:tcPr>
            <w:tcW w:w="780" w:type="dxa"/>
            <w:vAlign w:val="bottom"/>
            <w:tcBorders>
              <w:bottom w:val="single" w:sz="8" w:color="auto"/>
              <w:right w:val="single" w:sz="8" w:color="auto"/>
            </w:tcBorders>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0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Capital Stock</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1,714,577</w:t>
            </w:r>
          </w:p>
        </w:tc>
        <w:tc>
          <w:tcPr>
            <w:tcW w:w="11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1,714,577</w:t>
            </w:r>
          </w:p>
        </w:tc>
        <w:tc>
          <w:tcPr>
            <w:tcW w:w="102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1,840,606</w:t>
            </w:r>
          </w:p>
        </w:tc>
        <w:tc>
          <w:tcPr>
            <w:tcW w:w="1000" w:type="dxa"/>
            <w:vAlign w:val="bottom"/>
          </w:tcPr>
          <w:p>
            <w:pPr>
              <w:jc w:val="right"/>
              <w:ind w:right="61"/>
              <w:spacing w:after="0" w:line="155" w:lineRule="exact"/>
              <w:rPr>
                <w:sz w:val="20"/>
                <w:szCs w:val="20"/>
                <w:color w:val="auto"/>
              </w:rPr>
            </w:pPr>
            <w:r>
              <w:rPr>
                <w:rFonts w:ascii="Arial" w:cs="Arial" w:eastAsia="Arial" w:hAnsi="Arial"/>
                <w:sz w:val="16"/>
                <w:szCs w:val="16"/>
                <w:color w:val="auto"/>
              </w:rPr>
              <w:t>7.4%</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Legal and Other capital reserves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246,305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246,305</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264,221</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7.3%</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69"/>
        </w:trPr>
        <w:tc>
          <w:tcPr>
            <w:tcW w:w="60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Accumulated earnings with capitalization agreement</w:t>
            </w:r>
          </w:p>
        </w:tc>
        <w:tc>
          <w:tcPr>
            <w:tcW w:w="1320" w:type="dxa"/>
            <w:vAlign w:val="bottom"/>
          </w:tcPr>
          <w:p>
            <w:pPr>
              <w:jc w:val="right"/>
              <w:ind w:right="81"/>
              <w:spacing w:after="0" w:line="169" w:lineRule="exact"/>
              <w:rPr>
                <w:sz w:val="20"/>
                <w:szCs w:val="20"/>
                <w:color w:val="auto"/>
              </w:rPr>
            </w:pPr>
            <w:r>
              <w:rPr>
                <w:rFonts w:ascii="Arial" w:cs="Arial" w:eastAsia="Arial" w:hAnsi="Arial"/>
                <w:sz w:val="16"/>
                <w:szCs w:val="16"/>
                <w:color w:val="auto"/>
              </w:rPr>
              <w:t>5</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143,318</w:t>
            </w:r>
          </w:p>
        </w:tc>
        <w:tc>
          <w:tcPr>
            <w:tcW w:w="10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line="169" w:lineRule="exact"/>
              <w:rPr>
                <w:sz w:val="20"/>
                <w:szCs w:val="20"/>
                <w:color w:val="auto"/>
              </w:rPr>
            </w:pPr>
            <w:r>
              <w:rPr>
                <w:rFonts w:ascii="Arial" w:cs="Arial" w:eastAsia="Arial" w:hAnsi="Arial"/>
                <w:sz w:val="16"/>
                <w:szCs w:val="16"/>
                <w:color w:val="auto"/>
              </w:rPr>
              <w:t>-100.0%</w:t>
            </w:r>
          </w:p>
        </w:tc>
        <w:tc>
          <w:tcPr>
            <w:tcW w:w="7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78"/>
        </w:trPr>
        <w:tc>
          <w:tcPr>
            <w:tcW w:w="60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Loan loss reserves </w:t>
            </w:r>
            <w:r>
              <w:rPr>
                <w:rFonts w:ascii="Arial" w:cs="Arial" w:eastAsia="Arial" w:hAnsi="Arial"/>
                <w:sz w:val="20"/>
                <w:szCs w:val="20"/>
                <w:color w:val="auto"/>
                <w:vertAlign w:val="superscript"/>
              </w:rPr>
              <w:t>(1)</w:t>
            </w:r>
          </w:p>
        </w:tc>
        <w:tc>
          <w:tcPr>
            <w:tcW w:w="132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139,073</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155,006</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163,711</w:t>
            </w:r>
          </w:p>
        </w:tc>
        <w:tc>
          <w:tcPr>
            <w:tcW w:w="10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5.6%</w:t>
            </w:r>
          </w:p>
        </w:tc>
        <w:tc>
          <w:tcPr>
            <w:tcW w:w="7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Perpetual subordinated debt</w:t>
            </w: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Subordinated Debt</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285,000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185,000</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185,000</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0.0%</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Investment in subsidiaries and others, net of unrealized profit and net income</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Investment in subsidiaries and others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Unrealized profit and net income in subsidiaries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Goodwill</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(139,180)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(139,180)</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(139,180)</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0.0%</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Accumulated Losses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4"/>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Regulatory Capital - SBS</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2,245,780</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2,305,026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2,314,357</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0.4%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164"/>
        </w:trPr>
        <w:tc>
          <w:tcPr>
            <w:tcW w:w="6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 xml:space="preserve">Regulatory Tier 1 Capital </w:t>
            </w:r>
            <w:r>
              <w:rPr>
                <w:rFonts w:ascii="Arial" w:cs="Arial" w:eastAsia="Arial" w:hAnsi="Arial"/>
                <w:sz w:val="17"/>
                <w:szCs w:val="17"/>
                <w:color w:val="auto"/>
                <w:vertAlign w:val="superscript"/>
              </w:rPr>
              <w:t>(2)</w:t>
            </w:r>
          </w:p>
        </w:tc>
        <w:tc>
          <w:tcPr>
            <w:tcW w:w="1320" w:type="dxa"/>
            <w:vAlign w:val="bottom"/>
          </w:tcPr>
          <w:p>
            <w:pPr>
              <w:jc w:val="right"/>
              <w:ind w:right="81"/>
              <w:spacing w:after="0" w:line="150" w:lineRule="exact"/>
              <w:rPr>
                <w:sz w:val="20"/>
                <w:szCs w:val="20"/>
                <w:color w:val="auto"/>
              </w:rPr>
            </w:pPr>
            <w:r>
              <w:rPr>
                <w:rFonts w:ascii="Arial" w:cs="Arial" w:eastAsia="Arial" w:hAnsi="Arial"/>
                <w:sz w:val="16"/>
                <w:szCs w:val="16"/>
                <w:color w:val="auto"/>
              </w:rPr>
              <w:t>1,823,859</w:t>
            </w:r>
          </w:p>
        </w:tc>
        <w:tc>
          <w:tcPr>
            <w:tcW w:w="1160" w:type="dxa"/>
            <w:vAlign w:val="bottom"/>
          </w:tcPr>
          <w:p>
            <w:pPr>
              <w:jc w:val="right"/>
              <w:ind w:right="81"/>
              <w:spacing w:after="0" w:line="150" w:lineRule="exact"/>
              <w:rPr>
                <w:sz w:val="20"/>
                <w:szCs w:val="20"/>
                <w:color w:val="auto"/>
              </w:rPr>
            </w:pPr>
            <w:r>
              <w:rPr>
                <w:rFonts w:ascii="Arial" w:cs="Arial" w:eastAsia="Arial" w:hAnsi="Arial"/>
                <w:sz w:val="16"/>
                <w:szCs w:val="16"/>
                <w:color w:val="auto"/>
              </w:rPr>
              <w:t>1,962,285</w:t>
            </w:r>
          </w:p>
        </w:tc>
        <w:tc>
          <w:tcPr>
            <w:tcW w:w="10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1,962,906</w:t>
            </w:r>
          </w:p>
        </w:tc>
        <w:tc>
          <w:tcPr>
            <w:tcW w:w="1000" w:type="dxa"/>
            <w:vAlign w:val="bottom"/>
          </w:tcPr>
          <w:p>
            <w:pPr>
              <w:jc w:val="right"/>
              <w:ind w:right="61"/>
              <w:spacing w:after="0" w:line="150" w:lineRule="exact"/>
              <w:rPr>
                <w:sz w:val="20"/>
                <w:szCs w:val="20"/>
                <w:color w:val="auto"/>
              </w:rPr>
            </w:pPr>
            <w:r>
              <w:rPr>
                <w:rFonts w:ascii="Arial" w:cs="Arial" w:eastAsia="Arial" w:hAnsi="Arial"/>
                <w:sz w:val="16"/>
                <w:szCs w:val="16"/>
                <w:color w:val="auto"/>
              </w:rPr>
              <w:t>0.0%</w:t>
            </w:r>
          </w:p>
        </w:tc>
        <w:tc>
          <w:tcPr>
            <w:tcW w:w="7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8"/>
        </w:trPr>
        <w:tc>
          <w:tcPr>
            <w:tcW w:w="600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Regulatory Tier 2 Capital </w:t>
            </w:r>
            <w:r>
              <w:rPr>
                <w:rFonts w:ascii="Arial" w:cs="Arial" w:eastAsia="Arial" w:hAnsi="Arial"/>
                <w:sz w:val="22"/>
                <w:szCs w:val="22"/>
                <w:color w:val="auto"/>
                <w:vertAlign w:val="superscript"/>
              </w:rPr>
              <w:t>(3)</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426,804</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342,741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351,451</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2.5%</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64"/>
        </w:trPr>
        <w:tc>
          <w:tcPr>
            <w:tcW w:w="6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Total risk-weighted assets - SBS </w:t>
            </w:r>
            <w:r>
              <w:rPr>
                <w:rFonts w:ascii="Arial" w:cs="Arial" w:eastAsia="Arial" w:hAnsi="Arial"/>
                <w:sz w:val="20"/>
                <w:szCs w:val="20"/>
                <w:b w:val="1"/>
                <w:bCs w:val="1"/>
                <w:color w:val="auto"/>
                <w:vertAlign w:val="superscript"/>
              </w:rPr>
              <w:t>(4)</w:t>
            </w:r>
          </w:p>
        </w:tc>
        <w:tc>
          <w:tcPr>
            <w:tcW w:w="132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12,595,303</w:t>
            </w:r>
          </w:p>
        </w:tc>
        <w:tc>
          <w:tcPr>
            <w:tcW w:w="11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14,055,965</w:t>
            </w:r>
          </w:p>
        </w:tc>
        <w:tc>
          <w:tcPr>
            <w:tcW w:w="102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14,825,319</w:t>
            </w:r>
          </w:p>
        </w:tc>
        <w:tc>
          <w:tcPr>
            <w:tcW w:w="100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5.5%</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17.7%</w:t>
            </w:r>
          </w:p>
        </w:tc>
        <w:tc>
          <w:tcPr>
            <w:tcW w:w="0" w:type="dxa"/>
            <w:vAlign w:val="bottom"/>
          </w:tcPr>
          <w:p>
            <w:pPr>
              <w:spacing w:after="0"/>
              <w:rPr>
                <w:sz w:val="1"/>
                <w:szCs w:val="1"/>
                <w:color w:val="auto"/>
              </w:rPr>
            </w:pPr>
          </w:p>
        </w:tc>
      </w:tr>
      <w:tr>
        <w:trPr>
          <w:trHeight w:val="150"/>
        </w:trPr>
        <w:tc>
          <w:tcPr>
            <w:tcW w:w="60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6"/>
                <w:szCs w:val="16"/>
                <w:color w:val="auto"/>
              </w:rPr>
              <w:t>Credit risk-weighted assets</w:t>
            </w:r>
          </w:p>
        </w:tc>
        <w:tc>
          <w:tcPr>
            <w:tcW w:w="1320" w:type="dxa"/>
            <w:vAlign w:val="bottom"/>
          </w:tcPr>
          <w:p>
            <w:pPr>
              <w:jc w:val="right"/>
              <w:ind w:right="81"/>
              <w:spacing w:after="0" w:line="150" w:lineRule="exact"/>
              <w:rPr>
                <w:sz w:val="20"/>
                <w:szCs w:val="20"/>
                <w:color w:val="auto"/>
              </w:rPr>
            </w:pPr>
            <w:r>
              <w:rPr>
                <w:rFonts w:ascii="Arial" w:cs="Arial" w:eastAsia="Arial" w:hAnsi="Arial"/>
                <w:sz w:val="16"/>
                <w:szCs w:val="16"/>
                <w:b w:val="1"/>
                <w:bCs w:val="1"/>
                <w:color w:val="auto"/>
              </w:rPr>
              <w:t>10,530,894</w:t>
            </w:r>
          </w:p>
        </w:tc>
        <w:tc>
          <w:tcPr>
            <w:tcW w:w="1160" w:type="dxa"/>
            <w:vAlign w:val="bottom"/>
          </w:tcPr>
          <w:p>
            <w:pPr>
              <w:jc w:val="right"/>
              <w:ind w:right="81"/>
              <w:spacing w:after="0" w:line="150" w:lineRule="exact"/>
              <w:rPr>
                <w:sz w:val="20"/>
                <w:szCs w:val="20"/>
                <w:color w:val="auto"/>
              </w:rPr>
            </w:pPr>
            <w:r>
              <w:rPr>
                <w:rFonts w:ascii="Arial" w:cs="Arial" w:eastAsia="Arial" w:hAnsi="Arial"/>
                <w:sz w:val="16"/>
                <w:szCs w:val="16"/>
                <w:b w:val="1"/>
                <w:bCs w:val="1"/>
                <w:color w:val="auto"/>
              </w:rPr>
              <w:t>12,017,913</w:t>
            </w:r>
          </w:p>
        </w:tc>
        <w:tc>
          <w:tcPr>
            <w:tcW w:w="10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b w:val="1"/>
                <w:bCs w:val="1"/>
                <w:color w:val="auto"/>
              </w:rPr>
              <w:t>12,747,979</w:t>
            </w:r>
          </w:p>
        </w:tc>
        <w:tc>
          <w:tcPr>
            <w:tcW w:w="1000" w:type="dxa"/>
            <w:vAlign w:val="bottom"/>
          </w:tcPr>
          <w:p>
            <w:pPr>
              <w:jc w:val="right"/>
              <w:ind w:right="61"/>
              <w:spacing w:after="0" w:line="150" w:lineRule="exact"/>
              <w:rPr>
                <w:sz w:val="20"/>
                <w:szCs w:val="20"/>
                <w:color w:val="auto"/>
              </w:rPr>
            </w:pPr>
            <w:r>
              <w:rPr>
                <w:rFonts w:ascii="Arial" w:cs="Arial" w:eastAsia="Arial" w:hAnsi="Arial"/>
                <w:sz w:val="16"/>
                <w:szCs w:val="16"/>
                <w:color w:val="auto"/>
              </w:rPr>
              <w:t>6.1%</w:t>
            </w:r>
          </w:p>
        </w:tc>
        <w:tc>
          <w:tcPr>
            <w:tcW w:w="7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78"/>
        </w:trPr>
        <w:tc>
          <w:tcPr>
            <w:tcW w:w="60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Market risk-weighted assets </w:t>
            </w:r>
            <w:r>
              <w:rPr>
                <w:rFonts w:ascii="Arial" w:cs="Arial" w:eastAsia="Arial" w:hAnsi="Arial"/>
                <w:sz w:val="20"/>
                <w:szCs w:val="20"/>
                <w:color w:val="auto"/>
                <w:vertAlign w:val="superscript"/>
              </w:rPr>
              <w:t>(5)</w:t>
            </w:r>
          </w:p>
        </w:tc>
        <w:tc>
          <w:tcPr>
            <w:tcW w:w="1320" w:type="dxa"/>
            <w:vAlign w:val="bottom"/>
          </w:tcPr>
          <w:p>
            <w:pPr>
              <w:jc w:val="right"/>
              <w:ind w:right="81"/>
              <w:spacing w:after="0" w:line="178" w:lineRule="exact"/>
              <w:rPr>
                <w:sz w:val="20"/>
                <w:szCs w:val="20"/>
                <w:color w:val="auto"/>
              </w:rPr>
            </w:pPr>
            <w:r>
              <w:rPr>
                <w:rFonts w:ascii="Arial" w:cs="Arial" w:eastAsia="Arial" w:hAnsi="Arial"/>
                <w:sz w:val="16"/>
                <w:szCs w:val="16"/>
                <w:b w:val="1"/>
                <w:bCs w:val="1"/>
                <w:color w:val="auto"/>
              </w:rPr>
              <w:t>184,495</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b w:val="1"/>
                <w:bCs w:val="1"/>
                <w:color w:val="auto"/>
              </w:rPr>
              <w:t>149,357</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177,097</w:t>
            </w:r>
          </w:p>
        </w:tc>
        <w:tc>
          <w:tcPr>
            <w:tcW w:w="10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18.6%</w:t>
            </w:r>
          </w:p>
        </w:tc>
        <w:tc>
          <w:tcPr>
            <w:tcW w:w="7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Operational risk-weighted assets</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1,879,913</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1,888,695</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1,900,243</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0.6%</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4"/>
        </w:trPr>
        <w:tc>
          <w:tcPr>
            <w:tcW w:w="6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capital requirement</w:t>
            </w:r>
          </w:p>
        </w:tc>
        <w:tc>
          <w:tcPr>
            <w:tcW w:w="132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1,399,942</w:t>
            </w:r>
          </w:p>
        </w:tc>
        <w:tc>
          <w:tcPr>
            <w:tcW w:w="11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1,533,787</w:t>
            </w:r>
          </w:p>
        </w:tc>
        <w:tc>
          <w:tcPr>
            <w:tcW w:w="102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1,618,510</w:t>
            </w:r>
          </w:p>
        </w:tc>
        <w:tc>
          <w:tcPr>
            <w:tcW w:w="100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5.5%</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r>
        <w:trPr>
          <w:trHeight w:val="154"/>
        </w:trPr>
        <w:tc>
          <w:tcPr>
            <w:tcW w:w="60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Credit risk capital requirement</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b w:val="1"/>
                <w:bCs w:val="1"/>
                <w:color w:val="auto"/>
              </w:rPr>
              <w:t>1,053,089</w:t>
            </w:r>
          </w:p>
        </w:tc>
        <w:tc>
          <w:tcPr>
            <w:tcW w:w="1160" w:type="dxa"/>
            <w:vAlign w:val="bottom"/>
          </w:tcPr>
          <w:p>
            <w:pPr>
              <w:jc w:val="right"/>
              <w:ind w:right="81"/>
              <w:spacing w:after="0" w:line="155" w:lineRule="exact"/>
              <w:rPr>
                <w:sz w:val="20"/>
                <w:szCs w:val="20"/>
                <w:color w:val="auto"/>
              </w:rPr>
            </w:pPr>
            <w:r>
              <w:rPr>
                <w:rFonts w:ascii="Arial" w:cs="Arial" w:eastAsia="Arial" w:hAnsi="Arial"/>
                <w:sz w:val="16"/>
                <w:szCs w:val="16"/>
                <w:b w:val="1"/>
                <w:bCs w:val="1"/>
                <w:color w:val="auto"/>
              </w:rPr>
              <w:t>1,201,791</w:t>
            </w:r>
          </w:p>
        </w:tc>
        <w:tc>
          <w:tcPr>
            <w:tcW w:w="102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1,274,798</w:t>
            </w:r>
          </w:p>
        </w:tc>
        <w:tc>
          <w:tcPr>
            <w:tcW w:w="1000" w:type="dxa"/>
            <w:vAlign w:val="bottom"/>
          </w:tcPr>
          <w:p>
            <w:pPr>
              <w:jc w:val="right"/>
              <w:ind w:right="61"/>
              <w:spacing w:after="0" w:line="155" w:lineRule="exact"/>
              <w:rPr>
                <w:sz w:val="20"/>
                <w:szCs w:val="20"/>
                <w:color w:val="auto"/>
              </w:rPr>
            </w:pPr>
            <w:r>
              <w:rPr>
                <w:rFonts w:ascii="Arial" w:cs="Arial" w:eastAsia="Arial" w:hAnsi="Arial"/>
                <w:sz w:val="16"/>
                <w:szCs w:val="16"/>
                <w:color w:val="auto"/>
              </w:rPr>
              <w:t>6.1%</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Market risk-weighted assets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18,450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14,936</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17,710</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18.6%</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Operational risk capital requirement</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187,991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188,869</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190,024</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0.6%</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4"/>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Additional capital requirements</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140,412</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128,191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135,978</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6.1%</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64"/>
        </w:trPr>
        <w:tc>
          <w:tcPr>
            <w:tcW w:w="6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Common Equity Tier 1 - Basel IFRS </w:t>
            </w:r>
            <w:r>
              <w:rPr>
                <w:rFonts w:ascii="Arial" w:cs="Arial" w:eastAsia="Arial" w:hAnsi="Arial"/>
                <w:sz w:val="20"/>
                <w:szCs w:val="20"/>
                <w:b w:val="1"/>
                <w:bCs w:val="1"/>
                <w:color w:val="auto"/>
                <w:vertAlign w:val="superscript"/>
              </w:rPr>
              <w:t>(6)</w:t>
            </w:r>
          </w:p>
        </w:tc>
        <w:tc>
          <w:tcPr>
            <w:tcW w:w="132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1,741,594</w:t>
            </w:r>
          </w:p>
        </w:tc>
        <w:tc>
          <w:tcPr>
            <w:tcW w:w="11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2,030,025</w:t>
            </w:r>
          </w:p>
        </w:tc>
        <w:tc>
          <w:tcPr>
            <w:tcW w:w="102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2,133,203</w:t>
            </w:r>
          </w:p>
        </w:tc>
        <w:tc>
          <w:tcPr>
            <w:tcW w:w="100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5.1%</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22.5%</w:t>
            </w:r>
          </w:p>
        </w:tc>
        <w:tc>
          <w:tcPr>
            <w:tcW w:w="0" w:type="dxa"/>
            <w:vAlign w:val="bottom"/>
          </w:tcPr>
          <w:p>
            <w:pPr>
              <w:spacing w:after="0"/>
              <w:rPr>
                <w:sz w:val="1"/>
                <w:szCs w:val="1"/>
                <w:color w:val="auto"/>
              </w:rPr>
            </w:pPr>
          </w:p>
        </w:tc>
      </w:tr>
      <w:tr>
        <w:trPr>
          <w:trHeight w:val="154"/>
        </w:trPr>
        <w:tc>
          <w:tcPr>
            <w:tcW w:w="60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Capital and reserves</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2,489,011</w:t>
            </w:r>
          </w:p>
        </w:tc>
        <w:tc>
          <w:tcPr>
            <w:tcW w:w="11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2,489,011</w:t>
            </w:r>
          </w:p>
        </w:tc>
        <w:tc>
          <w:tcPr>
            <w:tcW w:w="102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2,632,956</w:t>
            </w:r>
          </w:p>
        </w:tc>
        <w:tc>
          <w:tcPr>
            <w:tcW w:w="1000" w:type="dxa"/>
            <w:vAlign w:val="bottom"/>
          </w:tcPr>
          <w:p>
            <w:pPr>
              <w:jc w:val="right"/>
              <w:ind w:right="61"/>
              <w:spacing w:after="0" w:line="155" w:lineRule="exact"/>
              <w:rPr>
                <w:sz w:val="20"/>
                <w:szCs w:val="20"/>
                <w:color w:val="auto"/>
              </w:rPr>
            </w:pPr>
            <w:r>
              <w:rPr>
                <w:rFonts w:ascii="Arial" w:cs="Arial" w:eastAsia="Arial" w:hAnsi="Arial"/>
                <w:sz w:val="16"/>
                <w:szCs w:val="16"/>
                <w:color w:val="auto"/>
              </w:rPr>
              <w:t>5.8%</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Retained earnings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(371,757)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(119,674)</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(160,683)</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-34.3%</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Unrealized gains (losses)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2,041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(6,548)</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(8,191)</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25.1%</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Goodwill and intangibles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(322,050)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(332,765)</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(330,879)</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-0.6%</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4"/>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Excess DT of 10% CET1 Basilea</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(55,651)</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n.a.</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64"/>
        </w:trPr>
        <w:tc>
          <w:tcPr>
            <w:tcW w:w="60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0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b w:val="1"/>
                <w:bCs w:val="1"/>
                <w:color w:val="auto"/>
              </w:rPr>
              <w:t xml:space="preserve">Adjusted Risk-Weighted Assets </w:t>
            </w:r>
            <w:r>
              <w:rPr>
                <w:rFonts w:ascii="Arial" w:cs="Arial" w:eastAsia="Arial" w:hAnsi="Arial"/>
                <w:sz w:val="13"/>
                <w:szCs w:val="13"/>
                <w:color w:val="auto"/>
              </w:rPr>
              <w:t>-</w:t>
            </w:r>
            <w:r>
              <w:rPr>
                <w:rFonts w:ascii="Arial" w:cs="Arial" w:eastAsia="Arial" w:hAnsi="Arial"/>
                <w:sz w:val="13"/>
                <w:szCs w:val="13"/>
                <w:b w:val="1"/>
                <w:bCs w:val="1"/>
                <w:color w:val="auto"/>
              </w:rPr>
              <w:t xml:space="preserve"> Basel IFRS </w:t>
            </w:r>
            <w:r>
              <w:rPr>
                <w:rFonts w:ascii="Arial" w:cs="Arial" w:eastAsia="Arial" w:hAnsi="Arial"/>
                <w:sz w:val="20"/>
                <w:szCs w:val="20"/>
                <w:b w:val="1"/>
                <w:bCs w:val="1"/>
                <w:color w:val="auto"/>
                <w:vertAlign w:val="superscript"/>
              </w:rPr>
              <w:t>(7)</w:t>
            </w:r>
          </w:p>
        </w:tc>
        <w:tc>
          <w:tcPr>
            <w:tcW w:w="132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11,826,458</w:t>
            </w:r>
          </w:p>
        </w:tc>
        <w:tc>
          <w:tcPr>
            <w:tcW w:w="11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13,324,701</w:t>
            </w:r>
          </w:p>
        </w:tc>
        <w:tc>
          <w:tcPr>
            <w:tcW w:w="102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14,024,211</w:t>
            </w:r>
          </w:p>
        </w:tc>
        <w:tc>
          <w:tcPr>
            <w:tcW w:w="1000" w:type="dxa"/>
            <w:vAlign w:val="bottom"/>
            <w:tcBorders>
              <w:bottom w:val="single" w:sz="8" w:color="auto"/>
            </w:tcBorders>
          </w:tcPr>
          <w:p>
            <w:pPr>
              <w:jc w:val="right"/>
              <w:ind w:right="61"/>
              <w:spacing w:after="0" w:line="174" w:lineRule="exact"/>
              <w:rPr>
                <w:sz w:val="20"/>
                <w:szCs w:val="20"/>
                <w:color w:val="auto"/>
              </w:rPr>
            </w:pPr>
            <w:r>
              <w:rPr>
                <w:rFonts w:ascii="Arial" w:cs="Arial" w:eastAsia="Arial" w:hAnsi="Arial"/>
                <w:sz w:val="16"/>
                <w:szCs w:val="16"/>
                <w:b w:val="1"/>
                <w:bCs w:val="1"/>
                <w:color w:val="auto"/>
              </w:rPr>
              <w:t>5.2%</w:t>
            </w:r>
          </w:p>
        </w:tc>
        <w:tc>
          <w:tcPr>
            <w:tcW w:w="7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18.6%</w:t>
            </w:r>
          </w:p>
        </w:tc>
        <w:tc>
          <w:tcPr>
            <w:tcW w:w="0" w:type="dxa"/>
            <w:vAlign w:val="bottom"/>
          </w:tcPr>
          <w:p>
            <w:pPr>
              <w:spacing w:after="0"/>
              <w:rPr>
                <w:sz w:val="1"/>
                <w:szCs w:val="1"/>
                <w:color w:val="auto"/>
              </w:rPr>
            </w:pPr>
          </w:p>
        </w:tc>
      </w:tr>
      <w:tr>
        <w:trPr>
          <w:trHeight w:val="154"/>
        </w:trPr>
        <w:tc>
          <w:tcPr>
            <w:tcW w:w="60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Total risk-weighted assets</w:t>
            </w:r>
          </w:p>
        </w:tc>
        <w:tc>
          <w:tcPr>
            <w:tcW w:w="132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12,595,303</w:t>
            </w:r>
          </w:p>
        </w:tc>
        <w:tc>
          <w:tcPr>
            <w:tcW w:w="11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14,055,965</w:t>
            </w:r>
          </w:p>
        </w:tc>
        <w:tc>
          <w:tcPr>
            <w:tcW w:w="102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14,825,319</w:t>
            </w:r>
          </w:p>
        </w:tc>
        <w:tc>
          <w:tcPr>
            <w:tcW w:w="1000" w:type="dxa"/>
            <w:vAlign w:val="bottom"/>
          </w:tcPr>
          <w:p>
            <w:pPr>
              <w:jc w:val="right"/>
              <w:ind w:right="61"/>
              <w:spacing w:after="0" w:line="155" w:lineRule="exact"/>
              <w:rPr>
                <w:sz w:val="20"/>
                <w:szCs w:val="20"/>
                <w:color w:val="auto"/>
              </w:rPr>
            </w:pPr>
            <w:r>
              <w:rPr>
                <w:rFonts w:ascii="Arial" w:cs="Arial" w:eastAsia="Arial" w:hAnsi="Arial"/>
                <w:sz w:val="16"/>
                <w:szCs w:val="16"/>
                <w:color w:val="auto"/>
              </w:rPr>
              <w:t>5.5%</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 RWA Intangible assets, excluding goodwill.</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840,797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1,175,376</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1,166,501</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-0.8%</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 RWA Deferred tax assets generated as a result of temporary differences in</w:t>
            </w:r>
          </w:p>
        </w:tc>
        <w:tc>
          <w:tcPr>
            <w:tcW w:w="1320" w:type="dxa"/>
            <w:vAlign w:val="bottom"/>
            <w:vMerge w:val="restart"/>
          </w:tcPr>
          <w:p>
            <w:pPr>
              <w:jc w:val="right"/>
              <w:ind w:right="81"/>
              <w:spacing w:after="0"/>
              <w:rPr>
                <w:sz w:val="20"/>
                <w:szCs w:val="20"/>
                <w:color w:val="auto"/>
              </w:rPr>
            </w:pPr>
            <w:r>
              <w:rPr>
                <w:rFonts w:ascii="Arial" w:cs="Arial" w:eastAsia="Arial" w:hAnsi="Arial"/>
                <w:sz w:val="16"/>
                <w:szCs w:val="16"/>
                <w:color w:val="auto"/>
              </w:rPr>
              <w:t>226,264</w:t>
            </w:r>
          </w:p>
        </w:tc>
        <w:tc>
          <w:tcPr>
            <w:tcW w:w="1160" w:type="dxa"/>
            <w:vAlign w:val="bottom"/>
            <w:vMerge w:val="restart"/>
          </w:tcPr>
          <w:p>
            <w:pPr>
              <w:jc w:val="right"/>
              <w:ind w:right="81"/>
              <w:spacing w:after="0"/>
              <w:rPr>
                <w:sz w:val="20"/>
                <w:szCs w:val="20"/>
                <w:color w:val="auto"/>
              </w:rPr>
            </w:pPr>
            <w:r>
              <w:rPr>
                <w:rFonts w:ascii="Arial" w:cs="Arial" w:eastAsia="Arial" w:hAnsi="Arial"/>
                <w:sz w:val="16"/>
                <w:szCs w:val="16"/>
                <w:color w:val="auto"/>
              </w:rPr>
              <w:t>224,040</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161,572</w:t>
            </w:r>
          </w:p>
        </w:tc>
        <w:tc>
          <w:tcPr>
            <w:tcW w:w="1000" w:type="dxa"/>
            <w:vAlign w:val="bottom"/>
            <w:vMerge w:val="restart"/>
          </w:tcPr>
          <w:p>
            <w:pPr>
              <w:jc w:val="right"/>
              <w:ind w:right="61"/>
              <w:spacing w:after="0"/>
              <w:rPr>
                <w:sz w:val="20"/>
                <w:szCs w:val="20"/>
                <w:color w:val="auto"/>
              </w:rPr>
            </w:pPr>
            <w:r>
              <w:rPr>
                <w:rFonts w:ascii="Arial" w:cs="Arial" w:eastAsia="Arial" w:hAnsi="Arial"/>
                <w:sz w:val="16"/>
                <w:szCs w:val="16"/>
                <w:color w:val="auto"/>
              </w:rPr>
              <w:t>-27.9%</w:t>
            </w:r>
          </w:p>
        </w:tc>
        <w:tc>
          <w:tcPr>
            <w:tcW w:w="7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23"/>
        </w:trPr>
        <w:tc>
          <w:tcPr>
            <w:tcW w:w="6000" w:type="dxa"/>
            <w:vAlign w:val="bottom"/>
            <w:tcBorders>
              <w:left w:val="single" w:sz="8" w:color="auto"/>
              <w:right w:val="single" w:sz="8" w:color="auto"/>
            </w:tcBorders>
            <w:vMerge w:val="restart"/>
          </w:tcPr>
          <w:p>
            <w:pPr>
              <w:ind w:left="260"/>
              <w:spacing w:after="0" w:line="174" w:lineRule="exact"/>
              <w:rPr>
                <w:sz w:val="20"/>
                <w:szCs w:val="20"/>
                <w:color w:val="auto"/>
              </w:rPr>
            </w:pPr>
            <w:r>
              <w:rPr>
                <w:rFonts w:ascii="Arial" w:cs="Arial" w:eastAsia="Arial" w:hAnsi="Arial"/>
                <w:sz w:val="16"/>
                <w:szCs w:val="16"/>
                <w:color w:val="auto"/>
              </w:rPr>
              <w:t>income tax, in excess of 10% of CET1</w:t>
            </w:r>
          </w:p>
        </w:tc>
        <w:tc>
          <w:tcPr>
            <w:tcW w:w="132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000" w:type="dxa"/>
            <w:vAlign w:val="bottom"/>
            <w:tcBorders>
              <w:left w:val="single" w:sz="8" w:color="auto"/>
              <w:right w:val="single" w:sz="8" w:color="auto"/>
            </w:tcBorders>
            <w:vMerge w:val="continue"/>
          </w:tcPr>
          <w:p>
            <w:pPr>
              <w:spacing w:after="0"/>
              <w:rPr>
                <w:sz w:val="4"/>
                <w:szCs w:val="4"/>
                <w:color w:val="auto"/>
              </w:rPr>
            </w:pPr>
          </w:p>
        </w:tc>
        <w:tc>
          <w:tcPr>
            <w:tcW w:w="1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 IFRS Adjustments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280,073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188,455</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170,181</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-9.7%</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 RWA for Market Risk difference (exchange risk) for temporary difference</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31,618</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33,640</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6.4%</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 RWA assets that exceed 10% of CET1 SBS</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426,732</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n.a.</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4"/>
        </w:trPr>
        <w:tc>
          <w:tcPr>
            <w:tcW w:w="60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 RWA difference between excees SBS and Basel methodology</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7,652</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n.a.</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7"/>
        </w:trPr>
        <w:tc>
          <w:tcPr>
            <w:tcW w:w="60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Capital ratios</w:t>
            </w:r>
          </w:p>
        </w:tc>
        <w:tc>
          <w:tcPr>
            <w:tcW w:w="1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1"/>
                <w:szCs w:val="11"/>
                <w:color w:val="auto"/>
              </w:rPr>
              <w:t xml:space="preserve">Regulatory Tier 1 ratio </w:t>
            </w:r>
            <w:r>
              <w:rPr>
                <w:rFonts w:ascii="Arial" w:cs="Arial" w:eastAsia="Arial" w:hAnsi="Arial"/>
                <w:sz w:val="17"/>
                <w:szCs w:val="17"/>
                <w:color w:val="auto"/>
                <w:vertAlign w:val="superscript"/>
              </w:rPr>
              <w:t>(8)</w:t>
            </w:r>
          </w:p>
        </w:tc>
        <w:tc>
          <w:tcPr>
            <w:tcW w:w="1320" w:type="dxa"/>
            <w:vAlign w:val="bottom"/>
          </w:tcPr>
          <w:p>
            <w:pPr>
              <w:jc w:val="right"/>
              <w:ind w:right="81"/>
              <w:spacing w:after="0" w:line="150" w:lineRule="exact"/>
              <w:rPr>
                <w:sz w:val="20"/>
                <w:szCs w:val="20"/>
                <w:color w:val="auto"/>
              </w:rPr>
            </w:pPr>
            <w:r>
              <w:rPr>
                <w:rFonts w:ascii="Arial" w:cs="Arial" w:eastAsia="Arial" w:hAnsi="Arial"/>
                <w:sz w:val="16"/>
                <w:szCs w:val="16"/>
                <w:color w:val="auto"/>
              </w:rPr>
              <w:t>14.48%</w:t>
            </w:r>
          </w:p>
        </w:tc>
        <w:tc>
          <w:tcPr>
            <w:tcW w:w="1160" w:type="dxa"/>
            <w:vAlign w:val="bottom"/>
          </w:tcPr>
          <w:p>
            <w:pPr>
              <w:jc w:val="right"/>
              <w:ind w:right="81"/>
              <w:spacing w:after="0" w:line="150" w:lineRule="exact"/>
              <w:rPr>
                <w:sz w:val="20"/>
                <w:szCs w:val="20"/>
                <w:color w:val="auto"/>
              </w:rPr>
            </w:pPr>
            <w:r>
              <w:rPr>
                <w:rFonts w:ascii="Arial" w:cs="Arial" w:eastAsia="Arial" w:hAnsi="Arial"/>
                <w:sz w:val="16"/>
                <w:szCs w:val="16"/>
                <w:color w:val="auto"/>
              </w:rPr>
              <w:t>13.96%</w:t>
            </w:r>
          </w:p>
        </w:tc>
        <w:tc>
          <w:tcPr>
            <w:tcW w:w="10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13.24%</w:t>
            </w:r>
          </w:p>
        </w:tc>
        <w:tc>
          <w:tcPr>
            <w:tcW w:w="1000" w:type="dxa"/>
            <w:vAlign w:val="bottom"/>
          </w:tcPr>
          <w:p>
            <w:pPr>
              <w:jc w:val="right"/>
              <w:ind w:right="61"/>
              <w:spacing w:after="0" w:line="150" w:lineRule="exact"/>
              <w:rPr>
                <w:sz w:val="20"/>
                <w:szCs w:val="20"/>
                <w:color w:val="auto"/>
              </w:rPr>
            </w:pPr>
            <w:r>
              <w:rPr>
                <w:rFonts w:ascii="Arial" w:cs="Arial" w:eastAsia="Arial" w:hAnsi="Arial"/>
                <w:sz w:val="16"/>
                <w:szCs w:val="16"/>
                <w:color w:val="auto"/>
              </w:rPr>
              <w:t>-72 bps</w:t>
            </w:r>
          </w:p>
        </w:tc>
        <w:tc>
          <w:tcPr>
            <w:tcW w:w="7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-124 bps</w:t>
            </w:r>
          </w:p>
        </w:tc>
        <w:tc>
          <w:tcPr>
            <w:tcW w:w="0" w:type="dxa"/>
            <w:vAlign w:val="bottom"/>
          </w:tcPr>
          <w:p>
            <w:pPr>
              <w:spacing w:after="0"/>
              <w:rPr>
                <w:sz w:val="1"/>
                <w:szCs w:val="1"/>
                <w:color w:val="auto"/>
              </w:rPr>
            </w:pPr>
          </w:p>
        </w:tc>
      </w:tr>
      <w:tr>
        <w:trPr>
          <w:trHeight w:val="173"/>
        </w:trPr>
        <w:tc>
          <w:tcPr>
            <w:tcW w:w="60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0"/>
                <w:szCs w:val="20"/>
                <w:color w:val="auto"/>
                <w:vertAlign w:val="superscript"/>
              </w:rPr>
              <w:t>(9)(11)</w:t>
            </w:r>
          </w:p>
        </w:tc>
        <w:tc>
          <w:tcPr>
            <w:tcW w:w="132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14.73%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15.24%</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15.21%</w:t>
            </w:r>
          </w:p>
        </w:tc>
        <w:tc>
          <w:tcPr>
            <w:tcW w:w="10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 bps</w:t>
            </w:r>
          </w:p>
        </w:tc>
        <w:tc>
          <w:tcPr>
            <w:tcW w:w="7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48 bps</w:t>
            </w:r>
          </w:p>
        </w:tc>
        <w:tc>
          <w:tcPr>
            <w:tcW w:w="0" w:type="dxa"/>
            <w:vAlign w:val="bottom"/>
          </w:tcPr>
          <w:p>
            <w:pPr>
              <w:spacing w:after="0"/>
              <w:rPr>
                <w:sz w:val="1"/>
                <w:szCs w:val="1"/>
                <w:color w:val="auto"/>
              </w:rPr>
            </w:pPr>
          </w:p>
        </w:tc>
      </w:tr>
      <w:tr>
        <w:trPr>
          <w:trHeight w:val="178"/>
        </w:trPr>
        <w:tc>
          <w:tcPr>
            <w:tcW w:w="60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Regulatory Global Capital ratio </w:t>
            </w:r>
            <w:r>
              <w:rPr>
                <w:rFonts w:ascii="Arial" w:cs="Arial" w:eastAsia="Arial" w:hAnsi="Arial"/>
                <w:sz w:val="20"/>
                <w:szCs w:val="20"/>
                <w:color w:val="auto"/>
                <w:vertAlign w:val="superscript"/>
              </w:rPr>
              <w:t>(10)</w:t>
            </w:r>
          </w:p>
        </w:tc>
        <w:tc>
          <w:tcPr>
            <w:tcW w:w="132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17.83%</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16.40%</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15.61%</w:t>
            </w:r>
          </w:p>
        </w:tc>
        <w:tc>
          <w:tcPr>
            <w:tcW w:w="10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-79 bps</w:t>
            </w:r>
          </w:p>
        </w:tc>
        <w:tc>
          <w:tcPr>
            <w:tcW w:w="7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-222 bps</w:t>
            </w:r>
          </w:p>
        </w:tc>
        <w:tc>
          <w:tcPr>
            <w:tcW w:w="0" w:type="dxa"/>
            <w:vAlign w:val="bottom"/>
          </w:tcPr>
          <w:p>
            <w:pPr>
              <w:spacing w:after="0"/>
              <w:rPr>
                <w:sz w:val="1"/>
                <w:szCs w:val="1"/>
                <w:color w:val="auto"/>
              </w:rPr>
            </w:pPr>
          </w:p>
        </w:tc>
      </w:tr>
      <w:tr>
        <w:trPr>
          <w:trHeight w:val="194"/>
        </w:trPr>
        <w:tc>
          <w:tcPr>
            <w:tcW w:w="6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Risk-weighted assets / Regulatory capital</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5.61</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6.10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Up to 1.25% of total risk-weighted assets.</w:t>
      </w:r>
    </w:p>
    <w:p>
      <w:pPr>
        <w:spacing w:after="0" w:line="14" w:lineRule="exact"/>
        <w:rPr>
          <w:rFonts w:ascii="Times New Roman" w:cs="Times New Roman" w:eastAsia="Times New Roman" w:hAnsi="Times New Roman"/>
          <w:sz w:val="9"/>
          <w:szCs w:val="9"/>
          <w:color w:val="auto"/>
        </w:rPr>
      </w:pPr>
    </w:p>
    <w:p>
      <w:pPr>
        <w:ind w:right="140" w:firstLine="7"/>
        <w:spacing w:after="0" w:line="251" w:lineRule="auto"/>
        <w:tabs>
          <w:tab w:leader="none" w:pos="133"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Regulatory Tier 2 Capital = Subordinated debt + Loan loss reserves + Unrestricted Reserves + (0.5 x Unrealized profit and net income in subsidiaries) - (0.5 x Investment in subsidiaries).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Since July 2012, Total Risk-weighted assets = Credit risk-weighted assets * 1.00 + Capital requirement to cover market risk * 10 + Capital requirement to cover operational risk * 10 * 1.00 (since July 2014)</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It includes capital requirement to cover price and rate risk.</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Common Equity Tier I = Capital + Reserves – 100% of applicable deductions (investment in subsidiaries, goodwill, intangibles and net deferred taxes that rely on future profitability) + retained earnings + unrealized gains.</w:t>
      </w:r>
    </w:p>
    <w:p>
      <w:pPr>
        <w:spacing w:after="0" w:line="4" w:lineRule="exact"/>
        <w:rPr>
          <w:rFonts w:ascii="Times New Roman" w:cs="Times New Roman" w:eastAsia="Times New Roman" w:hAnsi="Times New Roman"/>
          <w:sz w:val="9"/>
          <w:szCs w:val="9"/>
          <w:color w:val="auto"/>
        </w:rPr>
      </w:pPr>
    </w:p>
    <w:p>
      <w:pPr>
        <w:ind w:right="160" w:firstLine="7"/>
        <w:spacing w:after="0" w:line="251" w:lineRule="auto"/>
        <w:tabs>
          <w:tab w:leader="none" w:pos="133"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Adjusted Risk-Weighted Assets = Risk-weighted assets -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Regulatory Tier 1 Capital / Total Risk-weighted assets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Common Equity Tier I / Adjusted Risk-Weighted Assetsd Risk-Weighted Assets</w:t>
      </w:r>
    </w:p>
    <w:p>
      <w:pPr>
        <w:spacing w:after="0" w:line="4" w:lineRule="exact"/>
        <w:rPr>
          <w:rFonts w:ascii="Times New Roman" w:cs="Times New Roman" w:eastAsia="Times New Roman" w:hAnsi="Times New Roman"/>
          <w:sz w:val="9"/>
          <w:szCs w:val="9"/>
          <w:color w:val="auto"/>
        </w:rPr>
      </w:pPr>
    </w:p>
    <w:p>
      <w:pPr>
        <w:ind w:left="180" w:hanging="173"/>
        <w:spacing w:after="0"/>
        <w:tabs>
          <w:tab w:leader="none" w:pos="18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Total Regulatory Capital / Total Risk-weighted assets (legal minimum = 10% since July 2011)</w:t>
      </w:r>
    </w:p>
    <w:p>
      <w:pPr>
        <w:spacing w:after="0" w:line="4" w:lineRule="exact"/>
        <w:rPr>
          <w:rFonts w:ascii="Times New Roman" w:cs="Times New Roman" w:eastAsia="Times New Roman" w:hAnsi="Times New Roman"/>
          <w:sz w:val="9"/>
          <w:szCs w:val="9"/>
          <w:color w:val="auto"/>
        </w:rPr>
      </w:pPr>
    </w:p>
    <w:p>
      <w:pPr>
        <w:ind w:left="180" w:hanging="173"/>
        <w:spacing w:after="0"/>
        <w:tabs>
          <w:tab w:leader="none" w:pos="18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Common Equity Tier I calculated based on IFRS Accounting</w:t>
      </w:r>
    </w:p>
    <w:p>
      <w:pPr>
        <w:spacing w:after="0" w:line="29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12.5. Financial Statements and Ratios by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12.5.1. Credicorp Consolidated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CREDICORP LTD.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p>
      <w:pPr>
        <w:jc w:val="center"/>
        <w:spacing w:after="0"/>
        <w:rPr>
          <w:sz w:val="20"/>
          <w:szCs w:val="20"/>
          <w:color w:val="auto"/>
        </w:rPr>
      </w:pPr>
      <w:r>
        <w:rPr>
          <w:rFonts w:ascii="Times New Roman" w:cs="Times New Roman" w:eastAsia="Times New Roman" w:hAnsi="Times New Roman"/>
          <w:sz w:val="16"/>
          <w:szCs w:val="16"/>
          <w:b w:val="1"/>
          <w:bCs w:val="1"/>
          <w:color w:val="auto"/>
        </w:rPr>
        <w:t>(In 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7166610" cy="79641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6610" cy="796417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shd w:val="clear" w:color="auto" w:fill="2AD2C9"/>
          </w:tcPr>
          <w:p>
            <w:pPr>
              <w:jc w:val="right"/>
              <w:ind w:right="361"/>
              <w:spacing w:after="0"/>
              <w:rPr>
                <w:sz w:val="20"/>
                <w:szCs w:val="20"/>
                <w:color w:val="auto"/>
              </w:rPr>
            </w:pPr>
            <w:r>
              <w:rPr>
                <w:rFonts w:ascii="Arial" w:cs="Arial" w:eastAsia="Arial" w:hAnsi="Arial"/>
                <w:sz w:val="16"/>
                <w:szCs w:val="16"/>
                <w:b w:val="1"/>
                <w:bCs w:val="1"/>
                <w:color w:val="FFFFFF"/>
              </w:rPr>
              <w:t>Mar 21</w:t>
            </w:r>
          </w:p>
        </w:tc>
        <w:tc>
          <w:tcPr>
            <w:tcW w:w="1080" w:type="dxa"/>
            <w:vAlign w:val="bottom"/>
            <w:tcBorders>
              <w:top w:val="single" w:sz="8" w:color="auto"/>
            </w:tcBorders>
            <w:shd w:val="clear" w:color="auto" w:fill="2AD2C9"/>
          </w:tcPr>
          <w:p>
            <w:pPr>
              <w:jc w:val="right"/>
              <w:ind w:right="401"/>
              <w:spacing w:after="0" w:line="176" w:lineRule="exact"/>
              <w:rPr>
                <w:sz w:val="20"/>
                <w:szCs w:val="20"/>
                <w:color w:val="auto"/>
              </w:rPr>
            </w:pPr>
            <w:r>
              <w:rPr>
                <w:rFonts w:ascii="Arial" w:cs="Arial" w:eastAsia="Arial" w:hAnsi="Arial"/>
                <w:sz w:val="16"/>
                <w:szCs w:val="16"/>
                <w:b w:val="1"/>
                <w:bCs w:val="1"/>
                <w:color w:val="FFFFFF"/>
              </w:rPr>
              <w:t>As of</w:t>
            </w:r>
          </w:p>
        </w:tc>
        <w:tc>
          <w:tcPr>
            <w:tcW w:w="1060" w:type="dxa"/>
            <w:vAlign w:val="bottom"/>
            <w:tcBorders>
              <w:top w:val="single" w:sz="8" w:color="auto"/>
            </w:tcBorders>
            <w:vMerge w:val="restart"/>
            <w:shd w:val="clear" w:color="auto" w:fill="2AD2C9"/>
          </w:tcPr>
          <w:p>
            <w:pPr>
              <w:jc w:val="right"/>
              <w:ind w:right="321"/>
              <w:spacing w:after="0"/>
              <w:rPr>
                <w:sz w:val="20"/>
                <w:szCs w:val="20"/>
                <w:color w:val="auto"/>
              </w:rPr>
            </w:pPr>
            <w:r>
              <w:rPr>
                <w:rFonts w:ascii="Arial" w:cs="Arial" w:eastAsia="Arial" w:hAnsi="Arial"/>
                <w:sz w:val="16"/>
                <w:szCs w:val="16"/>
                <w:b w:val="1"/>
                <w:bCs w:val="1"/>
                <w:color w:val="FFFFFF"/>
              </w:rPr>
              <w:t>Mar 22</w:t>
            </w:r>
          </w:p>
        </w:tc>
        <w:tc>
          <w:tcPr>
            <w:tcW w:w="1400" w:type="dxa"/>
            <w:vAlign w:val="bottom"/>
            <w:tcBorders>
              <w:top w:val="single" w:sz="8" w:color="auto"/>
            </w:tcBorders>
            <w:gridSpan w:val="2"/>
            <w:shd w:val="clear" w:color="auto" w:fill="2AD2C9"/>
          </w:tcPr>
          <w:p>
            <w:pPr>
              <w:jc w:val="right"/>
              <w:ind w:right="30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shd w:val="clear" w:color="auto" w:fill="2AD2C9"/>
          </w:tcPr>
          <w:p>
            <w:pPr>
              <w:spacing w:after="0"/>
              <w:rPr>
                <w:sz w:val="16"/>
                <w:szCs w:val="16"/>
                <w:color w:val="auto"/>
              </w:rPr>
            </w:pPr>
          </w:p>
        </w:tc>
        <w:tc>
          <w:tcPr>
            <w:tcW w:w="1080" w:type="dxa"/>
            <w:vAlign w:val="bottom"/>
            <w:tcBorders>
              <w:bottom w:val="single" w:sz="8" w:color="auto"/>
            </w:tcBorders>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Dec 21</w:t>
            </w:r>
          </w:p>
        </w:tc>
        <w:tc>
          <w:tcPr>
            <w:tcW w:w="1060" w:type="dxa"/>
            <w:vAlign w:val="bottom"/>
            <w:tcBorders>
              <w:bottom w:val="single" w:sz="8" w:color="auto"/>
            </w:tcBorders>
            <w:vMerge w:val="continue"/>
            <w:shd w:val="clear" w:color="auto" w:fill="2AD2C9"/>
          </w:tcPr>
          <w:p>
            <w:pPr>
              <w:spacing w:after="0"/>
              <w:rPr>
                <w:sz w:val="16"/>
                <w:szCs w:val="16"/>
                <w:color w:val="auto"/>
              </w:rPr>
            </w:pPr>
          </w:p>
        </w:tc>
        <w:tc>
          <w:tcPr>
            <w:tcW w:w="760" w:type="dxa"/>
            <w:vAlign w:val="bottom"/>
            <w:tcBorders>
              <w:bottom w:val="single" w:sz="8" w:color="auto"/>
            </w:tcBorders>
            <w:shd w:val="clear" w:color="auto" w:fill="2AD2C9"/>
          </w:tcPr>
          <w:p>
            <w:pPr>
              <w:jc w:val="right"/>
              <w:ind w:right="221"/>
              <w:spacing w:after="0"/>
              <w:rPr>
                <w:sz w:val="20"/>
                <w:szCs w:val="20"/>
                <w:color w:val="auto"/>
              </w:rPr>
            </w:pPr>
            <w:r>
              <w:rPr>
                <w:rFonts w:ascii="Arial" w:cs="Arial" w:eastAsia="Arial" w:hAnsi="Arial"/>
                <w:sz w:val="16"/>
                <w:szCs w:val="16"/>
                <w:b w:val="1"/>
                <w:bCs w:val="1"/>
                <w:color w:val="FFFFFF"/>
              </w:rPr>
              <w:t>QoQ</w:t>
            </w:r>
          </w:p>
        </w:tc>
        <w:tc>
          <w:tcPr>
            <w:tcW w:w="640" w:type="dxa"/>
            <w:vAlign w:val="bottom"/>
            <w:tcBorders>
              <w:bottom w:val="single" w:sz="8" w:color="auto"/>
            </w:tcBorders>
            <w:shd w:val="clear" w:color="auto" w:fill="2AD2C9"/>
          </w:tcPr>
          <w:p>
            <w:pPr>
              <w:jc w:val="right"/>
              <w:ind w:right="1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50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00" w:type="dxa"/>
            <w:vAlign w:val="bottom"/>
            <w:gridSpan w:val="2"/>
          </w:tcPr>
          <w:p>
            <w:pPr>
              <w:ind w:left="20"/>
              <w:spacing w:after="0" w:line="174" w:lineRule="exact"/>
              <w:rPr>
                <w:sz w:val="20"/>
                <w:szCs w:val="20"/>
                <w:color w:val="auto"/>
              </w:rPr>
            </w:pPr>
            <w:r>
              <w:rPr>
                <w:rFonts w:ascii="Arial" w:cs="Arial" w:eastAsia="Arial" w:hAnsi="Arial"/>
                <w:sz w:val="16"/>
                <w:szCs w:val="16"/>
                <w:b w:val="1"/>
                <w:bCs w:val="1"/>
                <w:color w:val="auto"/>
              </w:rPr>
              <w:t>Cash and due from banks</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500" w:type="dxa"/>
            <w:vAlign w:val="bottom"/>
            <w:gridSpan w:val="2"/>
          </w:tcPr>
          <w:p>
            <w:pPr>
              <w:ind w:left="140"/>
              <w:spacing w:after="0" w:line="174" w:lineRule="exact"/>
              <w:rPr>
                <w:sz w:val="20"/>
                <w:szCs w:val="20"/>
                <w:color w:val="auto"/>
              </w:rPr>
            </w:pPr>
            <w:r>
              <w:rPr>
                <w:rFonts w:ascii="Arial" w:cs="Arial" w:eastAsia="Arial" w:hAnsi="Arial"/>
                <w:sz w:val="16"/>
                <w:szCs w:val="16"/>
                <w:color w:val="auto"/>
              </w:rPr>
              <w:t>Non-interest bearing</w:t>
            </w:r>
          </w:p>
        </w:tc>
        <w:tc>
          <w:tcPr>
            <w:tcW w:w="12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7,281,695</w:t>
            </w:r>
          </w:p>
        </w:tc>
        <w:tc>
          <w:tcPr>
            <w:tcW w:w="10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6,925,332</w:t>
            </w:r>
          </w:p>
        </w:tc>
        <w:tc>
          <w:tcPr>
            <w:tcW w:w="106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6,748,517</w:t>
            </w:r>
          </w:p>
        </w:tc>
        <w:tc>
          <w:tcPr>
            <w:tcW w:w="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-2.6%</w:t>
            </w:r>
          </w:p>
        </w:tc>
        <w:tc>
          <w:tcPr>
            <w:tcW w:w="640" w:type="dxa"/>
            <w:vAlign w:val="bottom"/>
          </w:tcPr>
          <w:p>
            <w:pPr>
              <w:jc w:val="right"/>
              <w:spacing w:after="0" w:line="174"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0"/>
        </w:trPr>
        <w:tc>
          <w:tcPr>
            <w:tcW w:w="6500" w:type="dxa"/>
            <w:vAlign w:val="bottom"/>
            <w:gridSpan w:val="2"/>
          </w:tcPr>
          <w:p>
            <w:pPr>
              <w:ind w:left="140"/>
              <w:spacing w:after="0"/>
              <w:rPr>
                <w:sz w:val="20"/>
                <w:szCs w:val="20"/>
                <w:color w:val="auto"/>
              </w:rPr>
            </w:pPr>
            <w:r>
              <w:rPr>
                <w:rFonts w:ascii="Arial" w:cs="Arial" w:eastAsia="Arial" w:hAnsi="Arial"/>
                <w:sz w:val="16"/>
                <w:szCs w:val="16"/>
                <w:color w:val="auto"/>
              </w:rPr>
              <w:t>Interest bearing</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31,895,249</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32,395,408</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29,563,512</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-8.7%</w:t>
            </w:r>
          </w:p>
        </w:tc>
        <w:tc>
          <w:tcPr>
            <w:tcW w:w="64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bl>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920" w:type="dxa"/>
            <w:vAlign w:val="bottom"/>
          </w:tcPr>
          <w:p>
            <w:pPr>
              <w:jc w:val="center"/>
              <w:ind w:left="461"/>
              <w:spacing w:after="0"/>
              <w:rPr>
                <w:sz w:val="20"/>
                <w:szCs w:val="20"/>
                <w:color w:val="auto"/>
              </w:rPr>
            </w:pPr>
            <w:r>
              <w:rPr>
                <w:rFonts w:ascii="Arial" w:cs="Arial" w:eastAsia="Arial" w:hAnsi="Arial"/>
                <w:sz w:val="16"/>
                <w:szCs w:val="16"/>
                <w:b w:val="1"/>
                <w:bCs w:val="1"/>
                <w:color w:val="auto"/>
                <w:w w:val="99"/>
              </w:rPr>
              <w:t>Total cash and due from banks</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39,176,944</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39,320,740</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36,312,029</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339"/>
        </w:trPr>
        <w:tc>
          <w:tcPr>
            <w:tcW w:w="5920" w:type="dxa"/>
            <w:vAlign w:val="bottom"/>
          </w:tcPr>
          <w:p>
            <w:pPr>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1,769,690</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1,766,948</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1,516,855</w:t>
            </w: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66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310"/>
        </w:trPr>
        <w:tc>
          <w:tcPr>
            <w:tcW w:w="5920" w:type="dxa"/>
            <w:vAlign w:val="bottom"/>
          </w:tcPr>
          <w:p>
            <w:pPr>
              <w:spacing w:after="0"/>
              <w:rPr>
                <w:sz w:val="20"/>
                <w:szCs w:val="20"/>
                <w:color w:val="auto"/>
              </w:rPr>
            </w:pPr>
            <w:r>
              <w:rPr>
                <w:rFonts w:ascii="Arial" w:cs="Arial" w:eastAsia="Arial" w:hAnsi="Arial"/>
                <w:sz w:val="16"/>
                <w:szCs w:val="16"/>
                <w:color w:val="auto"/>
              </w:rPr>
              <w:t>Fair value through profit or loss investments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8,083,128</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5,928,497</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4,628,870</w:t>
            </w:r>
          </w:p>
        </w:tc>
        <w:tc>
          <w:tcPr>
            <w:tcW w:w="740" w:type="dxa"/>
            <w:vAlign w:val="bottom"/>
          </w:tcPr>
          <w:p>
            <w:pPr>
              <w:jc w:val="right"/>
              <w:spacing w:after="0"/>
              <w:rPr>
                <w:sz w:val="20"/>
                <w:szCs w:val="20"/>
                <w:color w:val="auto"/>
              </w:rPr>
            </w:pPr>
            <w:r>
              <w:rPr>
                <w:rFonts w:ascii="Arial" w:cs="Arial" w:eastAsia="Arial" w:hAnsi="Arial"/>
                <w:sz w:val="16"/>
                <w:szCs w:val="16"/>
                <w:color w:val="auto"/>
              </w:rPr>
              <w:t>-21.9%</w:t>
            </w:r>
          </w:p>
        </w:tc>
        <w:tc>
          <w:tcPr>
            <w:tcW w:w="66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Fair value through other comprehensive income investments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45,681,969</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34,758,443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35,452,509</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2.0%</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-22.4%</w:t>
            </w: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Amortized cost investments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5,647,635</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8,265,559</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8,064,050</w:t>
            </w: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66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10"/>
        </w:trPr>
        <w:tc>
          <w:tcPr>
            <w:tcW w:w="5920" w:type="dxa"/>
            <w:vAlign w:val="bottom"/>
          </w:tcPr>
          <w:p>
            <w:pPr>
              <w:spacing w:after="0"/>
              <w:rPr>
                <w:sz w:val="20"/>
                <w:szCs w:val="20"/>
                <w:color w:val="auto"/>
              </w:rPr>
            </w:pPr>
            <w:r>
              <w:rPr>
                <w:rFonts w:ascii="Arial" w:cs="Arial" w:eastAsia="Arial" w:hAnsi="Arial"/>
                <w:sz w:val="16"/>
                <w:szCs w:val="16"/>
                <w:color w:val="auto"/>
              </w:rPr>
              <w:t>Loans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137,031,239</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147,597,412</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144,621,513</w:t>
            </w: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6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Current</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132,162,756</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142,046,154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138,748,514</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-2.3%</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5.0%</w:t>
            </w: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Internal overdue loans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4,868,483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5,551,258</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5,872,999</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5.8%</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20.6%</w:t>
            </w: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Less - allowance for loan losses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(9,744,298)</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(8,477,308)</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(8,262,383)</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-2.5%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-15.2%</w:t>
            </w: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Loans, net</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127,286,941</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139,120,104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136,359,130</w:t>
            </w: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6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10"/>
        </w:trPr>
        <w:tc>
          <w:tcPr>
            <w:tcW w:w="5920" w:type="dxa"/>
            <w:vAlign w:val="bottom"/>
          </w:tcPr>
          <w:p>
            <w:pPr>
              <w:spacing w:after="0"/>
              <w:rPr>
                <w:sz w:val="20"/>
                <w:szCs w:val="20"/>
                <w:color w:val="auto"/>
              </w:rPr>
            </w:pPr>
            <w:r>
              <w:rPr>
                <w:rFonts w:ascii="Arial" w:cs="Arial" w:eastAsia="Arial" w:hAnsi="Arial"/>
                <w:sz w:val="16"/>
                <w:szCs w:val="16"/>
                <w:color w:val="auto"/>
              </w:rPr>
              <w:t>Financial assets designated at fair value through profit or loss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888,420</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974,664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856,337</w:t>
            </w:r>
          </w:p>
        </w:tc>
        <w:tc>
          <w:tcPr>
            <w:tcW w:w="740" w:type="dxa"/>
            <w:vAlign w:val="bottom"/>
          </w:tcPr>
          <w:p>
            <w:pPr>
              <w:jc w:val="right"/>
              <w:spacing w:after="0"/>
              <w:rPr>
                <w:sz w:val="20"/>
                <w:szCs w:val="20"/>
                <w:color w:val="auto"/>
              </w:rPr>
            </w:pPr>
            <w:r>
              <w:rPr>
                <w:rFonts w:ascii="Arial" w:cs="Arial" w:eastAsia="Arial" w:hAnsi="Arial"/>
                <w:sz w:val="16"/>
                <w:szCs w:val="16"/>
                <w:color w:val="auto"/>
              </w:rPr>
              <w:t>-12.1%</w:t>
            </w: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Accounts receivable from reinsurers and coinsurers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981,379</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1,198,379</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1,166,096</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-2.7%</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18.8%</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Premiums and other policyholder receivables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827,807</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921,103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873,505</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-5.2%</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5.5%</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Property, plant and equipment, net</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1,996,860</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1,895,196</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1,864,825</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-1.6%</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-6.6%</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Due from customers on acceptances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532,584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532,404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524,448</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-1.5%</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Investments in associates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620,603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658,697</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629,009</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-4.5%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1.4%</w:t>
            </w:r>
          </w:p>
        </w:tc>
      </w:tr>
      <w:tr>
        <w:trPr>
          <w:trHeight w:val="169"/>
        </w:trPr>
        <w:tc>
          <w:tcPr>
            <w:tcW w:w="5920" w:type="dxa"/>
            <w:vAlign w:val="bottom"/>
          </w:tcPr>
          <w:p>
            <w:pPr>
              <w:spacing w:after="0" w:line="169" w:lineRule="exact"/>
              <w:rPr>
                <w:sz w:val="20"/>
                <w:szCs w:val="20"/>
                <w:color w:val="auto"/>
              </w:rPr>
            </w:pPr>
            <w:r>
              <w:rPr>
                <w:rFonts w:ascii="Arial" w:cs="Arial" w:eastAsia="Arial" w:hAnsi="Arial"/>
                <w:sz w:val="16"/>
                <w:szCs w:val="16"/>
                <w:color w:val="auto"/>
              </w:rPr>
              <w:t>Intangible assets and goodwill, net</w:t>
            </w:r>
          </w:p>
        </w:tc>
        <w:tc>
          <w:tcPr>
            <w:tcW w:w="1760" w:type="dxa"/>
            <w:vAlign w:val="bottom"/>
          </w:tcPr>
          <w:p>
            <w:pPr>
              <w:jc w:val="right"/>
              <w:ind w:right="21"/>
              <w:spacing w:after="0" w:line="169" w:lineRule="exact"/>
              <w:rPr>
                <w:sz w:val="20"/>
                <w:szCs w:val="20"/>
                <w:color w:val="auto"/>
              </w:rPr>
            </w:pPr>
            <w:r>
              <w:rPr>
                <w:rFonts w:ascii="Arial" w:cs="Arial" w:eastAsia="Arial" w:hAnsi="Arial"/>
                <w:sz w:val="16"/>
                <w:szCs w:val="16"/>
                <w:color w:val="auto"/>
              </w:rPr>
              <w:t>2,599,291</w:t>
            </w:r>
          </w:p>
        </w:tc>
        <w:tc>
          <w:tcPr>
            <w:tcW w:w="1080" w:type="dxa"/>
            <w:vAlign w:val="bottom"/>
          </w:tcPr>
          <w:p>
            <w:pPr>
              <w:jc w:val="right"/>
              <w:ind w:right="21"/>
              <w:spacing w:after="0" w:line="169" w:lineRule="exact"/>
              <w:rPr>
                <w:sz w:val="20"/>
                <w:szCs w:val="20"/>
                <w:color w:val="auto"/>
              </w:rPr>
            </w:pPr>
            <w:r>
              <w:rPr>
                <w:rFonts w:ascii="Arial" w:cs="Arial" w:eastAsia="Arial" w:hAnsi="Arial"/>
                <w:sz w:val="16"/>
                <w:szCs w:val="16"/>
                <w:color w:val="auto"/>
              </w:rPr>
              <w:t>2,710,080</w:t>
            </w:r>
          </w:p>
        </w:tc>
        <w:tc>
          <w:tcPr>
            <w:tcW w:w="1080" w:type="dxa"/>
            <w:vAlign w:val="bottom"/>
          </w:tcPr>
          <w:p>
            <w:pPr>
              <w:jc w:val="right"/>
              <w:ind w:right="21"/>
              <w:spacing w:after="0" w:line="169" w:lineRule="exact"/>
              <w:rPr>
                <w:sz w:val="20"/>
                <w:szCs w:val="20"/>
                <w:color w:val="auto"/>
              </w:rPr>
            </w:pPr>
            <w:r>
              <w:rPr>
                <w:rFonts w:ascii="Arial" w:cs="Arial" w:eastAsia="Arial" w:hAnsi="Arial"/>
                <w:sz w:val="16"/>
                <w:szCs w:val="16"/>
                <w:color w:val="auto"/>
              </w:rPr>
              <w:t>2,703,238</w:t>
            </w:r>
          </w:p>
        </w:tc>
        <w:tc>
          <w:tcPr>
            <w:tcW w:w="740" w:type="dxa"/>
            <w:vAlign w:val="bottom"/>
          </w:tcPr>
          <w:p>
            <w:pPr>
              <w:jc w:val="right"/>
              <w:spacing w:after="0" w:line="169" w:lineRule="exact"/>
              <w:rPr>
                <w:sz w:val="20"/>
                <w:szCs w:val="20"/>
                <w:color w:val="auto"/>
              </w:rPr>
            </w:pPr>
            <w:r>
              <w:rPr>
                <w:rFonts w:ascii="Arial" w:cs="Arial" w:eastAsia="Arial" w:hAnsi="Arial"/>
                <w:sz w:val="16"/>
                <w:szCs w:val="16"/>
                <w:color w:val="auto"/>
              </w:rPr>
              <w:t>-0.3%</w:t>
            </w:r>
          </w:p>
        </w:tc>
        <w:tc>
          <w:tcPr>
            <w:tcW w:w="660" w:type="dxa"/>
            <w:vAlign w:val="bottom"/>
          </w:tcPr>
          <w:p>
            <w:pPr>
              <w:jc w:val="right"/>
              <w:spacing w:after="0" w:line="169" w:lineRule="exact"/>
              <w:rPr>
                <w:sz w:val="20"/>
                <w:szCs w:val="20"/>
                <w:color w:val="auto"/>
              </w:rPr>
            </w:pPr>
            <w:r>
              <w:rPr>
                <w:rFonts w:ascii="Arial" w:cs="Arial" w:eastAsia="Arial" w:hAnsi="Arial"/>
                <w:sz w:val="16"/>
                <w:szCs w:val="16"/>
                <w:color w:val="auto"/>
              </w:rPr>
              <w:t>4.0%</w:t>
            </w:r>
          </w:p>
        </w:tc>
      </w:tr>
      <w:tr>
        <w:trPr>
          <w:trHeight w:val="351"/>
        </w:trPr>
        <w:tc>
          <w:tcPr>
            <w:tcW w:w="5920" w:type="dxa"/>
            <w:vAlign w:val="bottom"/>
          </w:tcPr>
          <w:p>
            <w:pPr>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6"/>
                <w:szCs w:val="26"/>
                <w:color w:val="auto"/>
                <w:vertAlign w:val="superscript"/>
              </w:rPr>
              <w:t>(1)</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8,109,764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6,771,170</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6,949,490</w:t>
            </w:r>
          </w:p>
        </w:tc>
        <w:tc>
          <w:tcPr>
            <w:tcW w:w="740" w:type="dxa"/>
            <w:vAlign w:val="bottom"/>
          </w:tcPr>
          <w:p>
            <w:pPr>
              <w:jc w:val="right"/>
              <w:spacing w:after="0"/>
              <w:rPr>
                <w:sz w:val="20"/>
                <w:szCs w:val="20"/>
                <w:color w:val="auto"/>
              </w:rPr>
            </w:pPr>
            <w:r>
              <w:rPr>
                <w:rFonts w:ascii="Arial" w:cs="Arial" w:eastAsia="Arial" w:hAnsi="Arial"/>
                <w:sz w:val="16"/>
                <w:szCs w:val="16"/>
                <w:color w:val="auto"/>
              </w:rPr>
              <w:t>2.6%</w:t>
            </w:r>
          </w:p>
        </w:tc>
        <w:tc>
          <w:tcPr>
            <w:tcW w:w="66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8"/>
        </w:trPr>
        <w:tc>
          <w:tcPr>
            <w:tcW w:w="5920" w:type="dxa"/>
            <w:vAlign w:val="bottom"/>
          </w:tcPr>
          <w:p>
            <w:pPr>
              <w:jc w:val="center"/>
              <w:ind w:left="461"/>
              <w:spacing w:after="0"/>
              <w:rPr>
                <w:sz w:val="20"/>
                <w:szCs w:val="20"/>
                <w:color w:val="auto"/>
              </w:rPr>
            </w:pPr>
            <w:r>
              <w:rPr>
                <w:rFonts w:ascii="Arial" w:cs="Arial" w:eastAsia="Arial" w:hAnsi="Arial"/>
                <w:sz w:val="16"/>
                <w:szCs w:val="16"/>
                <w:b w:val="1"/>
                <w:bCs w:val="1"/>
                <w:color w:val="auto"/>
                <w:w w:val="98"/>
              </w:rPr>
              <w:t>Total Assets</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244,203,015</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244,821,984</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237,900,391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302"/>
        </w:trPr>
        <w:tc>
          <w:tcPr>
            <w:tcW w:w="592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b w:val="1"/>
                <w:bCs w:val="1"/>
                <w:color w:val="auto"/>
              </w:rPr>
              <w:t>Deposits and obligations</w:t>
            </w:r>
          </w:p>
        </w:tc>
        <w:tc>
          <w:tcPr>
            <w:tcW w:w="1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Non-interest bearing</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48,469,215</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51,851,206</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50,939,859</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-1.8%</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5.1%</w:t>
            </w: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Interest bearing</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100,157,124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98,489,656</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96,976,105</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-3.2%</w:t>
            </w:r>
          </w:p>
        </w:tc>
      </w:tr>
      <w:tr>
        <w:trPr>
          <w:trHeight w:val="210"/>
        </w:trPr>
        <w:tc>
          <w:tcPr>
            <w:tcW w:w="5920" w:type="dxa"/>
            <w:vAlign w:val="bottom"/>
          </w:tcPr>
          <w:p>
            <w:pPr>
              <w:ind w:left="120"/>
              <w:spacing w:after="0"/>
              <w:rPr>
                <w:sz w:val="20"/>
                <w:szCs w:val="20"/>
                <w:color w:val="auto"/>
              </w:rPr>
            </w:pPr>
            <w:r>
              <w:rPr>
                <w:rFonts w:ascii="Arial" w:cs="Arial" w:eastAsia="Arial" w:hAnsi="Arial"/>
                <w:sz w:val="16"/>
                <w:szCs w:val="16"/>
                <w:color w:val="auto"/>
              </w:rPr>
              <w:t>Total deposits and obligations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148,626,339</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150,340,862</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147,915,964</w:t>
            </w: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10"/>
        </w:trPr>
        <w:tc>
          <w:tcPr>
            <w:tcW w:w="5920" w:type="dxa"/>
            <w:vAlign w:val="bottom"/>
          </w:tcPr>
          <w:p>
            <w:pPr>
              <w:spacing w:after="0"/>
              <w:rPr>
                <w:sz w:val="20"/>
                <w:szCs w:val="20"/>
                <w:color w:val="auto"/>
              </w:rPr>
            </w:pPr>
            <w:r>
              <w:rPr>
                <w:rFonts w:ascii="Arial" w:cs="Arial" w:eastAsia="Arial" w:hAnsi="Arial"/>
                <w:sz w:val="16"/>
                <w:szCs w:val="16"/>
                <w:color w:val="auto"/>
              </w:rPr>
              <w:t>Payables from repurchase agreements and securities lending</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26,657,010</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22,013,866</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19,388,995</w:t>
            </w: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66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BCRP instruments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24,303,193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19,692,474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17,532,350</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-11.0%</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-27.9%</w:t>
            </w:r>
          </w:p>
        </w:tc>
      </w:tr>
      <w:tr>
        <w:trPr>
          <w:trHeight w:val="173"/>
        </w:trPr>
        <w:tc>
          <w:tcPr>
            <w:tcW w:w="5920" w:type="dxa"/>
            <w:vAlign w:val="bottom"/>
          </w:tcPr>
          <w:p>
            <w:pPr>
              <w:ind w:left="120"/>
              <w:spacing w:after="0" w:line="174" w:lineRule="exact"/>
              <w:rPr>
                <w:sz w:val="20"/>
                <w:szCs w:val="20"/>
                <w:color w:val="auto"/>
              </w:rPr>
            </w:pPr>
            <w:r>
              <w:rPr>
                <w:rFonts w:ascii="Arial" w:cs="Arial" w:eastAsia="Arial" w:hAnsi="Arial"/>
                <w:sz w:val="16"/>
                <w:szCs w:val="16"/>
                <w:color w:val="auto"/>
              </w:rPr>
              <w:t>Repurchase agreements with third parties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1,159,587</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1,296,277</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1,218,028</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-6.0%</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5.0%</w:t>
            </w:r>
          </w:p>
        </w:tc>
      </w:tr>
      <w:tr>
        <w:trPr>
          <w:trHeight w:val="210"/>
        </w:trPr>
        <w:tc>
          <w:tcPr>
            <w:tcW w:w="5920" w:type="dxa"/>
            <w:vAlign w:val="bottom"/>
          </w:tcPr>
          <w:p>
            <w:pPr>
              <w:ind w:left="120"/>
              <w:spacing w:after="0"/>
              <w:rPr>
                <w:sz w:val="20"/>
                <w:szCs w:val="20"/>
                <w:color w:val="auto"/>
              </w:rPr>
            </w:pPr>
            <w:r>
              <w:rPr>
                <w:rFonts w:ascii="Arial" w:cs="Arial" w:eastAsia="Arial" w:hAnsi="Arial"/>
                <w:sz w:val="16"/>
                <w:szCs w:val="16"/>
                <w:color w:val="auto"/>
              </w:rPr>
              <w:t>Repurchase agreements with customers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1,194,230</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1,025,115</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638,617</w:t>
            </w:r>
          </w:p>
        </w:tc>
        <w:tc>
          <w:tcPr>
            <w:tcW w:w="740" w:type="dxa"/>
            <w:vAlign w:val="bottom"/>
          </w:tcPr>
          <w:p>
            <w:pPr>
              <w:jc w:val="right"/>
              <w:spacing w:after="0"/>
              <w:rPr>
                <w:sz w:val="20"/>
                <w:szCs w:val="20"/>
                <w:color w:val="auto"/>
              </w:rPr>
            </w:pPr>
            <w:r>
              <w:rPr>
                <w:rFonts w:ascii="Arial" w:cs="Arial" w:eastAsia="Arial" w:hAnsi="Arial"/>
                <w:sz w:val="16"/>
                <w:szCs w:val="16"/>
                <w:color w:val="auto"/>
              </w:rPr>
              <w:t>-37.7%</w:t>
            </w:r>
          </w:p>
        </w:tc>
        <w:tc>
          <w:tcPr>
            <w:tcW w:w="66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310"/>
        </w:trPr>
        <w:tc>
          <w:tcPr>
            <w:tcW w:w="5920" w:type="dxa"/>
            <w:vAlign w:val="bottom"/>
          </w:tcPr>
          <w:p>
            <w:pPr>
              <w:spacing w:after="0"/>
              <w:rPr>
                <w:sz w:val="20"/>
                <w:szCs w:val="20"/>
                <w:color w:val="auto"/>
              </w:rPr>
            </w:pPr>
            <w:r>
              <w:rPr>
                <w:rFonts w:ascii="Arial" w:cs="Arial" w:eastAsia="Arial" w:hAnsi="Arial"/>
                <w:sz w:val="16"/>
                <w:szCs w:val="16"/>
                <w:color w:val="auto"/>
              </w:rPr>
              <w:t>Due to banks and correspondents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5,305,933</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7,212,946</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6,362,990</w:t>
            </w:r>
          </w:p>
        </w:tc>
        <w:tc>
          <w:tcPr>
            <w:tcW w:w="740" w:type="dxa"/>
            <w:vAlign w:val="bottom"/>
          </w:tcPr>
          <w:p>
            <w:pPr>
              <w:jc w:val="right"/>
              <w:spacing w:after="0"/>
              <w:rPr>
                <w:sz w:val="20"/>
                <w:szCs w:val="20"/>
                <w:color w:val="auto"/>
              </w:rPr>
            </w:pPr>
            <w:r>
              <w:rPr>
                <w:rFonts w:ascii="Arial" w:cs="Arial" w:eastAsia="Arial" w:hAnsi="Arial"/>
                <w:sz w:val="16"/>
                <w:szCs w:val="16"/>
                <w:color w:val="auto"/>
              </w:rPr>
              <w:t>-11.8%</w:t>
            </w:r>
          </w:p>
        </w:tc>
        <w:tc>
          <w:tcPr>
            <w:tcW w:w="66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Bonds and notes issued</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17,863,198</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17,078,829</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16,044,671</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-6.1%</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-10.2%</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Banker’s acceptances outstanding</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532,584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532,404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524,448</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-1.5%</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Reserves for property and casualty claims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2,248,082</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2,555,580</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2,475,580</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-3.1%</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10.1%</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Reserve for unearned premiums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9,561,612</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9,978,931</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9,482,582</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-5.0%</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-0.8%</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Accounts payable to reinsurers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290,866</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463,825</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414,506</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-10.6%</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42.5%</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Financial liabilities at fair value through profit or loss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772,385</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325,571</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232,185</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-28.7%</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-69.9%</w:t>
            </w: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Other liabilities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7,326,432</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7,281,731</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7,656,939</w:t>
            </w: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6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55"/>
        </w:trPr>
        <w:tc>
          <w:tcPr>
            <w:tcW w:w="5920" w:type="dxa"/>
            <w:vAlign w:val="bottom"/>
          </w:tcPr>
          <w:p>
            <w:pPr>
              <w:jc w:val="center"/>
              <w:ind w:left="461"/>
              <w:spacing w:after="0"/>
              <w:rPr>
                <w:sz w:val="20"/>
                <w:szCs w:val="20"/>
                <w:color w:val="auto"/>
              </w:rPr>
            </w:pPr>
            <w:r>
              <w:rPr>
                <w:rFonts w:ascii="Arial" w:cs="Arial" w:eastAsia="Arial" w:hAnsi="Arial"/>
                <w:sz w:val="16"/>
                <w:szCs w:val="16"/>
                <w:b w:val="1"/>
                <w:bCs w:val="1"/>
                <w:color w:val="auto"/>
                <w:w w:val="97"/>
              </w:rPr>
              <w:t>Total Liabilities</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219,184,441</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217,784,545</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210,498,860</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302"/>
        </w:trPr>
        <w:tc>
          <w:tcPr>
            <w:tcW w:w="5920" w:type="dxa"/>
            <w:vAlign w:val="bottom"/>
          </w:tcPr>
          <w:p>
            <w:pPr>
              <w:spacing w:after="0"/>
              <w:rPr>
                <w:sz w:val="20"/>
                <w:szCs w:val="20"/>
                <w:color w:val="auto"/>
              </w:rPr>
            </w:pPr>
            <w:r>
              <w:rPr>
                <w:rFonts w:ascii="Arial" w:cs="Arial" w:eastAsia="Arial" w:hAnsi="Arial"/>
                <w:sz w:val="16"/>
                <w:szCs w:val="16"/>
                <w:b w:val="1"/>
                <w:bCs w:val="1"/>
                <w:color w:val="auto"/>
              </w:rPr>
              <w:t>Net equity</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24,529,958</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26,496,767</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26,872,626</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9.6%</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Capital stock</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1,318,993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1,318,993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1,318,993</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0.0%</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0.0%</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Treasury stock</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(207,840)</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(207,534)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(207,700)</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0.1%</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-0.1%</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Capital surplus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224,591</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228,853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227,361</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-0.7%</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1.2%</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Reserves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21,707,166</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21,364,272</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21,292,614</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-0.3%</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-1.9%</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Unrealized gains and losses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840,581</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235,902</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(449,414)</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-290.5%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-153.5%</w:t>
            </w: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Retained earnings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646,467</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3,556,281</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4,690,772</w:t>
            </w:r>
          </w:p>
        </w:tc>
        <w:tc>
          <w:tcPr>
            <w:tcW w:w="740" w:type="dxa"/>
            <w:vAlign w:val="bottom"/>
          </w:tcPr>
          <w:p>
            <w:pPr>
              <w:jc w:val="right"/>
              <w:spacing w:after="0"/>
              <w:rPr>
                <w:sz w:val="20"/>
                <w:szCs w:val="20"/>
                <w:color w:val="auto"/>
              </w:rPr>
            </w:pPr>
            <w:r>
              <w:rPr>
                <w:rFonts w:ascii="Arial" w:cs="Arial" w:eastAsia="Arial" w:hAnsi="Arial"/>
                <w:sz w:val="16"/>
                <w:szCs w:val="16"/>
                <w:color w:val="auto"/>
              </w:rPr>
              <w:t>31.9%</w:t>
            </w:r>
          </w:p>
        </w:tc>
        <w:tc>
          <w:tcPr>
            <w:tcW w:w="660" w:type="dxa"/>
            <w:vAlign w:val="bottom"/>
          </w:tcPr>
          <w:p>
            <w:pPr>
              <w:jc w:val="right"/>
              <w:spacing w:after="0"/>
              <w:rPr>
                <w:sz w:val="20"/>
                <w:szCs w:val="20"/>
                <w:color w:val="auto"/>
              </w:rPr>
            </w:pPr>
            <w:r>
              <w:rPr>
                <w:rFonts w:ascii="Arial" w:cs="Arial" w:eastAsia="Arial" w:hAnsi="Arial"/>
                <w:sz w:val="16"/>
                <w:szCs w:val="16"/>
                <w:color w:val="auto"/>
              </w:rPr>
              <w:t>625.6%</w:t>
            </w:r>
          </w:p>
        </w:tc>
      </w:tr>
      <w:tr>
        <w:trPr>
          <w:trHeight w:val="347"/>
        </w:trPr>
        <w:tc>
          <w:tcPr>
            <w:tcW w:w="59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488,616</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540,672</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528,905</w:t>
            </w: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355"/>
        </w:trPr>
        <w:tc>
          <w:tcPr>
            <w:tcW w:w="5920" w:type="dxa"/>
            <w:vAlign w:val="bottom"/>
          </w:tcPr>
          <w:p>
            <w:pPr>
              <w:jc w:val="center"/>
              <w:ind w:left="461"/>
              <w:spacing w:after="0"/>
              <w:rPr>
                <w:sz w:val="20"/>
                <w:szCs w:val="20"/>
                <w:color w:val="auto"/>
              </w:rPr>
            </w:pPr>
            <w:r>
              <w:rPr>
                <w:rFonts w:ascii="Arial" w:cs="Arial" w:eastAsia="Arial" w:hAnsi="Arial"/>
                <w:sz w:val="16"/>
                <w:szCs w:val="16"/>
                <w:b w:val="1"/>
                <w:bCs w:val="1"/>
                <w:color w:val="auto"/>
                <w:w w:val="96"/>
              </w:rPr>
              <w:t>Total Net Equity</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25,018,574</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27,037,439</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27,401,531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r>
        <w:trPr>
          <w:trHeight w:val="347"/>
        </w:trPr>
        <w:tc>
          <w:tcPr>
            <w:tcW w:w="592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244,203,015</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244,821,984</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237,900,391</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-2.6%</w:t>
            </w:r>
          </w:p>
        </w:tc>
      </w:tr>
      <w:tr>
        <w:trPr>
          <w:trHeight w:val="302"/>
        </w:trPr>
        <w:tc>
          <w:tcPr>
            <w:tcW w:w="5920" w:type="dxa"/>
            <w:vAlign w:val="bottom"/>
          </w:tcPr>
          <w:p>
            <w:pPr>
              <w:spacing w:after="0"/>
              <w:rPr>
                <w:sz w:val="20"/>
                <w:szCs w:val="20"/>
                <w:color w:val="auto"/>
              </w:rPr>
            </w:pPr>
            <w:r>
              <w:rPr>
                <w:rFonts w:ascii="Arial" w:cs="Arial" w:eastAsia="Arial" w:hAnsi="Arial"/>
                <w:sz w:val="16"/>
                <w:szCs w:val="16"/>
                <w:b w:val="1"/>
                <w:bCs w:val="1"/>
                <w:color w:val="auto"/>
              </w:rPr>
              <w:t>Off-balance sheet</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150,250,539</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151,136,879</w:t>
            </w: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142,337,944</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Total performance bonds, stand-by and L/Cs.</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21,761,484</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22,914,343</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21,196,817</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-7.5%</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-2.6%</w:t>
            </w:r>
          </w:p>
        </w:tc>
      </w:tr>
      <w:tr>
        <w:trPr>
          <w:trHeight w:val="173"/>
        </w:trPr>
        <w:tc>
          <w:tcPr>
            <w:tcW w:w="5920" w:type="dxa"/>
            <w:vAlign w:val="bottom"/>
          </w:tcPr>
          <w:p>
            <w:pPr>
              <w:spacing w:after="0" w:line="174" w:lineRule="exact"/>
              <w:rPr>
                <w:sz w:val="20"/>
                <w:szCs w:val="20"/>
                <w:color w:val="auto"/>
              </w:rPr>
            </w:pPr>
            <w:r>
              <w:rPr>
                <w:rFonts w:ascii="Arial" w:cs="Arial" w:eastAsia="Arial" w:hAnsi="Arial"/>
                <w:sz w:val="16"/>
                <w:szCs w:val="16"/>
                <w:color w:val="auto"/>
              </w:rPr>
              <w:t>Undrawn credit lines, advised but not committed</w:t>
            </w:r>
          </w:p>
        </w:tc>
        <w:tc>
          <w:tcPr>
            <w:tcW w:w="17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90,946,335</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88,382,322</w:t>
            </w: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80,155,277</w:t>
            </w:r>
          </w:p>
        </w:tc>
        <w:tc>
          <w:tcPr>
            <w:tcW w:w="740" w:type="dxa"/>
            <w:vAlign w:val="bottom"/>
          </w:tcPr>
          <w:p>
            <w:pPr>
              <w:jc w:val="right"/>
              <w:spacing w:after="0" w:line="174" w:lineRule="exact"/>
              <w:rPr>
                <w:sz w:val="20"/>
                <w:szCs w:val="20"/>
                <w:color w:val="auto"/>
              </w:rPr>
            </w:pPr>
            <w:r>
              <w:rPr>
                <w:rFonts w:ascii="Arial" w:cs="Arial" w:eastAsia="Arial" w:hAnsi="Arial"/>
                <w:sz w:val="16"/>
                <w:szCs w:val="16"/>
                <w:color w:val="auto"/>
              </w:rPr>
              <w:t>-9.3%</w:t>
            </w:r>
          </w:p>
        </w:tc>
        <w:tc>
          <w:tcPr>
            <w:tcW w:w="660" w:type="dxa"/>
            <w:vAlign w:val="bottom"/>
          </w:tcPr>
          <w:p>
            <w:pPr>
              <w:jc w:val="right"/>
              <w:spacing w:after="0" w:line="174" w:lineRule="exact"/>
              <w:rPr>
                <w:sz w:val="20"/>
                <w:szCs w:val="20"/>
                <w:color w:val="auto"/>
              </w:rPr>
            </w:pPr>
            <w:r>
              <w:rPr>
                <w:rFonts w:ascii="Arial" w:cs="Arial" w:eastAsia="Arial" w:hAnsi="Arial"/>
                <w:sz w:val="16"/>
                <w:szCs w:val="16"/>
                <w:color w:val="auto"/>
              </w:rPr>
              <w:t>-11.9%</w:t>
            </w:r>
          </w:p>
        </w:tc>
      </w:tr>
      <w:tr>
        <w:trPr>
          <w:trHeight w:val="210"/>
        </w:trPr>
        <w:tc>
          <w:tcPr>
            <w:tcW w:w="5920" w:type="dxa"/>
            <w:vAlign w:val="bottom"/>
          </w:tcPr>
          <w:p>
            <w:pPr>
              <w:spacing w:after="0"/>
              <w:rPr>
                <w:sz w:val="20"/>
                <w:szCs w:val="20"/>
                <w:color w:val="auto"/>
              </w:rPr>
            </w:pPr>
            <w:r>
              <w:rPr>
                <w:rFonts w:ascii="Arial" w:cs="Arial" w:eastAsia="Arial" w:hAnsi="Arial"/>
                <w:sz w:val="16"/>
                <w:szCs w:val="16"/>
                <w:color w:val="auto"/>
              </w:rPr>
              <w:t>Total derivatives (notional) and others</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37,542,720</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39,840,214</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40,985,850</w:t>
            </w: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660" w:type="dxa"/>
            <w:vAlign w:val="bottom"/>
          </w:tcPr>
          <w:p>
            <w:pPr>
              <w:jc w:val="right"/>
              <w:spacing w:after="0"/>
              <w:rPr>
                <w:sz w:val="20"/>
                <w:szCs w:val="20"/>
                <w:color w:val="auto"/>
              </w:rPr>
            </w:pPr>
            <w:r>
              <w:rPr>
                <w:rFonts w:ascii="Arial" w:cs="Arial" w:eastAsia="Arial" w:hAnsi="Arial"/>
                <w:sz w:val="16"/>
                <w:szCs w:val="16"/>
                <w:color w:val="auto"/>
              </w:rPr>
              <w:t>9.2%</w:t>
            </w: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Includes mainly accounts receivables from brokerage and others.</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547"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60"/>
        </w:trPr>
        <w:tc>
          <w:tcPr>
            <w:tcW w:w="7360" w:type="dxa"/>
            <w:vAlign w:val="bottom"/>
            <w:tcBorders>
              <w:left w:val="single" w:sz="8" w:color="auto"/>
            </w:tcBorders>
            <w:gridSpan w:val="3"/>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940" w:type="dxa"/>
            <w:vAlign w:val="bottom"/>
            <w:shd w:val="clear" w:color="auto" w:fill="000000"/>
          </w:tcPr>
          <w:p>
            <w:pPr>
              <w:spacing w:after="0"/>
              <w:rPr>
                <w:sz w:val="22"/>
                <w:szCs w:val="22"/>
                <w:color w:val="auto"/>
              </w:rPr>
            </w:pPr>
          </w:p>
        </w:tc>
        <w:tc>
          <w:tcPr>
            <w:tcW w:w="2980" w:type="dxa"/>
            <w:vAlign w:val="bottom"/>
            <w:tcBorders>
              <w:right w:val="single" w:sz="8" w:color="auto"/>
            </w:tcBorders>
            <w:gridSpan w:val="3"/>
            <w:shd w:val="clear" w:color="auto" w:fill="000000"/>
          </w:tcPr>
          <w:p>
            <w:pPr>
              <w:jc w:val="right"/>
              <w:spacing w:after="0"/>
              <w:rPr>
                <w:sz w:val="20"/>
                <w:szCs w:val="20"/>
                <w:color w:val="auto"/>
              </w:rPr>
            </w:pPr>
            <w:r>
              <w:rPr>
                <w:rFonts w:ascii="Arial" w:cs="Arial" w:eastAsia="Arial" w:hAnsi="Arial"/>
                <w:sz w:val="16"/>
                <w:szCs w:val="16"/>
                <w:b w:val="1"/>
                <w:bCs w:val="1"/>
                <w:color w:val="E93CAC"/>
                <w:w w:val="99"/>
              </w:rPr>
              <w:t>Analysis of 1Q22 Consolidated Results</w:t>
            </w:r>
          </w:p>
        </w:tc>
        <w:tc>
          <w:tcPr>
            <w:tcW w:w="0" w:type="dxa"/>
            <w:vAlign w:val="bottom"/>
          </w:tcPr>
          <w:p>
            <w:pPr>
              <w:spacing w:after="0"/>
              <w:rPr>
                <w:sz w:val="1"/>
                <w:szCs w:val="1"/>
                <w:color w:val="auto"/>
              </w:rPr>
            </w:pPr>
          </w:p>
        </w:tc>
      </w:tr>
      <w:tr>
        <w:trPr>
          <w:trHeight w:val="97"/>
        </w:trPr>
        <w:tc>
          <w:tcPr>
            <w:tcW w:w="4760" w:type="dxa"/>
            <w:vAlign w:val="bottom"/>
            <w:tcBorders>
              <w:left w:val="single" w:sz="8" w:color="auto"/>
            </w:tcBorders>
            <w:shd w:val="clear" w:color="auto" w:fill="000000"/>
          </w:tcPr>
          <w:p>
            <w:pPr>
              <w:spacing w:after="0"/>
              <w:rPr>
                <w:sz w:val="8"/>
                <w:szCs w:val="8"/>
                <w:color w:val="auto"/>
              </w:rPr>
            </w:pPr>
          </w:p>
        </w:tc>
        <w:tc>
          <w:tcPr>
            <w:tcW w:w="1460" w:type="dxa"/>
            <w:vAlign w:val="bottom"/>
            <w:tcBorders>
              <w:right w:val="single" w:sz="8" w:color="auto"/>
            </w:tcBorders>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940" w:type="dxa"/>
            <w:vAlign w:val="bottom"/>
            <w:shd w:val="clear" w:color="auto" w:fill="000000"/>
          </w:tcPr>
          <w:p>
            <w:pPr>
              <w:spacing w:after="0"/>
              <w:rPr>
                <w:sz w:val="8"/>
                <w:szCs w:val="8"/>
                <w:color w:val="auto"/>
              </w:rPr>
            </w:pPr>
          </w:p>
        </w:tc>
        <w:tc>
          <w:tcPr>
            <w:tcW w:w="960" w:type="dxa"/>
            <w:vAlign w:val="bottom"/>
            <w:tcBorders>
              <w:right w:val="single" w:sz="8" w:color="auto"/>
            </w:tcBorders>
            <w:shd w:val="clear" w:color="auto" w:fill="000000"/>
          </w:tcPr>
          <w:p>
            <w:pPr>
              <w:spacing w:after="0"/>
              <w:rPr>
                <w:sz w:val="8"/>
                <w:szCs w:val="8"/>
                <w:color w:val="auto"/>
              </w:rPr>
            </w:pPr>
          </w:p>
        </w:tc>
        <w:tc>
          <w:tcPr>
            <w:tcW w:w="1180" w:type="dxa"/>
            <w:vAlign w:val="bottom"/>
            <w:shd w:val="clear" w:color="auto" w:fill="000000"/>
          </w:tcPr>
          <w:p>
            <w:pPr>
              <w:spacing w:after="0"/>
              <w:rPr>
                <w:sz w:val="8"/>
                <w:szCs w:val="8"/>
                <w:color w:val="auto"/>
              </w:rPr>
            </w:pPr>
          </w:p>
        </w:tc>
        <w:tc>
          <w:tcPr>
            <w:tcW w:w="840" w:type="dxa"/>
            <w:vAlign w:val="bottom"/>
            <w:tcBorders>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4760" w:type="dxa"/>
            <w:vAlign w:val="bottom"/>
            <w:tcBorders>
              <w:left w:val="single" w:sz="8" w:color="E93CAC"/>
            </w:tcBorders>
            <w:shd w:val="clear" w:color="auto" w:fill="E93CAC"/>
          </w:tcPr>
          <w:p>
            <w:pPr>
              <w:ind w:left="40"/>
              <w:spacing w:after="0"/>
              <w:rPr>
                <w:sz w:val="20"/>
                <w:szCs w:val="20"/>
                <w:color w:val="auto"/>
              </w:rPr>
            </w:pPr>
            <w:r>
              <w:rPr>
                <w:rFonts w:ascii="Arial" w:cs="Arial" w:eastAsia="Arial" w:hAnsi="Arial"/>
                <w:sz w:val="17"/>
                <w:szCs w:val="17"/>
                <w:b w:val="1"/>
                <w:bCs w:val="1"/>
                <w:color w:val="FFFFFF"/>
              </w:rPr>
              <w:t>12. Appendix</w:t>
            </w:r>
          </w:p>
        </w:tc>
        <w:tc>
          <w:tcPr>
            <w:tcW w:w="1460" w:type="dxa"/>
            <w:vAlign w:val="bottom"/>
            <w:tcBorders>
              <w:right w:val="single" w:sz="8" w:color="E93CAC"/>
            </w:tcBorders>
            <w:shd w:val="clear" w:color="auto" w:fill="E93CAC"/>
          </w:tcPr>
          <w:p>
            <w:pPr>
              <w:spacing w:after="0"/>
              <w:rPr>
                <w:sz w:val="22"/>
                <w:szCs w:val="22"/>
                <w:color w:val="auto"/>
              </w:rPr>
            </w:pPr>
          </w:p>
        </w:tc>
        <w:tc>
          <w:tcPr>
            <w:tcW w:w="1140" w:type="dxa"/>
            <w:vAlign w:val="bottom"/>
            <w:shd w:val="clear" w:color="auto" w:fill="E93CAC"/>
          </w:tcPr>
          <w:p>
            <w:pPr>
              <w:spacing w:after="0"/>
              <w:rPr>
                <w:sz w:val="22"/>
                <w:szCs w:val="22"/>
                <w:color w:val="auto"/>
              </w:rPr>
            </w:pPr>
          </w:p>
        </w:tc>
        <w:tc>
          <w:tcPr>
            <w:tcW w:w="940" w:type="dxa"/>
            <w:vAlign w:val="bottom"/>
            <w:shd w:val="clear" w:color="auto" w:fill="E93CAC"/>
          </w:tcPr>
          <w:p>
            <w:pPr>
              <w:spacing w:after="0"/>
              <w:rPr>
                <w:sz w:val="22"/>
                <w:szCs w:val="22"/>
                <w:color w:val="auto"/>
              </w:rPr>
            </w:pPr>
          </w:p>
        </w:tc>
        <w:tc>
          <w:tcPr>
            <w:tcW w:w="960" w:type="dxa"/>
            <w:vAlign w:val="bottom"/>
            <w:tcBorders>
              <w:right w:val="single" w:sz="8" w:color="E93CAC"/>
            </w:tcBorders>
            <w:shd w:val="clear" w:color="auto" w:fill="E93CAC"/>
          </w:tcPr>
          <w:p>
            <w:pPr>
              <w:spacing w:after="0"/>
              <w:rPr>
                <w:sz w:val="22"/>
                <w:szCs w:val="22"/>
                <w:color w:val="auto"/>
              </w:rPr>
            </w:pPr>
          </w:p>
        </w:tc>
        <w:tc>
          <w:tcPr>
            <w:tcW w:w="1180" w:type="dxa"/>
            <w:vAlign w:val="bottom"/>
            <w:shd w:val="clear" w:color="auto" w:fill="E93CAC"/>
          </w:tcPr>
          <w:p>
            <w:pPr>
              <w:spacing w:after="0"/>
              <w:rPr>
                <w:sz w:val="22"/>
                <w:szCs w:val="22"/>
                <w:color w:val="auto"/>
              </w:rPr>
            </w:pPr>
          </w:p>
        </w:tc>
        <w:tc>
          <w:tcPr>
            <w:tcW w:w="840" w:type="dxa"/>
            <w:vAlign w:val="bottom"/>
            <w:tcBorders>
              <w:right w:val="single" w:sz="8" w:color="E93CAC"/>
            </w:tcBorders>
            <w:shd w:val="clear" w:color="auto" w:fill="E93CAC"/>
          </w:tcPr>
          <w:p>
            <w:pPr>
              <w:spacing w:after="0"/>
              <w:rPr>
                <w:sz w:val="22"/>
                <w:szCs w:val="22"/>
                <w:color w:val="auto"/>
              </w:rPr>
            </w:pPr>
          </w:p>
        </w:tc>
        <w:tc>
          <w:tcPr>
            <w:tcW w:w="0" w:type="dxa"/>
            <w:vAlign w:val="bottom"/>
          </w:tcPr>
          <w:p>
            <w:pPr>
              <w:spacing w:after="0"/>
              <w:rPr>
                <w:sz w:val="1"/>
                <w:szCs w:val="1"/>
                <w:color w:val="auto"/>
              </w:rPr>
            </w:pPr>
          </w:p>
        </w:tc>
      </w:tr>
      <w:tr>
        <w:trPr>
          <w:trHeight w:val="478"/>
        </w:trPr>
        <w:tc>
          <w:tcPr>
            <w:tcW w:w="7360" w:type="dxa"/>
            <w:vAlign w:val="bottom"/>
            <w:gridSpan w:val="3"/>
          </w:tcPr>
          <w:p>
            <w:pPr>
              <w:jc w:val="center"/>
              <w:ind w:left="3861"/>
              <w:spacing w:after="0"/>
              <w:rPr>
                <w:sz w:val="20"/>
                <w:szCs w:val="20"/>
                <w:color w:val="auto"/>
              </w:rPr>
            </w:pPr>
            <w:r>
              <w:rPr>
                <w:rFonts w:ascii="Times New Roman" w:cs="Times New Roman" w:eastAsia="Times New Roman" w:hAnsi="Times New Roman"/>
                <w:sz w:val="16"/>
                <w:szCs w:val="16"/>
                <w:b w:val="1"/>
                <w:bCs w:val="1"/>
                <w:color w:val="auto"/>
                <w:w w:val="98"/>
              </w:rPr>
              <w:t>CREDICORP LTD. AND SUBSIDIARIES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360" w:type="dxa"/>
            <w:vAlign w:val="bottom"/>
            <w:gridSpan w:val="3"/>
          </w:tcPr>
          <w:p>
            <w:pPr>
              <w:jc w:val="center"/>
              <w:ind w:left="3861"/>
              <w:spacing w:after="0"/>
              <w:rPr>
                <w:sz w:val="20"/>
                <w:szCs w:val="20"/>
                <w:color w:val="auto"/>
              </w:rPr>
            </w:pPr>
            <w:r>
              <w:rPr>
                <w:rFonts w:ascii="Times New Roman" w:cs="Times New Roman" w:eastAsia="Times New Roman" w:hAnsi="Times New Roman"/>
                <w:sz w:val="16"/>
                <w:szCs w:val="16"/>
                <w:b w:val="1"/>
                <w:bCs w:val="1"/>
                <w:color w:val="auto"/>
                <w:w w:val="98"/>
              </w:rPr>
              <w:t>CONSOLIDATED STATEMENT OF INCOME</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2600" w:type="dxa"/>
            <w:vAlign w:val="bottom"/>
            <w:gridSpan w:val="2"/>
          </w:tcPr>
          <w:p>
            <w:pPr>
              <w:jc w:val="center"/>
              <w:ind w:right="761"/>
              <w:spacing w:after="0"/>
              <w:rPr>
                <w:sz w:val="20"/>
                <w:szCs w:val="20"/>
                <w:color w:val="auto"/>
              </w:rPr>
            </w:pPr>
            <w:r>
              <w:rPr>
                <w:rFonts w:ascii="Times New Roman" w:cs="Times New Roman" w:eastAsia="Times New Roman" w:hAnsi="Times New Roman"/>
                <w:sz w:val="16"/>
                <w:szCs w:val="16"/>
                <w:b w:val="1"/>
                <w:bCs w:val="1"/>
                <w:color w:val="auto"/>
                <w:w w:val="99"/>
              </w:rPr>
              <w:t>(In S/ thousands, IFRS)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760" w:type="dxa"/>
            <w:vAlign w:val="bottom"/>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140" w:type="dxa"/>
            <w:vAlign w:val="bottom"/>
            <w:vMerge w:val="restart"/>
            <w:shd w:val="clear" w:color="auto" w:fill="2AD2C9"/>
          </w:tcPr>
          <w:p>
            <w:pPr>
              <w:jc w:val="right"/>
              <w:ind w:right="361"/>
              <w:spacing w:after="0"/>
              <w:rPr>
                <w:sz w:val="20"/>
                <w:szCs w:val="20"/>
                <w:color w:val="auto"/>
              </w:rPr>
            </w:pPr>
            <w:r>
              <w:rPr>
                <w:rFonts w:ascii="Arial" w:cs="Arial" w:eastAsia="Arial" w:hAnsi="Arial"/>
                <w:sz w:val="16"/>
                <w:szCs w:val="16"/>
                <w:b w:val="1"/>
                <w:bCs w:val="1"/>
                <w:color w:val="FFFFFF"/>
              </w:rPr>
              <w:t>1Q21</w:t>
            </w:r>
          </w:p>
        </w:tc>
        <w:tc>
          <w:tcPr>
            <w:tcW w:w="940" w:type="dxa"/>
            <w:vAlign w:val="bottom"/>
            <w:shd w:val="clear" w:color="auto" w:fill="2AD2C9"/>
          </w:tcPr>
          <w:p>
            <w:pPr>
              <w:jc w:val="right"/>
              <w:ind w:right="201"/>
              <w:spacing w:after="0" w:line="155" w:lineRule="exact"/>
              <w:rPr>
                <w:sz w:val="20"/>
                <w:szCs w:val="20"/>
                <w:color w:val="auto"/>
              </w:rPr>
            </w:pPr>
            <w:r>
              <w:rPr>
                <w:rFonts w:ascii="Arial" w:cs="Arial" w:eastAsia="Arial" w:hAnsi="Arial"/>
                <w:sz w:val="16"/>
                <w:szCs w:val="16"/>
                <w:b w:val="1"/>
                <w:bCs w:val="1"/>
                <w:color w:val="FFFFFF"/>
              </w:rPr>
              <w:t>Quarter</w:t>
            </w:r>
          </w:p>
        </w:tc>
        <w:tc>
          <w:tcPr>
            <w:tcW w:w="960" w:type="dxa"/>
            <w:vAlign w:val="bottom"/>
            <w:tcBorders>
              <w:right w:val="single" w:sz="8" w:color="auto"/>
            </w:tcBorders>
            <w:vMerge w:val="restart"/>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1Q22</w:t>
            </w:r>
          </w:p>
        </w:tc>
        <w:tc>
          <w:tcPr>
            <w:tcW w:w="2020" w:type="dxa"/>
            <w:vAlign w:val="bottom"/>
            <w:tcBorders>
              <w:right w:val="single" w:sz="8" w:color="auto"/>
            </w:tcBorders>
            <w:gridSpan w:val="2"/>
            <w:shd w:val="clear" w:color="auto" w:fill="2AD2C9"/>
          </w:tcPr>
          <w:p>
            <w:pPr>
              <w:jc w:val="right"/>
              <w:ind w:right="56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76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tcBorders>
            <w:vMerge w:val="continue"/>
            <w:shd w:val="clear" w:color="auto" w:fill="2AD2C9"/>
          </w:tcPr>
          <w:p>
            <w:pPr>
              <w:spacing w:after="0"/>
              <w:rPr>
                <w:sz w:val="16"/>
                <w:szCs w:val="16"/>
                <w:color w:val="auto"/>
              </w:rPr>
            </w:pPr>
          </w:p>
        </w:tc>
        <w:tc>
          <w:tcPr>
            <w:tcW w:w="940" w:type="dxa"/>
            <w:vAlign w:val="bottom"/>
            <w:tcBorders>
              <w:bottom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4Q21</w:t>
            </w:r>
          </w:p>
        </w:tc>
        <w:tc>
          <w:tcPr>
            <w:tcW w:w="96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8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4760" w:type="dxa"/>
            <w:vAlign w:val="bottom"/>
            <w:tcBorders>
              <w:lef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Interest income and expense</w:t>
            </w:r>
          </w:p>
        </w:tc>
        <w:tc>
          <w:tcPr>
            <w:tcW w:w="1460" w:type="dxa"/>
            <w:vAlign w:val="bottom"/>
            <w:tcBorders>
              <w:righ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760" w:type="dxa"/>
            <w:vAlign w:val="bottom"/>
            <w:tcBorders>
              <w:left w:val="single" w:sz="8" w:color="auto"/>
            </w:tcBorders>
          </w:tcPr>
          <w:p>
            <w:pPr>
              <w:ind w:left="140"/>
              <w:spacing w:after="0" w:line="169" w:lineRule="exact"/>
              <w:rPr>
                <w:sz w:val="20"/>
                <w:szCs w:val="20"/>
                <w:color w:val="auto"/>
              </w:rPr>
            </w:pPr>
            <w:r>
              <w:rPr>
                <w:rFonts w:ascii="Arial" w:cs="Arial" w:eastAsia="Arial" w:hAnsi="Arial"/>
                <w:sz w:val="16"/>
                <w:szCs w:val="16"/>
                <w:color w:val="auto"/>
              </w:rPr>
              <w:t>Interest and dividend income</w:t>
            </w:r>
          </w:p>
        </w:tc>
        <w:tc>
          <w:tcPr>
            <w:tcW w:w="1460" w:type="dxa"/>
            <w:vAlign w:val="bottom"/>
            <w:tcBorders>
              <w:right w:val="single" w:sz="8" w:color="auto"/>
            </w:tcBorders>
          </w:tcPr>
          <w:p>
            <w:pPr>
              <w:spacing w:after="0"/>
              <w:rPr>
                <w:sz w:val="14"/>
                <w:szCs w:val="14"/>
                <w:color w:val="auto"/>
              </w:rPr>
            </w:pPr>
          </w:p>
        </w:tc>
        <w:tc>
          <w:tcPr>
            <w:tcW w:w="11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2,816,073</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3,091,754</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3,172,346</w:t>
            </w:r>
          </w:p>
        </w:tc>
        <w:tc>
          <w:tcPr>
            <w:tcW w:w="11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2.6%</w:t>
            </w:r>
          </w:p>
        </w:tc>
        <w:tc>
          <w:tcPr>
            <w:tcW w:w="8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8"/>
        </w:trPr>
        <w:tc>
          <w:tcPr>
            <w:tcW w:w="4760" w:type="dxa"/>
            <w:vAlign w:val="bottom"/>
            <w:tcBorders>
              <w:lef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(692,690)</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(613,907)</w:t>
            </w:r>
          </w:p>
        </w:tc>
        <w:tc>
          <w:tcPr>
            <w:tcW w:w="9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(638,256)</w:t>
            </w:r>
          </w:p>
        </w:tc>
        <w:tc>
          <w:tcPr>
            <w:tcW w:w="1180" w:type="dxa"/>
            <w:vAlign w:val="bottom"/>
          </w:tcPr>
          <w:p>
            <w:pPr>
              <w:jc w:val="right"/>
              <w:ind w:right="101"/>
              <w:spacing w:after="0" w:line="178" w:lineRule="exact"/>
              <w:rPr>
                <w:sz w:val="20"/>
                <w:szCs w:val="20"/>
                <w:color w:val="auto"/>
              </w:rPr>
            </w:pPr>
            <w:r>
              <w:rPr>
                <w:rFonts w:ascii="Arial" w:cs="Arial" w:eastAsia="Arial" w:hAnsi="Arial"/>
                <w:sz w:val="16"/>
                <w:szCs w:val="16"/>
                <w:color w:val="auto"/>
              </w:rPr>
              <w:t>4.0%</w:t>
            </w:r>
          </w:p>
        </w:tc>
        <w:tc>
          <w:tcPr>
            <w:tcW w:w="8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8"/>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Net interest income</w:t>
            </w:r>
          </w:p>
        </w:tc>
        <w:tc>
          <w:tcPr>
            <w:tcW w:w="1460" w:type="dxa"/>
            <w:vAlign w:val="bottom"/>
            <w:tcBorders>
              <w:right w:val="single" w:sz="8" w:color="auto"/>
            </w:tcBorders>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2,123,383</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2,477,847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2,534,090</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2.3%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19.3%</w:t>
            </w:r>
          </w:p>
        </w:tc>
        <w:tc>
          <w:tcPr>
            <w:tcW w:w="0" w:type="dxa"/>
            <w:vAlign w:val="bottom"/>
          </w:tcPr>
          <w:p>
            <w:pPr>
              <w:spacing w:after="0"/>
              <w:rPr>
                <w:sz w:val="1"/>
                <w:szCs w:val="1"/>
                <w:color w:val="auto"/>
              </w:rPr>
            </w:pPr>
          </w:p>
        </w:tc>
      </w:tr>
      <w:tr>
        <w:trPr>
          <w:trHeight w:val="302"/>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Gross provision for credit losses on loan portfolio</w:t>
            </w:r>
          </w:p>
        </w:tc>
        <w:tc>
          <w:tcPr>
            <w:tcW w:w="1460" w:type="dxa"/>
            <w:vAlign w:val="bottom"/>
            <w:tcBorders>
              <w:right w:val="single" w:sz="8" w:color="auto"/>
            </w:tcBorders>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(622,982)</w:t>
            </w:r>
          </w:p>
        </w:tc>
        <w:tc>
          <w:tcPr>
            <w:tcW w:w="940" w:type="dxa"/>
            <w:vAlign w:val="bottom"/>
          </w:tcPr>
          <w:p>
            <w:pPr>
              <w:jc w:val="right"/>
              <w:spacing w:after="0"/>
              <w:rPr>
                <w:sz w:val="20"/>
                <w:szCs w:val="20"/>
                <w:color w:val="auto"/>
              </w:rPr>
            </w:pPr>
            <w:r>
              <w:rPr>
                <w:rFonts w:ascii="Arial" w:cs="Arial" w:eastAsia="Arial" w:hAnsi="Arial"/>
                <w:sz w:val="16"/>
                <w:szCs w:val="16"/>
                <w:color w:val="auto"/>
              </w:rPr>
              <w:t>(229,804)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(350,681)</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52.6%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Recoveries of written-off loans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65,335</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103,022</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93,091</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-9.6%</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18"/>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460" w:type="dxa"/>
            <w:vAlign w:val="bottom"/>
            <w:tcBorders>
              <w:right w:val="single" w:sz="8" w:color="auto"/>
            </w:tcBorders>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(557,647)</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(126,782)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(257,590)</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103.2%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-53.8%</w:t>
            </w:r>
          </w:p>
        </w:tc>
        <w:tc>
          <w:tcPr>
            <w:tcW w:w="0" w:type="dxa"/>
            <w:vAlign w:val="bottom"/>
          </w:tcPr>
          <w:p>
            <w:pPr>
              <w:spacing w:after="0"/>
              <w:rPr>
                <w:sz w:val="1"/>
                <w:szCs w:val="1"/>
                <w:color w:val="auto"/>
              </w:rPr>
            </w:pPr>
          </w:p>
        </w:tc>
      </w:tr>
      <w:tr>
        <w:trPr>
          <w:trHeight w:val="347"/>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Risk-adjusted net interest income</w:t>
            </w:r>
          </w:p>
        </w:tc>
        <w:tc>
          <w:tcPr>
            <w:tcW w:w="1460" w:type="dxa"/>
            <w:vAlign w:val="bottom"/>
            <w:tcBorders>
              <w:right w:val="single" w:sz="8" w:color="auto"/>
            </w:tcBorders>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1,565,736</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2,351,065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2,276,500</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-3.2%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45.4%</w:t>
            </w:r>
          </w:p>
        </w:tc>
        <w:tc>
          <w:tcPr>
            <w:tcW w:w="0" w:type="dxa"/>
            <w:vAlign w:val="bottom"/>
          </w:tcPr>
          <w:p>
            <w:pPr>
              <w:spacing w:after="0"/>
              <w:rPr>
                <w:sz w:val="1"/>
                <w:szCs w:val="1"/>
                <w:color w:val="auto"/>
              </w:rPr>
            </w:pPr>
          </w:p>
        </w:tc>
      </w:tr>
      <w:tr>
        <w:trPr>
          <w:trHeight w:val="291"/>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Non-financial income</w:t>
            </w:r>
          </w:p>
        </w:tc>
        <w:tc>
          <w:tcPr>
            <w:tcW w:w="14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Fee income</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830,771</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924,161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891,031</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-3.6%</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foreign exchange transactions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179,889</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269,354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262,196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-2.7%</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sales of securities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16,287</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2,550</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(56,866)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from associates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29,405</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13,224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24,014</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81.6%</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derivatives held for trading</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69,723</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27,049</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(138)</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-100.5%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-100.2%</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from exchange differences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(5,536)</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(8,923)</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(25,390)</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Other non-financial income</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73,991</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74,544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147,902</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98.4%</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18"/>
        </w:trPr>
        <w:tc>
          <w:tcPr>
            <w:tcW w:w="4760" w:type="dxa"/>
            <w:vAlign w:val="bottom"/>
            <w:tcBorders>
              <w:left w:val="single" w:sz="8" w:color="auto"/>
            </w:tcBorders>
          </w:tcPr>
          <w:p>
            <w:pPr>
              <w:ind w:left="140"/>
              <w:spacing w:after="0"/>
              <w:rPr>
                <w:sz w:val="20"/>
                <w:szCs w:val="20"/>
                <w:color w:val="auto"/>
              </w:rPr>
            </w:pPr>
            <w:r>
              <w:rPr>
                <w:rFonts w:ascii="Arial" w:cs="Arial" w:eastAsia="Arial" w:hAnsi="Arial"/>
                <w:sz w:val="16"/>
                <w:szCs w:val="16"/>
                <w:b w:val="1"/>
                <w:bCs w:val="1"/>
                <w:color w:val="auto"/>
              </w:rPr>
              <w:t>Total non-financial income</w:t>
            </w:r>
          </w:p>
        </w:tc>
        <w:tc>
          <w:tcPr>
            <w:tcW w:w="1460" w:type="dxa"/>
            <w:vAlign w:val="bottom"/>
            <w:tcBorders>
              <w:right w:val="single" w:sz="8" w:color="auto"/>
            </w:tcBorders>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1,194,530</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1,301,959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1,242,749</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-4.5%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4.0%</w:t>
            </w:r>
          </w:p>
        </w:tc>
        <w:tc>
          <w:tcPr>
            <w:tcW w:w="0" w:type="dxa"/>
            <w:vAlign w:val="bottom"/>
          </w:tcPr>
          <w:p>
            <w:pPr>
              <w:spacing w:after="0"/>
              <w:rPr>
                <w:sz w:val="1"/>
                <w:szCs w:val="1"/>
                <w:color w:val="auto"/>
              </w:rPr>
            </w:pPr>
          </w:p>
        </w:tc>
      </w:tr>
      <w:tr>
        <w:trPr>
          <w:trHeight w:val="291"/>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Insurance underwriting result</w:t>
            </w:r>
          </w:p>
        </w:tc>
        <w:tc>
          <w:tcPr>
            <w:tcW w:w="14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Net earned premiums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643,928</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712,087</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690,536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-3.0%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9"/>
        </w:trPr>
        <w:tc>
          <w:tcPr>
            <w:tcW w:w="4760" w:type="dxa"/>
            <w:vAlign w:val="bottom"/>
            <w:tcBorders>
              <w:left w:val="single" w:sz="8" w:color="auto"/>
            </w:tcBorders>
          </w:tcPr>
          <w:p>
            <w:pPr>
              <w:ind w:left="140"/>
              <w:spacing w:after="0" w:line="169" w:lineRule="exact"/>
              <w:rPr>
                <w:sz w:val="20"/>
                <w:szCs w:val="20"/>
                <w:color w:val="auto"/>
              </w:rPr>
            </w:pPr>
            <w:r>
              <w:rPr>
                <w:rFonts w:ascii="Arial" w:cs="Arial" w:eastAsia="Arial" w:hAnsi="Arial"/>
                <w:sz w:val="16"/>
                <w:szCs w:val="16"/>
                <w:color w:val="auto"/>
              </w:rPr>
              <w:t>Net claims</w:t>
            </w:r>
          </w:p>
        </w:tc>
        <w:tc>
          <w:tcPr>
            <w:tcW w:w="1460" w:type="dxa"/>
            <w:vAlign w:val="bottom"/>
            <w:tcBorders>
              <w:right w:val="single" w:sz="8" w:color="auto"/>
            </w:tcBorders>
          </w:tcPr>
          <w:p>
            <w:pPr>
              <w:spacing w:after="0"/>
              <w:rPr>
                <w:sz w:val="14"/>
                <w:szCs w:val="14"/>
                <w:color w:val="auto"/>
              </w:rPr>
            </w:pPr>
          </w:p>
        </w:tc>
        <w:tc>
          <w:tcPr>
            <w:tcW w:w="11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(623,353)</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(509,278)</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(478,506)</w:t>
            </w:r>
          </w:p>
        </w:tc>
        <w:tc>
          <w:tcPr>
            <w:tcW w:w="11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-6.0%</w:t>
            </w:r>
          </w:p>
        </w:tc>
        <w:tc>
          <w:tcPr>
            <w:tcW w:w="8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78"/>
        </w:trPr>
        <w:tc>
          <w:tcPr>
            <w:tcW w:w="4760" w:type="dxa"/>
            <w:vAlign w:val="bottom"/>
            <w:tcBorders>
              <w:lef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Acquisition cost </w:t>
            </w:r>
            <w:r>
              <w:rPr>
                <w:rFonts w:ascii="Arial" w:cs="Arial" w:eastAsia="Arial" w:hAnsi="Arial"/>
                <w:sz w:val="20"/>
                <w:szCs w:val="20"/>
                <w:color w:val="auto"/>
                <w:vertAlign w:val="superscript"/>
              </w:rPr>
              <w:t>(1)</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(85,822)</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(75,152)</w:t>
            </w:r>
          </w:p>
        </w:tc>
        <w:tc>
          <w:tcPr>
            <w:tcW w:w="9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(70,484)</w:t>
            </w:r>
          </w:p>
        </w:tc>
        <w:tc>
          <w:tcPr>
            <w:tcW w:w="1180" w:type="dxa"/>
            <w:vAlign w:val="bottom"/>
          </w:tcPr>
          <w:p>
            <w:pPr>
              <w:jc w:val="right"/>
              <w:ind w:right="101"/>
              <w:spacing w:after="0" w:line="178" w:lineRule="exact"/>
              <w:rPr>
                <w:sz w:val="20"/>
                <w:szCs w:val="20"/>
                <w:color w:val="auto"/>
              </w:rPr>
            </w:pPr>
            <w:r>
              <w:rPr>
                <w:rFonts w:ascii="Arial" w:cs="Arial" w:eastAsia="Arial" w:hAnsi="Arial"/>
                <w:sz w:val="16"/>
                <w:szCs w:val="16"/>
                <w:color w:val="auto"/>
              </w:rPr>
              <w:t>-6.2%</w:t>
            </w:r>
          </w:p>
        </w:tc>
        <w:tc>
          <w:tcPr>
            <w:tcW w:w="8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8"/>
        </w:trPr>
        <w:tc>
          <w:tcPr>
            <w:tcW w:w="4760" w:type="dxa"/>
            <w:vAlign w:val="bottom"/>
            <w:tcBorders>
              <w:left w:val="single" w:sz="8" w:color="auto"/>
            </w:tcBorders>
          </w:tcPr>
          <w:p>
            <w:pPr>
              <w:ind w:left="140"/>
              <w:spacing w:after="0"/>
              <w:rPr>
                <w:sz w:val="20"/>
                <w:szCs w:val="20"/>
                <w:color w:val="auto"/>
              </w:rPr>
            </w:pPr>
            <w:r>
              <w:rPr>
                <w:rFonts w:ascii="Arial" w:cs="Arial" w:eastAsia="Arial" w:hAnsi="Arial"/>
                <w:sz w:val="16"/>
                <w:szCs w:val="16"/>
                <w:b w:val="1"/>
                <w:bCs w:val="1"/>
                <w:color w:val="auto"/>
              </w:rPr>
              <w:t>Total insurance underwriting result</w:t>
            </w:r>
          </w:p>
        </w:tc>
        <w:tc>
          <w:tcPr>
            <w:tcW w:w="1460" w:type="dxa"/>
            <w:vAlign w:val="bottom"/>
            <w:tcBorders>
              <w:right w:val="single" w:sz="8" w:color="auto"/>
            </w:tcBorders>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(65,247)</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127,657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141,546</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10.9%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291"/>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146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Salaries and employee benefits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(857,559)</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(1,013,176)</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(977,953)</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-3.5%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Administrative, general and tax expenses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(580,842)</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(899,290)</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(725,539)</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-19.3%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Depreciation and amortization</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(166,765)</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(181,660)</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(164,514)</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-9.4%</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Impairment loss on goodwill</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Association in participation</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(13,906)</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(13,965)</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(7,691)</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-44.9%</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Other expenses</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(61,199)</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(113,483)</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(74,485)</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-34.4%</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8"/>
        </w:trPr>
        <w:tc>
          <w:tcPr>
            <w:tcW w:w="4760" w:type="dxa"/>
            <w:vAlign w:val="bottom"/>
            <w:tcBorders>
              <w:left w:val="single" w:sz="8" w:color="auto"/>
            </w:tcBorders>
          </w:tcPr>
          <w:p>
            <w:pPr>
              <w:ind w:left="140"/>
              <w:spacing w:after="0"/>
              <w:rPr>
                <w:sz w:val="20"/>
                <w:szCs w:val="20"/>
                <w:color w:val="auto"/>
              </w:rPr>
            </w:pPr>
            <w:r>
              <w:rPr>
                <w:rFonts w:ascii="Arial" w:cs="Arial" w:eastAsia="Arial" w:hAnsi="Arial"/>
                <w:sz w:val="16"/>
                <w:szCs w:val="16"/>
                <w:b w:val="1"/>
                <w:bCs w:val="1"/>
                <w:color w:val="auto"/>
              </w:rPr>
              <w:t>Total expenses</w:t>
            </w:r>
          </w:p>
        </w:tc>
        <w:tc>
          <w:tcPr>
            <w:tcW w:w="1460" w:type="dxa"/>
            <w:vAlign w:val="bottom"/>
            <w:tcBorders>
              <w:right w:val="single" w:sz="8" w:color="auto"/>
            </w:tcBorders>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(1,680,271)</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(2,221,574)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(1,950,182)</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-12.2%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16.1%</w:t>
            </w:r>
          </w:p>
        </w:tc>
        <w:tc>
          <w:tcPr>
            <w:tcW w:w="0" w:type="dxa"/>
            <w:vAlign w:val="bottom"/>
          </w:tcPr>
          <w:p>
            <w:pPr>
              <w:spacing w:after="0"/>
              <w:rPr>
                <w:sz w:val="1"/>
                <w:szCs w:val="1"/>
                <w:color w:val="auto"/>
              </w:rPr>
            </w:pPr>
          </w:p>
        </w:tc>
      </w:tr>
      <w:tr>
        <w:trPr>
          <w:trHeight w:val="336"/>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1460" w:type="dxa"/>
            <w:vAlign w:val="bottom"/>
            <w:tcBorders>
              <w:right w:val="single" w:sz="8" w:color="auto"/>
            </w:tcBorders>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1,014,748</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1,559,107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1,710,613</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9.7%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68.6%</w:t>
            </w:r>
          </w:p>
        </w:tc>
        <w:tc>
          <w:tcPr>
            <w:tcW w:w="0" w:type="dxa"/>
            <w:vAlign w:val="bottom"/>
          </w:tcPr>
          <w:p>
            <w:pPr>
              <w:spacing w:after="0"/>
              <w:rPr>
                <w:sz w:val="1"/>
                <w:szCs w:val="1"/>
                <w:color w:val="auto"/>
              </w:rPr>
            </w:pPr>
          </w:p>
        </w:tc>
      </w:tr>
      <w:tr>
        <w:trPr>
          <w:trHeight w:val="328"/>
        </w:trPr>
        <w:tc>
          <w:tcPr>
            <w:tcW w:w="4760" w:type="dxa"/>
            <w:vAlign w:val="bottom"/>
            <w:tcBorders>
              <w:left w:val="single" w:sz="8" w:color="auto"/>
            </w:tcBorders>
          </w:tcPr>
          <w:p>
            <w:pPr>
              <w:ind w:left="140"/>
              <w:spacing w:after="0"/>
              <w:rPr>
                <w:sz w:val="20"/>
                <w:szCs w:val="20"/>
                <w:color w:val="auto"/>
              </w:rPr>
            </w:pPr>
            <w:r>
              <w:rPr>
                <w:rFonts w:ascii="Arial" w:cs="Arial" w:eastAsia="Arial" w:hAnsi="Arial"/>
                <w:sz w:val="16"/>
                <w:szCs w:val="16"/>
                <w:color w:val="auto"/>
              </w:rPr>
              <w:t>Income tax</w:t>
            </w:r>
          </w:p>
        </w:tc>
        <w:tc>
          <w:tcPr>
            <w:tcW w:w="1460" w:type="dxa"/>
            <w:vAlign w:val="bottom"/>
            <w:tcBorders>
              <w:right w:val="single" w:sz="8" w:color="auto"/>
            </w:tcBorders>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(337,599)</w:t>
            </w:r>
          </w:p>
        </w:tc>
        <w:tc>
          <w:tcPr>
            <w:tcW w:w="940" w:type="dxa"/>
            <w:vAlign w:val="bottom"/>
          </w:tcPr>
          <w:p>
            <w:pPr>
              <w:jc w:val="right"/>
              <w:spacing w:after="0"/>
              <w:rPr>
                <w:sz w:val="20"/>
                <w:szCs w:val="20"/>
                <w:color w:val="auto"/>
              </w:rPr>
            </w:pPr>
            <w:r>
              <w:rPr>
                <w:rFonts w:ascii="Arial" w:cs="Arial" w:eastAsia="Arial" w:hAnsi="Arial"/>
                <w:sz w:val="16"/>
                <w:szCs w:val="16"/>
                <w:color w:val="auto"/>
              </w:rPr>
              <w:t>(471,860)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(546,001)</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15.7%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99"/>
        </w:trPr>
        <w:tc>
          <w:tcPr>
            <w:tcW w:w="47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Net profit</w:t>
            </w:r>
          </w:p>
        </w:tc>
        <w:tc>
          <w:tcPr>
            <w:tcW w:w="1460" w:type="dxa"/>
            <w:vAlign w:val="bottom"/>
            <w:tcBorders>
              <w:right w:val="single" w:sz="8" w:color="auto"/>
            </w:tcBorders>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677,149</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1,087,247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1,164,612</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7.1%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72.0%</w:t>
            </w:r>
          </w:p>
        </w:tc>
        <w:tc>
          <w:tcPr>
            <w:tcW w:w="0" w:type="dxa"/>
            <w:vAlign w:val="bottom"/>
          </w:tcPr>
          <w:p>
            <w:pPr>
              <w:spacing w:after="0"/>
              <w:rPr>
                <w:sz w:val="1"/>
                <w:szCs w:val="1"/>
                <w:color w:val="auto"/>
              </w:rPr>
            </w:pPr>
          </w:p>
        </w:tc>
      </w:tr>
      <w:tr>
        <w:trPr>
          <w:trHeight w:val="173"/>
        </w:trPr>
        <w:tc>
          <w:tcPr>
            <w:tcW w:w="476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Non-controlling interest</w:t>
            </w:r>
          </w:p>
        </w:tc>
        <w:tc>
          <w:tcPr>
            <w:tcW w:w="1460" w:type="dxa"/>
            <w:vAlign w:val="bottom"/>
            <w:tcBorders>
              <w:right w:val="single" w:sz="8" w:color="auto"/>
            </w:tcBorders>
          </w:tcPr>
          <w:p>
            <w:pPr>
              <w:spacing w:after="0"/>
              <w:rPr>
                <w:sz w:val="15"/>
                <w:szCs w:val="15"/>
                <w:color w:val="auto"/>
              </w:rPr>
            </w:pPr>
          </w:p>
        </w:tc>
        <w:tc>
          <w:tcPr>
            <w:tcW w:w="11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16,351</w:t>
            </w:r>
          </w:p>
        </w:tc>
        <w:tc>
          <w:tcPr>
            <w:tcW w:w="940" w:type="dxa"/>
            <w:vAlign w:val="bottom"/>
          </w:tcPr>
          <w:p>
            <w:pPr>
              <w:jc w:val="right"/>
              <w:spacing w:after="0" w:line="174" w:lineRule="exact"/>
              <w:rPr>
                <w:sz w:val="20"/>
                <w:szCs w:val="20"/>
                <w:color w:val="auto"/>
              </w:rPr>
            </w:pPr>
            <w:r>
              <w:rPr>
                <w:rFonts w:ascii="Arial" w:cs="Arial" w:eastAsia="Arial" w:hAnsi="Arial"/>
                <w:sz w:val="16"/>
                <w:szCs w:val="16"/>
                <w:color w:val="auto"/>
              </w:rPr>
              <w:t>26,631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27,786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4.3%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194"/>
        </w:trPr>
        <w:tc>
          <w:tcPr>
            <w:tcW w:w="47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profit attributable to Credicorp</w:t>
            </w:r>
          </w:p>
        </w:tc>
        <w:tc>
          <w:tcPr>
            <w:tcW w:w="146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660,798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1,060,616</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1,136,826</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72.0%</w:t>
            </w: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9"/>
          <w:szCs w:val="9"/>
          <w:color w:val="auto"/>
        </w:rPr>
        <w:t>(1) The acquisition cost of Pacifico includes net fees and underwriting expenses.</w:t>
      </w: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55" w:name="page56"/>
    <w:bookmarkEnd w:id="55"/>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12.5.2. Credicorp Stand-alone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Credicorp Ltd.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Separate Statement of Financal Position</w:t>
      </w:r>
    </w:p>
    <w:p>
      <w:pPr>
        <w:jc w:val="center"/>
        <w:spacing w:after="0"/>
        <w:rPr>
          <w:sz w:val="20"/>
          <w:szCs w:val="20"/>
          <w:color w:val="auto"/>
        </w:rPr>
      </w:pPr>
      <w:r>
        <w:rPr>
          <w:rFonts w:ascii="Times New Roman" w:cs="Times New Roman" w:eastAsia="Times New Roman" w:hAnsi="Times New Roman"/>
          <w:sz w:val="16"/>
          <w:szCs w:val="16"/>
          <w:b w:val="1"/>
          <w:bCs w:val="1"/>
          <w:color w:val="auto"/>
        </w:rPr>
        <w:t>(S/ thousands, IFRS)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220" w:type="dxa"/>
            <w:vAlign w:val="bottom"/>
            <w:tcBorders>
              <w:right w:val="single" w:sz="8" w:color="auto"/>
            </w:tcBorders>
          </w:tcPr>
          <w:p>
            <w:pPr>
              <w:spacing w:after="0"/>
              <w:rPr>
                <w:sz w:val="15"/>
                <w:szCs w:val="15"/>
                <w:color w:val="auto"/>
              </w:rPr>
            </w:pPr>
          </w:p>
        </w:tc>
        <w:tc>
          <w:tcPr>
            <w:tcW w:w="1120" w:type="dxa"/>
            <w:vAlign w:val="bottom"/>
            <w:tcBorders>
              <w:top w:val="single" w:sz="8" w:color="auto"/>
            </w:tcBorders>
            <w:vMerge w:val="restart"/>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Mar 21</w:t>
            </w:r>
          </w:p>
        </w:tc>
        <w:tc>
          <w:tcPr>
            <w:tcW w:w="1040" w:type="dxa"/>
            <w:vAlign w:val="bottom"/>
            <w:tcBorders>
              <w:top w:val="single" w:sz="8" w:color="auto"/>
            </w:tcBorders>
            <w:shd w:val="clear" w:color="auto" w:fill="2AD2C9"/>
          </w:tcPr>
          <w:p>
            <w:pPr>
              <w:jc w:val="center"/>
              <w:ind w:right="121"/>
              <w:spacing w:after="0" w:line="176" w:lineRule="exact"/>
              <w:rPr>
                <w:sz w:val="20"/>
                <w:szCs w:val="20"/>
                <w:color w:val="auto"/>
              </w:rPr>
            </w:pPr>
            <w:r>
              <w:rPr>
                <w:rFonts w:ascii="Arial" w:cs="Arial" w:eastAsia="Arial" w:hAnsi="Arial"/>
                <w:sz w:val="16"/>
                <w:szCs w:val="16"/>
                <w:b w:val="1"/>
                <w:bCs w:val="1"/>
                <w:color w:val="FFFFFF"/>
                <w:w w:val="99"/>
              </w:rPr>
              <w:t>As of</w:t>
            </w:r>
          </w:p>
        </w:tc>
        <w:tc>
          <w:tcPr>
            <w:tcW w:w="940" w:type="dxa"/>
            <w:vAlign w:val="bottom"/>
            <w:tcBorders>
              <w:top w:val="single" w:sz="8" w:color="auto"/>
              <w:right w:val="single" w:sz="8" w:color="auto"/>
            </w:tcBorders>
            <w:vMerge w:val="restart"/>
            <w:shd w:val="clear" w:color="auto" w:fill="2AD2C9"/>
          </w:tcPr>
          <w:p>
            <w:pPr>
              <w:jc w:val="right"/>
              <w:ind w:right="201"/>
              <w:spacing w:after="0"/>
              <w:rPr>
                <w:sz w:val="20"/>
                <w:szCs w:val="20"/>
                <w:color w:val="auto"/>
              </w:rPr>
            </w:pPr>
            <w:r>
              <w:rPr>
                <w:rFonts w:ascii="Arial" w:cs="Arial" w:eastAsia="Arial" w:hAnsi="Arial"/>
                <w:sz w:val="16"/>
                <w:szCs w:val="16"/>
                <w:b w:val="1"/>
                <w:bCs w:val="1"/>
                <w:color w:val="FFFFFF"/>
              </w:rPr>
              <w:t>Mar 22</w:t>
            </w:r>
          </w:p>
        </w:tc>
        <w:tc>
          <w:tcPr>
            <w:tcW w:w="1960" w:type="dxa"/>
            <w:vAlign w:val="bottom"/>
            <w:tcBorders>
              <w:top w:val="single" w:sz="8" w:color="auto"/>
              <w:right w:val="single" w:sz="8" w:color="auto"/>
            </w:tcBorders>
            <w:gridSpan w:val="2"/>
            <w:shd w:val="clear" w:color="auto" w:fill="2AD2C9"/>
          </w:tcPr>
          <w:p>
            <w:pPr>
              <w:jc w:val="right"/>
              <w:ind w:right="54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2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vMerge w:val="continue"/>
            <w:shd w:val="clear" w:color="auto" w:fill="2AD2C9"/>
          </w:tcPr>
          <w:p>
            <w:pPr>
              <w:spacing w:after="0"/>
              <w:rPr>
                <w:sz w:val="16"/>
                <w:szCs w:val="16"/>
                <w:color w:val="auto"/>
              </w:rPr>
            </w:pPr>
          </w:p>
        </w:tc>
        <w:tc>
          <w:tcPr>
            <w:tcW w:w="1040" w:type="dxa"/>
            <w:vAlign w:val="bottom"/>
            <w:tcBorders>
              <w:bottom w:val="single" w:sz="8" w:color="auto"/>
            </w:tcBorders>
            <w:shd w:val="clear" w:color="auto" w:fill="2AD2C9"/>
          </w:tcPr>
          <w:p>
            <w:pPr>
              <w:jc w:val="center"/>
              <w:ind w:right="161"/>
              <w:spacing w:after="0"/>
              <w:rPr>
                <w:sz w:val="20"/>
                <w:szCs w:val="20"/>
                <w:color w:val="auto"/>
              </w:rPr>
            </w:pPr>
            <w:r>
              <w:rPr>
                <w:rFonts w:ascii="Arial" w:cs="Arial" w:eastAsia="Arial" w:hAnsi="Arial"/>
                <w:sz w:val="16"/>
                <w:szCs w:val="16"/>
                <w:b w:val="1"/>
                <w:bCs w:val="1"/>
                <w:color w:val="FFFFFF"/>
              </w:rPr>
              <w:t>Dec 21</w:t>
            </w:r>
          </w:p>
        </w:tc>
        <w:tc>
          <w:tcPr>
            <w:tcW w:w="94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right"/>
              <w:ind w:right="401"/>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right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22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1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Cash and cash equivalents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800,622</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179,104</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168,634</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-5.8%</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At fair value through profit or loss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583,176</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1,050,218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947,826</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-9.7%</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Fair value through other comprehensive income investments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490,778</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346,979</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343,373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 subsidiaries and associates investments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28,688,953</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31,168,827</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31,647,183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Loans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10"/>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137,049</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322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-67.1%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55"/>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Assets</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30,700,578</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32,745,450</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33,107,122</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347"/>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NET SHAREHOLDERS' EQUITY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Dividend Payable</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Bonds and notes issued</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1,875,925</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1,980,311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1,850,185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-6.6%</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liabilities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133,300</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159,403</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195,286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22.5%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355"/>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Total Liabilities</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2,009,225</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2,139,714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2,045,471</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-4.4%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302"/>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Capital stock</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1,318,993</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1,318,993</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1,318,993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Capital Surplus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384,542</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384,542</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384,542</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Reserve</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21,417,403</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20,945,491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20,945,491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Unrealized results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652,340</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62,163</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(638,233)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n.a.</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4,918,075</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7,894,547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9,050,858</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14.6%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355"/>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Total net equity</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28,691,353</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30,605,736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31,061,651</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8.3%</w:t>
            </w:r>
          </w:p>
        </w:tc>
        <w:tc>
          <w:tcPr>
            <w:tcW w:w="0" w:type="dxa"/>
            <w:vAlign w:val="bottom"/>
          </w:tcPr>
          <w:p>
            <w:pPr>
              <w:spacing w:after="0"/>
              <w:rPr>
                <w:sz w:val="1"/>
                <w:szCs w:val="1"/>
                <w:color w:val="auto"/>
              </w:rPr>
            </w:pPr>
          </w:p>
        </w:tc>
      </w:tr>
      <w:tr>
        <w:trPr>
          <w:trHeight w:val="323"/>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30,700,578</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32,745,450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33,107,122</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164"/>
        </w:trPr>
        <w:tc>
          <w:tcPr>
            <w:tcW w:w="62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220" w:type="dxa"/>
            <w:vAlign w:val="bottom"/>
            <w:tcBorders>
              <w:right w:val="single" w:sz="8" w:color="auto"/>
            </w:tcBorders>
          </w:tcPr>
          <w:p>
            <w:pPr>
              <w:spacing w:after="0"/>
              <w:rPr>
                <w:sz w:val="13"/>
                <w:szCs w:val="13"/>
                <w:color w:val="auto"/>
              </w:rPr>
            </w:pPr>
          </w:p>
        </w:tc>
        <w:tc>
          <w:tcPr>
            <w:tcW w:w="1120" w:type="dxa"/>
            <w:vAlign w:val="bottom"/>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40" w:type="dxa"/>
            <w:vAlign w:val="bottom"/>
            <w:shd w:val="clear" w:color="auto" w:fill="2AD2C9"/>
          </w:tcPr>
          <w:p>
            <w:pPr>
              <w:jc w:val="center"/>
              <w:ind w:right="121"/>
              <w:spacing w:after="0" w:line="155" w:lineRule="exact"/>
              <w:rPr>
                <w:sz w:val="20"/>
                <w:szCs w:val="20"/>
                <w:color w:val="auto"/>
              </w:rPr>
            </w:pPr>
            <w:r>
              <w:rPr>
                <w:rFonts w:ascii="Arial" w:cs="Arial" w:eastAsia="Arial" w:hAnsi="Arial"/>
                <w:sz w:val="16"/>
                <w:szCs w:val="16"/>
                <w:b w:val="1"/>
                <w:bCs w:val="1"/>
                <w:color w:val="FFFFFF"/>
                <w:w w:val="96"/>
              </w:rPr>
              <w:t>Quarter</w:t>
            </w:r>
          </w:p>
        </w:tc>
        <w:tc>
          <w:tcPr>
            <w:tcW w:w="940" w:type="dxa"/>
            <w:vAlign w:val="bottom"/>
            <w:tcBorders>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1960" w:type="dxa"/>
            <w:vAlign w:val="bottom"/>
            <w:tcBorders>
              <w:right w:val="single" w:sz="8" w:color="auto"/>
            </w:tcBorders>
            <w:gridSpan w:val="2"/>
            <w:shd w:val="clear" w:color="auto" w:fill="2AD2C9"/>
          </w:tcPr>
          <w:p>
            <w:pPr>
              <w:jc w:val="right"/>
              <w:ind w:right="54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22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tcBorders>
            <w:vMerge w:val="continue"/>
            <w:shd w:val="clear" w:color="auto" w:fill="2AD2C9"/>
          </w:tcPr>
          <w:p>
            <w:pPr>
              <w:spacing w:after="0"/>
              <w:rPr>
                <w:sz w:val="16"/>
                <w:szCs w:val="16"/>
                <w:color w:val="auto"/>
              </w:rPr>
            </w:pPr>
          </w:p>
        </w:tc>
        <w:tc>
          <w:tcPr>
            <w:tcW w:w="1040" w:type="dxa"/>
            <w:vAlign w:val="bottom"/>
            <w:tcBorders>
              <w:bottom w:val="single" w:sz="8" w:color="auto"/>
            </w:tcBorders>
            <w:shd w:val="clear" w:color="auto" w:fill="2AD2C9"/>
          </w:tcPr>
          <w:p>
            <w:pPr>
              <w:jc w:val="center"/>
              <w:ind w:right="141"/>
              <w:spacing w:after="0"/>
              <w:rPr>
                <w:sz w:val="20"/>
                <w:szCs w:val="20"/>
                <w:color w:val="auto"/>
              </w:rPr>
            </w:pPr>
            <w:r>
              <w:rPr>
                <w:rFonts w:ascii="Arial" w:cs="Arial" w:eastAsia="Arial" w:hAnsi="Arial"/>
                <w:sz w:val="16"/>
                <w:szCs w:val="16"/>
                <w:b w:val="1"/>
                <w:bCs w:val="1"/>
                <w:color w:val="FFFFFF"/>
                <w:w w:val="96"/>
              </w:rPr>
              <w:t>4Q21</w:t>
            </w:r>
          </w:p>
        </w:tc>
        <w:tc>
          <w:tcPr>
            <w:tcW w:w="94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right"/>
              <w:ind w:right="401"/>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right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Interest income</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share of the income from investments in subsidiaries and associates</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676,484</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1,092,707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676,484</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-38.1%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Interest and similar income</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3,038</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308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3,038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886.4%</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Net gain on financial assets at fair value through profit or loss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-4,494</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(2,258)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-100.0%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income</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675,028</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1,090,757</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(4,494)</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-100.4%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302"/>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Interest and similar expense</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(13,363)</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(15,018)</w:t>
            </w:r>
          </w:p>
        </w:tc>
        <w:tc>
          <w:tcPr>
            <w:tcW w:w="940" w:type="dxa"/>
            <w:vAlign w:val="bottom"/>
            <w:tcBorders>
              <w:right w:val="single" w:sz="8" w:color="auto"/>
            </w:tcBorders>
          </w:tcPr>
          <w:p>
            <w:pPr>
              <w:spacing w:after="0"/>
              <w:rPr>
                <w:sz w:val="24"/>
                <w:szCs w:val="24"/>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-100.0%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Administrative and general expenses</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(4,761)</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(7,601)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(13,363)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75.8%</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(18,124)</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(22,619)</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(4,761)</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-79.0%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347"/>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656,904</w:t>
            </w: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1,068,138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656,904</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-38.5%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0.0%</w:t>
            </w:r>
          </w:p>
        </w:tc>
        <w:tc>
          <w:tcPr>
            <w:tcW w:w="0" w:type="dxa"/>
            <w:vAlign w:val="bottom"/>
          </w:tcPr>
          <w:p>
            <w:pPr>
              <w:spacing w:after="0"/>
              <w:rPr>
                <w:sz w:val="1"/>
                <w:szCs w:val="1"/>
                <w:color w:val="auto"/>
              </w:rPr>
            </w:pPr>
          </w:p>
        </w:tc>
      </w:tr>
      <w:tr>
        <w:trPr>
          <w:trHeight w:val="302"/>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Exchange differences, net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(1,268)</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793.0%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Other, net</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-37.5%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Profit before income tax</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655,631</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1,067,988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655,631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-38.6%</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Income tax</w:t>
            </w:r>
          </w:p>
        </w:tc>
        <w:tc>
          <w:tcPr>
            <w:tcW w:w="112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(19,229)</w:t>
            </w:r>
          </w:p>
        </w:tc>
        <w:tc>
          <w:tcPr>
            <w:tcW w:w="10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(19,228)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(19,229)</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0.0%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636,402</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1,048,760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636,402</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-39.3%</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0.0%</w:t>
            </w:r>
          </w:p>
        </w:tc>
        <w:tc>
          <w:tcPr>
            <w:tcW w:w="0" w:type="dxa"/>
            <w:vAlign w:val="bottom"/>
          </w:tcPr>
          <w:p>
            <w:pPr>
              <w:spacing w:after="0"/>
              <w:rPr>
                <w:sz w:val="1"/>
                <w:szCs w:val="1"/>
                <w:color w:val="auto"/>
              </w:rPr>
            </w:pPr>
          </w:p>
        </w:tc>
      </w:tr>
      <w:tr>
        <w:trPr>
          <w:trHeight w:val="175"/>
        </w:trPr>
        <w:tc>
          <w:tcPr>
            <w:tcW w:w="6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Double Leverage Ratio</w:t>
            </w:r>
          </w:p>
        </w:tc>
        <w:tc>
          <w:tcPr>
            <w:tcW w:w="1120" w:type="dxa"/>
            <w:vAlign w:val="bottom"/>
            <w:tcBorders>
              <w:bottom w:val="single" w:sz="8" w:color="auto"/>
            </w:tcBorders>
          </w:tcPr>
          <w:p>
            <w:pPr>
              <w:jc w:val="right"/>
              <w:ind w:right="21"/>
              <w:spacing w:after="0" w:line="174" w:lineRule="exact"/>
              <w:rPr>
                <w:sz w:val="20"/>
                <w:szCs w:val="20"/>
                <w:color w:val="auto"/>
              </w:rPr>
            </w:pPr>
            <w:r>
              <w:rPr>
                <w:rFonts w:ascii="Arial" w:cs="Arial" w:eastAsia="Arial" w:hAnsi="Arial"/>
                <w:sz w:val="16"/>
                <w:szCs w:val="16"/>
                <w:b w:val="1"/>
                <w:bCs w:val="1"/>
                <w:color w:val="auto"/>
              </w:rPr>
              <w:t>99.99%</w:t>
            </w:r>
          </w:p>
        </w:tc>
        <w:tc>
          <w:tcPr>
            <w:tcW w:w="1040" w:type="dxa"/>
            <w:vAlign w:val="bottom"/>
            <w:tcBorders>
              <w:bottom w:val="single" w:sz="8" w:color="auto"/>
            </w:tcBorders>
          </w:tcPr>
          <w:p>
            <w:pPr>
              <w:jc w:val="right"/>
              <w:ind w:right="41"/>
              <w:spacing w:after="0" w:line="174" w:lineRule="exact"/>
              <w:rPr>
                <w:sz w:val="20"/>
                <w:szCs w:val="20"/>
                <w:color w:val="auto"/>
              </w:rPr>
            </w:pPr>
            <w:r>
              <w:rPr>
                <w:rFonts w:ascii="Arial" w:cs="Arial" w:eastAsia="Arial" w:hAnsi="Arial"/>
                <w:sz w:val="16"/>
                <w:szCs w:val="16"/>
                <w:b w:val="1"/>
                <w:bCs w:val="1"/>
                <w:color w:val="auto"/>
              </w:rPr>
              <w:t>101.84%</w:t>
            </w:r>
          </w:p>
        </w:tc>
        <w:tc>
          <w:tcPr>
            <w:tcW w:w="9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101.89%</w:t>
            </w:r>
          </w:p>
        </w:tc>
        <w:tc>
          <w:tcPr>
            <w:tcW w:w="11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5pbs</w:t>
            </w:r>
          </w:p>
        </w:tc>
        <w:tc>
          <w:tcPr>
            <w:tcW w:w="80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189pbs</w:t>
            </w:r>
          </w:p>
        </w:tc>
        <w:tc>
          <w:tcPr>
            <w:tcW w:w="0" w:type="dxa"/>
            <w:vAlign w:val="bottom"/>
          </w:tcPr>
          <w:p>
            <w:pPr>
              <w:spacing w:after="0"/>
              <w:rPr>
                <w:sz w:val="1"/>
                <w:szCs w:val="1"/>
                <w:color w:val="auto"/>
              </w:rPr>
            </w:pPr>
          </w:p>
        </w:tc>
      </w:tr>
      <w:tr>
        <w:trPr>
          <w:trHeight w:val="456"/>
        </w:trPr>
        <w:tc>
          <w:tcPr>
            <w:tcW w:w="6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33"/>
        </w:trPr>
        <w:tc>
          <w:tcPr>
            <w:tcW w:w="6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07" w:right="31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12.5.3. BCP Consolidated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BANCO DE CREDITO DEL PERU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p>
      <w:pPr>
        <w:jc w:val="center"/>
        <w:spacing w:after="0"/>
        <w:rPr>
          <w:sz w:val="20"/>
          <w:szCs w:val="20"/>
          <w:color w:val="auto"/>
        </w:rPr>
      </w:pPr>
      <w:r>
        <w:rPr>
          <w:rFonts w:ascii="Times New Roman" w:cs="Times New Roman" w:eastAsia="Times New Roman" w:hAnsi="Times New Roman"/>
          <w:sz w:val="16"/>
          <w:szCs w:val="16"/>
          <w:b w:val="1"/>
          <w:bCs w:val="1"/>
          <w:color w:val="auto"/>
        </w:rPr>
        <w:t>(In S/ thousands, IFRS)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200" w:type="dxa"/>
            <w:vAlign w:val="bottom"/>
            <w:tcBorders>
              <w:right w:val="single" w:sz="8" w:color="auto"/>
            </w:tcBorders>
          </w:tcPr>
          <w:p>
            <w:pPr>
              <w:spacing w:after="0"/>
              <w:rPr>
                <w:sz w:val="15"/>
                <w:szCs w:val="15"/>
                <w:color w:val="auto"/>
              </w:rPr>
            </w:pPr>
          </w:p>
        </w:tc>
        <w:tc>
          <w:tcPr>
            <w:tcW w:w="1080" w:type="dxa"/>
            <w:vAlign w:val="bottom"/>
            <w:tcBorders>
              <w:top w:val="single" w:sz="8" w:color="auto"/>
            </w:tcBorders>
            <w:vMerge w:val="restart"/>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Mar 21</w:t>
            </w:r>
          </w:p>
        </w:tc>
        <w:tc>
          <w:tcPr>
            <w:tcW w:w="1040" w:type="dxa"/>
            <w:vAlign w:val="bottom"/>
            <w:tcBorders>
              <w:top w:val="single" w:sz="8" w:color="auto"/>
            </w:tcBorders>
            <w:shd w:val="clear" w:color="auto" w:fill="2AD2C9"/>
          </w:tcPr>
          <w:p>
            <w:pPr>
              <w:jc w:val="right"/>
              <w:ind w:right="321"/>
              <w:spacing w:after="0" w:line="176" w:lineRule="exact"/>
              <w:rPr>
                <w:sz w:val="20"/>
                <w:szCs w:val="20"/>
                <w:color w:val="auto"/>
              </w:rPr>
            </w:pPr>
            <w:r>
              <w:rPr>
                <w:rFonts w:ascii="Arial" w:cs="Arial" w:eastAsia="Arial" w:hAnsi="Arial"/>
                <w:sz w:val="16"/>
                <w:szCs w:val="16"/>
                <w:b w:val="1"/>
                <w:bCs w:val="1"/>
                <w:color w:val="FFFFFF"/>
              </w:rPr>
              <w:t>As of</w:t>
            </w:r>
          </w:p>
        </w:tc>
        <w:tc>
          <w:tcPr>
            <w:tcW w:w="960" w:type="dxa"/>
            <w:vAlign w:val="bottom"/>
            <w:tcBorders>
              <w:top w:val="single" w:sz="8" w:color="auto"/>
              <w:right w:val="single" w:sz="8" w:color="auto"/>
            </w:tcBorders>
            <w:vMerge w:val="restart"/>
            <w:shd w:val="clear" w:color="auto" w:fill="2AD2C9"/>
          </w:tcPr>
          <w:p>
            <w:pPr>
              <w:jc w:val="right"/>
              <w:ind w:right="201"/>
              <w:spacing w:after="0"/>
              <w:rPr>
                <w:sz w:val="20"/>
                <w:szCs w:val="20"/>
                <w:color w:val="auto"/>
              </w:rPr>
            </w:pPr>
            <w:r>
              <w:rPr>
                <w:rFonts w:ascii="Arial" w:cs="Arial" w:eastAsia="Arial" w:hAnsi="Arial"/>
                <w:sz w:val="16"/>
                <w:szCs w:val="16"/>
                <w:b w:val="1"/>
                <w:bCs w:val="1"/>
                <w:color w:val="FFFFFF"/>
              </w:rPr>
              <w:t>Mar 22</w:t>
            </w:r>
          </w:p>
        </w:tc>
        <w:tc>
          <w:tcPr>
            <w:tcW w:w="2000" w:type="dxa"/>
            <w:vAlign w:val="bottom"/>
            <w:tcBorders>
              <w:top w:val="single" w:sz="8" w:color="auto"/>
              <w:right w:val="single" w:sz="8" w:color="auto"/>
            </w:tcBorders>
            <w:gridSpan w:val="2"/>
            <w:shd w:val="clear" w:color="auto" w:fill="2AD2C9"/>
          </w:tcPr>
          <w:p>
            <w:pPr>
              <w:jc w:val="right"/>
              <w:ind w:right="56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vMerge w:val="continue"/>
            <w:shd w:val="clear" w:color="auto" w:fill="2AD2C9"/>
          </w:tcPr>
          <w:p>
            <w:pPr>
              <w:spacing w:after="0"/>
              <w:rPr>
                <w:sz w:val="16"/>
                <w:szCs w:val="16"/>
                <w:color w:val="auto"/>
              </w:rPr>
            </w:pPr>
          </w:p>
        </w:tc>
        <w:tc>
          <w:tcPr>
            <w:tcW w:w="1040" w:type="dxa"/>
            <w:vAlign w:val="bottom"/>
            <w:tcBorders>
              <w:bottom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Dec 21</w:t>
            </w:r>
          </w:p>
        </w:tc>
        <w:tc>
          <w:tcPr>
            <w:tcW w:w="96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2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Cash and due from banks</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Non-interest bearing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5,227,840</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4,895,726</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4,959,579</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Interest bearing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30,566,460</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30,481,516</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28,253,501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8"/>
        </w:trPr>
        <w:tc>
          <w:tcPr>
            <w:tcW w:w="62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35,794,300</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35,377,242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33,213,080</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-6.1%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-7.2%</w:t>
            </w:r>
          </w:p>
        </w:tc>
        <w:tc>
          <w:tcPr>
            <w:tcW w:w="0" w:type="dxa"/>
            <w:vAlign w:val="bottom"/>
          </w:tcPr>
          <w:p>
            <w:pPr>
              <w:spacing w:after="0"/>
              <w:rPr>
                <w:sz w:val="1"/>
                <w:szCs w:val="1"/>
                <w:color w:val="auto"/>
              </w:rPr>
            </w:pPr>
          </w:p>
        </w:tc>
      </w:tr>
      <w:tr>
        <w:trPr>
          <w:trHeight w:val="336"/>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collateral, reverse repurchase agreements and securities borrowing</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772,790</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344,460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202,127</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-41.3%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-73.8%</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3,549,042</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1,261,896</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729,168</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-42.2%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-79.5%</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Fair value through other comprehensive income investments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31,556,758</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19,367,305</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20,234,741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4.5%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-35.9%</w:t>
            </w:r>
          </w:p>
        </w:tc>
        <w:tc>
          <w:tcPr>
            <w:tcW w:w="0" w:type="dxa"/>
            <w:vAlign w:val="bottom"/>
          </w:tcPr>
          <w:p>
            <w:pPr>
              <w:spacing w:after="0"/>
              <w:rPr>
                <w:sz w:val="1"/>
                <w:szCs w:val="1"/>
                <w:color w:val="auto"/>
              </w:rPr>
            </w:pPr>
          </w:p>
        </w:tc>
      </w:tr>
      <w:tr>
        <w:trPr>
          <w:trHeight w:val="218"/>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Amortized cost investments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5,466,463</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7,677,804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7,538,562</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37.9%</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Loans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124,970,804</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134,734,202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132,578,949</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Current</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120,335,694</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129,311,792</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126,930,472</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-1.8%</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Internal overdue loans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4,635,110</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5,422,410</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5,648,477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4.2%</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Less - allowance for loan losses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(9,090,737)</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(7,937,985)</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(7,769,920)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-2.1%</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8"/>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Loans, net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115,880,067</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126,796,217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124,809,029</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line="291" w:lineRule="exact"/>
              <w:rPr>
                <w:sz w:val="20"/>
                <w:szCs w:val="20"/>
                <w:color w:val="auto"/>
              </w:rPr>
            </w:pPr>
            <w:r>
              <w:rPr>
                <w:rFonts w:ascii="Arial" w:cs="Arial" w:eastAsia="Arial" w:hAnsi="Arial"/>
                <w:sz w:val="16"/>
                <w:szCs w:val="16"/>
                <w:b w:val="1"/>
                <w:bCs w:val="1"/>
                <w:color w:val="auto"/>
              </w:rPr>
              <w:t xml:space="preserve">Property, furniture and equipment, net </w:t>
            </w:r>
            <w:r>
              <w:rPr>
                <w:rFonts w:ascii="Arial" w:cs="Arial" w:eastAsia="Arial" w:hAnsi="Arial"/>
                <w:sz w:val="26"/>
                <w:szCs w:val="26"/>
                <w:b w:val="1"/>
                <w:bCs w:val="1"/>
                <w:color w:val="auto"/>
                <w:vertAlign w:val="superscript"/>
              </w:rPr>
              <w:t>(1)</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1,729,286</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1,628,645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1,593,758</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Due from customers on acceptances</w:t>
            </w:r>
          </w:p>
        </w:tc>
        <w:tc>
          <w:tcPr>
            <w:tcW w:w="108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rPr>
              <w:t>532,584</w:t>
            </w:r>
          </w:p>
        </w:tc>
        <w:tc>
          <w:tcPr>
            <w:tcW w:w="104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rPr>
              <w:t>532,404</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524,448</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-1.5%</w:t>
            </w:r>
          </w:p>
        </w:tc>
        <w:tc>
          <w:tcPr>
            <w:tcW w:w="8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340"/>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6"/>
                <w:szCs w:val="26"/>
                <w:b w:val="1"/>
                <w:bCs w:val="1"/>
                <w:color w:val="auto"/>
                <w:vertAlign w:val="superscript"/>
              </w:rPr>
              <w:t>(2)</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6,455,086</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6,321,863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6,100,840</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-3.5%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218"/>
        </w:trPr>
        <w:tc>
          <w:tcPr>
            <w:tcW w:w="6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Total Assets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201,736,376</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199,307,836</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194,945,753</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Deposits and obligations</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3" w:lineRule="exact"/>
              <w:rPr>
                <w:sz w:val="20"/>
                <w:szCs w:val="20"/>
                <w:color w:val="auto"/>
              </w:rPr>
            </w:pPr>
            <w:r>
              <w:rPr>
                <w:rFonts w:ascii="Arial" w:cs="Arial" w:eastAsia="Arial" w:hAnsi="Arial"/>
                <w:sz w:val="13"/>
                <w:szCs w:val="13"/>
                <w:color w:val="auto"/>
              </w:rPr>
              <w:t xml:space="preserve">Non-interest bearing </w:t>
            </w:r>
            <w:r>
              <w:rPr>
                <w:rFonts w:ascii="Arial" w:cs="Arial" w:eastAsia="Arial" w:hAnsi="Arial"/>
                <w:sz w:val="20"/>
                <w:szCs w:val="20"/>
                <w:color w:val="auto"/>
                <w:vertAlign w:val="superscript"/>
              </w:rPr>
              <w:t>(1)</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44,470,186</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44,598,038</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45,297,294</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1.6%</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8"/>
        </w:trPr>
        <w:tc>
          <w:tcPr>
            <w:tcW w:w="6200" w:type="dxa"/>
            <w:vAlign w:val="bottom"/>
            <w:tcBorders>
              <w:left w:val="single" w:sz="8" w:color="auto"/>
              <w:righ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Interest bearing </w:t>
            </w:r>
            <w:r>
              <w:rPr>
                <w:rFonts w:ascii="Arial" w:cs="Arial" w:eastAsia="Arial" w:hAnsi="Arial"/>
                <w:sz w:val="20"/>
                <w:szCs w:val="20"/>
                <w:color w:val="auto"/>
                <w:vertAlign w:val="superscript"/>
              </w:rPr>
              <w:t>(1)</w:t>
            </w:r>
          </w:p>
        </w:tc>
        <w:tc>
          <w:tcPr>
            <w:tcW w:w="1080" w:type="dxa"/>
            <w:vAlign w:val="bottom"/>
          </w:tcPr>
          <w:p>
            <w:pPr>
              <w:jc w:val="right"/>
              <w:ind w:right="1"/>
              <w:spacing w:after="0" w:line="178" w:lineRule="exact"/>
              <w:rPr>
                <w:sz w:val="20"/>
                <w:szCs w:val="20"/>
                <w:color w:val="auto"/>
              </w:rPr>
            </w:pPr>
            <w:r>
              <w:rPr>
                <w:rFonts w:ascii="Arial" w:cs="Arial" w:eastAsia="Arial" w:hAnsi="Arial"/>
                <w:sz w:val="16"/>
                <w:szCs w:val="16"/>
                <w:color w:val="auto"/>
              </w:rPr>
              <w:t>88,611,086</w:t>
            </w:r>
          </w:p>
        </w:tc>
        <w:tc>
          <w:tcPr>
            <w:tcW w:w="1040" w:type="dxa"/>
            <w:vAlign w:val="bottom"/>
          </w:tcPr>
          <w:p>
            <w:pPr>
              <w:jc w:val="right"/>
              <w:ind w:right="1"/>
              <w:spacing w:after="0" w:line="178" w:lineRule="exact"/>
              <w:rPr>
                <w:sz w:val="20"/>
                <w:szCs w:val="20"/>
                <w:color w:val="auto"/>
              </w:rPr>
            </w:pPr>
            <w:r>
              <w:rPr>
                <w:rFonts w:ascii="Arial" w:cs="Arial" w:eastAsia="Arial" w:hAnsi="Arial"/>
                <w:sz w:val="16"/>
                <w:szCs w:val="16"/>
                <w:color w:val="auto"/>
              </w:rPr>
              <w:t>87,552,576</w:t>
            </w:r>
          </w:p>
        </w:tc>
        <w:tc>
          <w:tcPr>
            <w:tcW w:w="9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85,125,304</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-2.8%</w:t>
            </w:r>
          </w:p>
        </w:tc>
        <w:tc>
          <w:tcPr>
            <w:tcW w:w="8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8"/>
        </w:trPr>
        <w:tc>
          <w:tcPr>
            <w:tcW w:w="62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133,081,272</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132,150,614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130,422,598</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24,839,353</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20,250,739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18,064,487</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-10.8%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BCRP instruments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24,303,193</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19,692,474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17,532,350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Repurchase agreements with third parties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536,160</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558,265</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532,137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-4.7%</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Due to banks and correspondents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5,040,881</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6,684,191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5,872,463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-12.1%</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Bonds and notes issued</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15,301,214</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14,482,984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13,575,977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-6.3%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Banker’s acceptances outstanding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532,584</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532,404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524,448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69"/>
        </w:trPr>
        <w:tc>
          <w:tcPr>
            <w:tcW w:w="6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Financial liabilities at fair value through profit or loss</w:t>
            </w:r>
          </w:p>
        </w:tc>
        <w:tc>
          <w:tcPr>
            <w:tcW w:w="108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rPr>
              <w:t>461,069</w:t>
            </w:r>
          </w:p>
        </w:tc>
        <w:tc>
          <w:tcPr>
            <w:tcW w:w="104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rPr>
              <w:t>-</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0.0%</w:t>
            </w:r>
          </w:p>
        </w:tc>
        <w:tc>
          <w:tcPr>
            <w:tcW w:w="8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178"/>
        </w:trPr>
        <w:tc>
          <w:tcPr>
            <w:tcW w:w="62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b w:val="1"/>
                <w:bCs w:val="1"/>
                <w:color w:val="auto"/>
              </w:rPr>
              <w:t xml:space="preserve">Other liabilities </w:t>
            </w:r>
            <w:r>
              <w:rPr>
                <w:rFonts w:ascii="Arial" w:cs="Arial" w:eastAsia="Arial" w:hAnsi="Arial"/>
                <w:sz w:val="20"/>
                <w:szCs w:val="20"/>
                <w:b w:val="1"/>
                <w:bCs w:val="1"/>
                <w:color w:val="auto"/>
                <w:vertAlign w:val="superscript"/>
              </w:rPr>
              <w:t>(3)</w:t>
            </w:r>
          </w:p>
        </w:tc>
        <w:tc>
          <w:tcPr>
            <w:tcW w:w="1080" w:type="dxa"/>
            <w:vAlign w:val="bottom"/>
          </w:tcPr>
          <w:p>
            <w:pPr>
              <w:jc w:val="right"/>
              <w:ind w:right="1"/>
              <w:spacing w:after="0" w:line="178" w:lineRule="exact"/>
              <w:rPr>
                <w:sz w:val="20"/>
                <w:szCs w:val="20"/>
                <w:color w:val="auto"/>
              </w:rPr>
            </w:pPr>
            <w:r>
              <w:rPr>
                <w:rFonts w:ascii="Arial" w:cs="Arial" w:eastAsia="Arial" w:hAnsi="Arial"/>
                <w:sz w:val="16"/>
                <w:szCs w:val="16"/>
                <w:b w:val="1"/>
                <w:bCs w:val="1"/>
                <w:color w:val="auto"/>
              </w:rPr>
              <w:t>4,197,747</w:t>
            </w:r>
          </w:p>
        </w:tc>
        <w:tc>
          <w:tcPr>
            <w:tcW w:w="1040" w:type="dxa"/>
            <w:vAlign w:val="bottom"/>
          </w:tcPr>
          <w:p>
            <w:pPr>
              <w:jc w:val="right"/>
              <w:ind w:right="1"/>
              <w:spacing w:after="0" w:line="178" w:lineRule="exact"/>
              <w:rPr>
                <w:sz w:val="20"/>
                <w:szCs w:val="20"/>
                <w:color w:val="auto"/>
              </w:rPr>
            </w:pPr>
            <w:r>
              <w:rPr>
                <w:rFonts w:ascii="Arial" w:cs="Arial" w:eastAsia="Arial" w:hAnsi="Arial"/>
                <w:sz w:val="16"/>
                <w:szCs w:val="16"/>
                <w:b w:val="1"/>
                <w:bCs w:val="1"/>
                <w:color w:val="auto"/>
              </w:rPr>
              <w:t>4,444,071</w:t>
            </w:r>
          </w:p>
        </w:tc>
        <w:tc>
          <w:tcPr>
            <w:tcW w:w="9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6,211,275</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b w:val="1"/>
                <w:bCs w:val="1"/>
                <w:color w:val="auto"/>
              </w:rPr>
              <w:t>39.8%</w:t>
            </w:r>
          </w:p>
        </w:tc>
        <w:tc>
          <w:tcPr>
            <w:tcW w:w="8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48.0%</w:t>
            </w:r>
          </w:p>
        </w:tc>
        <w:tc>
          <w:tcPr>
            <w:tcW w:w="0" w:type="dxa"/>
            <w:vAlign w:val="bottom"/>
          </w:tcPr>
          <w:p>
            <w:pPr>
              <w:spacing w:after="0"/>
              <w:rPr>
                <w:sz w:val="1"/>
                <w:szCs w:val="1"/>
                <w:color w:val="auto"/>
              </w:rPr>
            </w:pPr>
          </w:p>
        </w:tc>
      </w:tr>
      <w:tr>
        <w:trPr>
          <w:trHeight w:val="218"/>
        </w:trPr>
        <w:tc>
          <w:tcPr>
            <w:tcW w:w="6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Total Liabilities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183,454,120</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178,545,003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174,671,248</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18,165,016</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20,633,464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20,140,022</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Capital stock</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11,024,006</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11,024,006</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11,882,984</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7.8%</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Reserves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6,488,641</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6,488,969</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7,297,648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12.5%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Unrealized gains and losses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(68,242)</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(495,371)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(780,063)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n.a.</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Retained earnings</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720,611</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3,615,860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1,739,453</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-51.9%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336"/>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117,240</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129,369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134,483</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4.0%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344"/>
        </w:trPr>
        <w:tc>
          <w:tcPr>
            <w:tcW w:w="6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Net Equity</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18,282,256</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20,762,833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20,274,505</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336"/>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201,736,376</w:t>
            </w: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199,307,836</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194,945,753</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291"/>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Off-balance sheet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130,403,638</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136,495,830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131,406,579</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Total performance bonds, stand-by and L/Cs.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20,320,600</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21,203,561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19,638,213</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-7.4%</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Undrawn credit lines, advised but not committed</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73,973,965</w:t>
            </w:r>
          </w:p>
        </w:tc>
        <w:tc>
          <w:tcPr>
            <w:tcW w:w="1040" w:type="dxa"/>
            <w:vAlign w:val="bottom"/>
          </w:tcPr>
          <w:p>
            <w:pPr>
              <w:jc w:val="right"/>
              <w:ind w:right="1"/>
              <w:spacing w:after="0" w:line="174" w:lineRule="exact"/>
              <w:rPr>
                <w:sz w:val="20"/>
                <w:szCs w:val="20"/>
                <w:color w:val="auto"/>
              </w:rPr>
            </w:pPr>
            <w:r>
              <w:rPr>
                <w:rFonts w:ascii="Arial" w:cs="Arial" w:eastAsia="Arial" w:hAnsi="Arial"/>
                <w:sz w:val="16"/>
                <w:szCs w:val="16"/>
                <w:color w:val="auto"/>
              </w:rPr>
              <w:t>75,333,998</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70,893,784</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-5.9%</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4"/>
        </w:trPr>
        <w:tc>
          <w:tcPr>
            <w:tcW w:w="6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derivatives (notional) and others</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36,109,073</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39,958,271</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40,874,582</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2.3%</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hanging="133"/>
        <w:spacing w:after="0"/>
        <w:tabs>
          <w:tab w:leader="none" w:pos="140"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Right of use asset of lease contracts is included by application of IFRS 16.</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includes intangible assets, other receivable accounts and tax credit.</w:t>
      </w:r>
    </w:p>
    <w:p>
      <w:pPr>
        <w:spacing w:after="0" w:line="8"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49"/>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includes other payable accounts</w:t>
      </w:r>
      <w:r>
        <w:rPr>
          <w:rFonts w:ascii="Times New Roman" w:cs="Times New Roman" w:eastAsia="Times New Roman" w:hAnsi="Times New Roman"/>
          <w:sz w:val="17"/>
          <w:szCs w:val="17"/>
          <w:color w:val="auto"/>
        </w:rPr>
        <w:t>.</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60"/>
        </w:trPr>
        <w:tc>
          <w:tcPr>
            <w:tcW w:w="6440" w:type="dxa"/>
            <w:vAlign w:val="bottom"/>
            <w:tcBorders>
              <w:left w:val="single" w:sz="8" w:color="auto"/>
            </w:tcBorders>
            <w:gridSpan w:val="2"/>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940" w:type="dxa"/>
            <w:vAlign w:val="bottom"/>
            <w:shd w:val="clear" w:color="auto" w:fill="000000"/>
          </w:tcPr>
          <w:p>
            <w:pPr>
              <w:spacing w:after="0"/>
              <w:rPr>
                <w:sz w:val="22"/>
                <w:szCs w:val="22"/>
                <w:color w:val="auto"/>
              </w:rPr>
            </w:pPr>
          </w:p>
        </w:tc>
        <w:tc>
          <w:tcPr>
            <w:tcW w:w="920" w:type="dxa"/>
            <w:vAlign w:val="bottom"/>
            <w:shd w:val="clear" w:color="auto" w:fill="000000"/>
          </w:tcPr>
          <w:p>
            <w:pPr>
              <w:spacing w:after="0"/>
              <w:rPr>
                <w:sz w:val="22"/>
                <w:szCs w:val="22"/>
                <w:color w:val="auto"/>
              </w:rPr>
            </w:pPr>
          </w:p>
        </w:tc>
        <w:tc>
          <w:tcPr>
            <w:tcW w:w="2980" w:type="dxa"/>
            <w:vAlign w:val="bottom"/>
            <w:tcBorders>
              <w:right w:val="single" w:sz="8" w:color="auto"/>
            </w:tcBorders>
            <w:gridSpan w:val="3"/>
            <w:shd w:val="clear" w:color="auto" w:fill="000000"/>
          </w:tcPr>
          <w:p>
            <w:pPr>
              <w:jc w:val="right"/>
              <w:spacing w:after="0"/>
              <w:rPr>
                <w:sz w:val="20"/>
                <w:szCs w:val="20"/>
                <w:color w:val="auto"/>
              </w:rPr>
            </w:pPr>
            <w:r>
              <w:rPr>
                <w:rFonts w:ascii="Arial" w:cs="Arial" w:eastAsia="Arial" w:hAnsi="Arial"/>
                <w:sz w:val="16"/>
                <w:szCs w:val="16"/>
                <w:b w:val="1"/>
                <w:bCs w:val="1"/>
                <w:color w:val="E93CAC"/>
                <w:w w:val="99"/>
              </w:rPr>
              <w:t>Analysis of 1Q22 Consolidated Results</w:t>
            </w:r>
          </w:p>
        </w:tc>
        <w:tc>
          <w:tcPr>
            <w:tcW w:w="0" w:type="dxa"/>
            <w:vAlign w:val="bottom"/>
          </w:tcPr>
          <w:p>
            <w:pPr>
              <w:spacing w:after="0"/>
              <w:rPr>
                <w:sz w:val="1"/>
                <w:szCs w:val="1"/>
                <w:color w:val="auto"/>
              </w:rPr>
            </w:pPr>
          </w:p>
        </w:tc>
      </w:tr>
      <w:tr>
        <w:trPr>
          <w:trHeight w:val="97"/>
        </w:trPr>
        <w:tc>
          <w:tcPr>
            <w:tcW w:w="6260" w:type="dxa"/>
            <w:vAlign w:val="bottom"/>
            <w:tcBorders>
              <w:left w:val="single" w:sz="8" w:color="auto"/>
              <w:right w:val="single" w:sz="8" w:color="auto"/>
            </w:tcBorders>
            <w:shd w:val="clear" w:color="auto" w:fill="000000"/>
          </w:tcPr>
          <w:p>
            <w:pPr>
              <w:spacing w:after="0"/>
              <w:rPr>
                <w:sz w:val="8"/>
                <w:szCs w:val="8"/>
                <w:color w:val="auto"/>
              </w:rPr>
            </w:pPr>
          </w:p>
        </w:tc>
        <w:tc>
          <w:tcPr>
            <w:tcW w:w="180" w:type="dxa"/>
            <w:vAlign w:val="bottom"/>
            <w:shd w:val="clear" w:color="auto" w:fill="000000"/>
          </w:tcPr>
          <w:p>
            <w:pPr>
              <w:spacing w:after="0"/>
              <w:rPr>
                <w:sz w:val="8"/>
                <w:szCs w:val="8"/>
                <w:color w:val="auto"/>
              </w:rPr>
            </w:pPr>
          </w:p>
        </w:tc>
        <w:tc>
          <w:tcPr>
            <w:tcW w:w="940" w:type="dxa"/>
            <w:vAlign w:val="bottom"/>
            <w:shd w:val="clear" w:color="auto" w:fill="000000"/>
          </w:tcPr>
          <w:p>
            <w:pPr>
              <w:spacing w:after="0"/>
              <w:rPr>
                <w:sz w:val="8"/>
                <w:szCs w:val="8"/>
                <w:color w:val="auto"/>
              </w:rPr>
            </w:pPr>
          </w:p>
        </w:tc>
        <w:tc>
          <w:tcPr>
            <w:tcW w:w="920" w:type="dxa"/>
            <w:vAlign w:val="bottom"/>
            <w:shd w:val="clear" w:color="auto" w:fill="000000"/>
          </w:tcPr>
          <w:p>
            <w:pPr>
              <w:spacing w:after="0"/>
              <w:rPr>
                <w:sz w:val="8"/>
                <w:szCs w:val="8"/>
                <w:color w:val="auto"/>
              </w:rPr>
            </w:pPr>
          </w:p>
        </w:tc>
        <w:tc>
          <w:tcPr>
            <w:tcW w:w="1020" w:type="dxa"/>
            <w:vAlign w:val="bottom"/>
            <w:tcBorders>
              <w:right w:val="single" w:sz="8" w:color="auto"/>
            </w:tcBorders>
            <w:shd w:val="clear" w:color="auto" w:fill="000000"/>
          </w:tcPr>
          <w:p>
            <w:pPr>
              <w:spacing w:after="0"/>
              <w:rPr>
                <w:sz w:val="8"/>
                <w:szCs w:val="8"/>
                <w:color w:val="auto"/>
              </w:rPr>
            </w:pPr>
          </w:p>
        </w:tc>
        <w:tc>
          <w:tcPr>
            <w:tcW w:w="1160" w:type="dxa"/>
            <w:vAlign w:val="bottom"/>
            <w:shd w:val="clear" w:color="auto" w:fill="000000"/>
          </w:tcPr>
          <w:p>
            <w:pPr>
              <w:spacing w:after="0"/>
              <w:rPr>
                <w:sz w:val="8"/>
                <w:szCs w:val="8"/>
                <w:color w:val="auto"/>
              </w:rPr>
            </w:pPr>
          </w:p>
        </w:tc>
        <w:tc>
          <w:tcPr>
            <w:tcW w:w="800" w:type="dxa"/>
            <w:vAlign w:val="bottom"/>
            <w:tcBorders>
              <w:right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6440" w:type="dxa"/>
            <w:vAlign w:val="bottom"/>
            <w:tcBorders>
              <w:left w:val="single" w:sz="8" w:color="E93CAC"/>
            </w:tcBorders>
            <w:gridSpan w:val="2"/>
            <w:shd w:val="clear" w:color="auto" w:fill="E93CAC"/>
          </w:tcPr>
          <w:p>
            <w:pPr>
              <w:ind w:left="40"/>
              <w:spacing w:after="0"/>
              <w:rPr>
                <w:sz w:val="20"/>
                <w:szCs w:val="20"/>
                <w:color w:val="auto"/>
              </w:rPr>
            </w:pPr>
            <w:r>
              <w:rPr>
                <w:rFonts w:ascii="Arial" w:cs="Arial" w:eastAsia="Arial" w:hAnsi="Arial"/>
                <w:sz w:val="17"/>
                <w:szCs w:val="17"/>
                <w:b w:val="1"/>
                <w:bCs w:val="1"/>
                <w:color w:val="FFFFFF"/>
              </w:rPr>
              <w:t>12. Appendix</w:t>
            </w:r>
          </w:p>
        </w:tc>
        <w:tc>
          <w:tcPr>
            <w:tcW w:w="940" w:type="dxa"/>
            <w:vAlign w:val="bottom"/>
            <w:shd w:val="clear" w:color="auto" w:fill="E93CAC"/>
          </w:tcPr>
          <w:p>
            <w:pPr>
              <w:spacing w:after="0"/>
              <w:rPr>
                <w:sz w:val="22"/>
                <w:szCs w:val="22"/>
                <w:color w:val="auto"/>
              </w:rPr>
            </w:pPr>
          </w:p>
        </w:tc>
        <w:tc>
          <w:tcPr>
            <w:tcW w:w="920" w:type="dxa"/>
            <w:vAlign w:val="bottom"/>
            <w:shd w:val="clear" w:color="auto" w:fill="E93CAC"/>
          </w:tcPr>
          <w:p>
            <w:pPr>
              <w:spacing w:after="0"/>
              <w:rPr>
                <w:sz w:val="22"/>
                <w:szCs w:val="22"/>
                <w:color w:val="auto"/>
              </w:rPr>
            </w:pPr>
          </w:p>
        </w:tc>
        <w:tc>
          <w:tcPr>
            <w:tcW w:w="1020" w:type="dxa"/>
            <w:vAlign w:val="bottom"/>
            <w:tcBorders>
              <w:right w:val="single" w:sz="8" w:color="E93CAC"/>
            </w:tcBorders>
            <w:shd w:val="clear" w:color="auto" w:fill="E93CAC"/>
          </w:tcPr>
          <w:p>
            <w:pPr>
              <w:spacing w:after="0"/>
              <w:rPr>
                <w:sz w:val="22"/>
                <w:szCs w:val="22"/>
                <w:color w:val="auto"/>
              </w:rPr>
            </w:pPr>
          </w:p>
        </w:tc>
        <w:tc>
          <w:tcPr>
            <w:tcW w:w="1160" w:type="dxa"/>
            <w:vAlign w:val="bottom"/>
            <w:shd w:val="clear" w:color="auto" w:fill="E93CAC"/>
          </w:tcPr>
          <w:p>
            <w:pPr>
              <w:spacing w:after="0"/>
              <w:rPr>
                <w:sz w:val="22"/>
                <w:szCs w:val="22"/>
                <w:color w:val="auto"/>
              </w:rPr>
            </w:pPr>
          </w:p>
        </w:tc>
        <w:tc>
          <w:tcPr>
            <w:tcW w:w="800" w:type="dxa"/>
            <w:vAlign w:val="bottom"/>
            <w:tcBorders>
              <w:right w:val="single" w:sz="8" w:color="E93CAC"/>
            </w:tcBorders>
            <w:shd w:val="clear" w:color="auto" w:fill="E93CAC"/>
          </w:tcPr>
          <w:p>
            <w:pPr>
              <w:spacing w:after="0"/>
              <w:rPr>
                <w:sz w:val="22"/>
                <w:szCs w:val="22"/>
                <w:color w:val="auto"/>
              </w:rPr>
            </w:pPr>
          </w:p>
        </w:tc>
        <w:tc>
          <w:tcPr>
            <w:tcW w:w="0" w:type="dxa"/>
            <w:vAlign w:val="bottom"/>
          </w:tcPr>
          <w:p>
            <w:pPr>
              <w:spacing w:after="0"/>
              <w:rPr>
                <w:sz w:val="1"/>
                <w:szCs w:val="1"/>
                <w:color w:val="auto"/>
              </w:rPr>
            </w:pPr>
          </w:p>
        </w:tc>
      </w:tr>
      <w:tr>
        <w:trPr>
          <w:trHeight w:val="478"/>
        </w:trPr>
        <w:tc>
          <w:tcPr>
            <w:tcW w:w="8300" w:type="dxa"/>
            <w:vAlign w:val="bottom"/>
            <w:gridSpan w:val="4"/>
          </w:tcPr>
          <w:p>
            <w:pPr>
              <w:jc w:val="center"/>
              <w:ind w:left="2902"/>
              <w:spacing w:after="0"/>
              <w:rPr>
                <w:sz w:val="20"/>
                <w:szCs w:val="20"/>
                <w:color w:val="auto"/>
              </w:rPr>
            </w:pPr>
            <w:r>
              <w:rPr>
                <w:rFonts w:ascii="Times New Roman" w:cs="Times New Roman" w:eastAsia="Times New Roman" w:hAnsi="Times New Roman"/>
                <w:sz w:val="16"/>
                <w:szCs w:val="16"/>
                <w:b w:val="1"/>
                <w:bCs w:val="1"/>
                <w:color w:val="auto"/>
                <w:w w:val="99"/>
              </w:rPr>
              <w:t>BANCO DE CREDITO DEL PERU AND SUBSIDIARIES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380" w:type="dxa"/>
            <w:vAlign w:val="bottom"/>
            <w:gridSpan w:val="3"/>
          </w:tcPr>
          <w:p>
            <w:pPr>
              <w:jc w:val="center"/>
              <w:ind w:left="3842"/>
              <w:spacing w:after="0"/>
              <w:rPr>
                <w:sz w:val="20"/>
                <w:szCs w:val="20"/>
                <w:color w:val="auto"/>
              </w:rPr>
            </w:pPr>
            <w:r>
              <w:rPr>
                <w:rFonts w:ascii="Times New Roman" w:cs="Times New Roman" w:eastAsia="Times New Roman" w:hAnsi="Times New Roman"/>
                <w:sz w:val="16"/>
                <w:szCs w:val="16"/>
                <w:b w:val="1"/>
                <w:bCs w:val="1"/>
                <w:color w:val="auto"/>
                <w:w w:val="98"/>
              </w:rPr>
              <w:t>CONSOLIDATED STATEMENT OF INCOME</w:t>
            </w: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440" w:type="dxa"/>
            <w:vAlign w:val="bottom"/>
            <w:gridSpan w:val="2"/>
          </w:tcPr>
          <w:p>
            <w:pPr>
              <w:jc w:val="center"/>
              <w:ind w:left="4762"/>
              <w:spacing w:after="0"/>
              <w:rPr>
                <w:sz w:val="20"/>
                <w:szCs w:val="20"/>
                <w:color w:val="auto"/>
              </w:rPr>
            </w:pPr>
            <w:r>
              <w:rPr>
                <w:rFonts w:ascii="Times New Roman" w:cs="Times New Roman" w:eastAsia="Times New Roman" w:hAnsi="Times New Roman"/>
                <w:sz w:val="16"/>
                <w:szCs w:val="16"/>
                <w:b w:val="1"/>
                <w:bCs w:val="1"/>
                <w:color w:val="auto"/>
                <w:w w:val="99"/>
              </w:rPr>
              <w:t>(In S/ thousands, IFRS)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260" w:type="dxa"/>
            <w:vAlign w:val="bottom"/>
            <w:tcBorders>
              <w:right w:val="single" w:sz="8" w:color="auto"/>
            </w:tcBorders>
          </w:tcPr>
          <w:p>
            <w:pPr>
              <w:spacing w:after="0"/>
              <w:rPr>
                <w:sz w:val="13"/>
                <w:szCs w:val="13"/>
                <w:color w:val="auto"/>
              </w:rPr>
            </w:pPr>
          </w:p>
        </w:tc>
        <w:tc>
          <w:tcPr>
            <w:tcW w:w="180" w:type="dxa"/>
            <w:vAlign w:val="bottom"/>
            <w:shd w:val="clear" w:color="auto" w:fill="2AD2C9"/>
          </w:tcPr>
          <w:p>
            <w:pPr>
              <w:spacing w:after="0"/>
              <w:rPr>
                <w:sz w:val="13"/>
                <w:szCs w:val="13"/>
                <w:color w:val="auto"/>
              </w:rPr>
            </w:pPr>
          </w:p>
        </w:tc>
        <w:tc>
          <w:tcPr>
            <w:tcW w:w="940" w:type="dxa"/>
            <w:vAlign w:val="bottom"/>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920" w:type="dxa"/>
            <w:vAlign w:val="bottom"/>
            <w:shd w:val="clear" w:color="auto" w:fill="2AD2C9"/>
          </w:tcPr>
          <w:p>
            <w:pPr>
              <w:jc w:val="right"/>
              <w:ind w:right="161"/>
              <w:spacing w:after="0" w:line="155" w:lineRule="exact"/>
              <w:rPr>
                <w:sz w:val="20"/>
                <w:szCs w:val="20"/>
                <w:color w:val="auto"/>
              </w:rPr>
            </w:pPr>
            <w:r>
              <w:rPr>
                <w:rFonts w:ascii="Arial" w:cs="Arial" w:eastAsia="Arial" w:hAnsi="Arial"/>
                <w:sz w:val="16"/>
                <w:szCs w:val="16"/>
                <w:b w:val="1"/>
                <w:bCs w:val="1"/>
                <w:color w:val="FFFFFF"/>
              </w:rPr>
              <w:t>Quarter</w:t>
            </w:r>
          </w:p>
        </w:tc>
        <w:tc>
          <w:tcPr>
            <w:tcW w:w="1020" w:type="dxa"/>
            <w:vAlign w:val="bottom"/>
            <w:tcBorders>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1960" w:type="dxa"/>
            <w:vAlign w:val="bottom"/>
            <w:tcBorders>
              <w:right w:val="single" w:sz="8" w:color="auto"/>
            </w:tcBorders>
            <w:gridSpan w:val="2"/>
            <w:shd w:val="clear" w:color="auto" w:fill="2AD2C9"/>
          </w:tcPr>
          <w:p>
            <w:pPr>
              <w:jc w:val="right"/>
              <w:ind w:right="54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2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shd w:val="clear" w:color="auto" w:fill="2AD2C9"/>
          </w:tcPr>
          <w:p>
            <w:pPr>
              <w:spacing w:after="0"/>
              <w:rPr>
                <w:sz w:val="16"/>
                <w:szCs w:val="16"/>
                <w:color w:val="auto"/>
              </w:rPr>
            </w:pPr>
          </w:p>
        </w:tc>
        <w:tc>
          <w:tcPr>
            <w:tcW w:w="940" w:type="dxa"/>
            <w:vAlign w:val="bottom"/>
            <w:tcBorders>
              <w:bottom w:val="single" w:sz="8" w:color="auto"/>
            </w:tcBorders>
            <w:vMerge w:val="continue"/>
            <w:shd w:val="clear" w:color="auto" w:fill="2AD2C9"/>
          </w:tcPr>
          <w:p>
            <w:pPr>
              <w:spacing w:after="0"/>
              <w:rPr>
                <w:sz w:val="16"/>
                <w:szCs w:val="16"/>
                <w:color w:val="auto"/>
              </w:rPr>
            </w:pPr>
          </w:p>
        </w:tc>
        <w:tc>
          <w:tcPr>
            <w:tcW w:w="920" w:type="dxa"/>
            <w:vAlign w:val="bottom"/>
            <w:tcBorders>
              <w:bottom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4Q21</w:t>
            </w:r>
          </w:p>
        </w:tc>
        <w:tc>
          <w:tcPr>
            <w:tcW w:w="102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right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2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Interest income and expense</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6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Interest and dividend income</w:t>
            </w:r>
          </w:p>
        </w:tc>
        <w:tc>
          <w:tcPr>
            <w:tcW w:w="180" w:type="dxa"/>
            <w:vAlign w:val="bottom"/>
          </w:tcPr>
          <w:p>
            <w:pPr>
              <w:spacing w:after="0"/>
              <w:rPr>
                <w:sz w:val="14"/>
                <w:szCs w:val="14"/>
                <w:color w:val="auto"/>
              </w:rPr>
            </w:pPr>
          </w:p>
        </w:tc>
        <w:tc>
          <w:tcPr>
            <w:tcW w:w="9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2,407,997</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2,626,005</w:t>
            </w:r>
          </w:p>
        </w:tc>
        <w:tc>
          <w:tcPr>
            <w:tcW w:w="10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2,712,960</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3.3%</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140"/>
              <w:spacing w:after="0" w:line="173"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(555,008)</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(459,334)</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(494,035)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7.6%</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51"/>
        </w:trPr>
        <w:tc>
          <w:tcPr>
            <w:tcW w:w="6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 xml:space="preserve">Net interest income </w:t>
            </w:r>
            <w:r>
              <w:rPr>
                <w:rFonts w:ascii="Arial" w:cs="Arial" w:eastAsia="Arial" w:hAnsi="Arial"/>
                <w:sz w:val="26"/>
                <w:szCs w:val="26"/>
                <w:b w:val="1"/>
                <w:bCs w:val="1"/>
                <w:color w:val="auto"/>
                <w:vertAlign w:val="superscript"/>
              </w:rPr>
              <w:t>(1)</w:t>
            </w:r>
          </w:p>
        </w:tc>
        <w:tc>
          <w:tcPr>
            <w:tcW w:w="18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1,852,989</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2,166,671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2,218,925</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19.7%</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Provision for credit losses on loan portfolio</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(585,257)</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(224,506)</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(340,235)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51.5%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Recoveries of written-off loans</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61,096</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95,748</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86,428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-9.7%</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8"/>
        </w:trPr>
        <w:tc>
          <w:tcPr>
            <w:tcW w:w="6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8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(524,161)</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(128,758)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(253,807)</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97.1%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-51.6%</w:t>
            </w:r>
          </w:p>
        </w:tc>
        <w:tc>
          <w:tcPr>
            <w:tcW w:w="0" w:type="dxa"/>
            <w:vAlign w:val="bottom"/>
          </w:tcPr>
          <w:p>
            <w:pPr>
              <w:spacing w:after="0"/>
              <w:rPr>
                <w:sz w:val="1"/>
                <w:szCs w:val="1"/>
                <w:color w:val="auto"/>
              </w:rPr>
            </w:pPr>
          </w:p>
        </w:tc>
      </w:tr>
      <w:tr>
        <w:trPr>
          <w:trHeight w:val="336"/>
        </w:trPr>
        <w:tc>
          <w:tcPr>
            <w:tcW w:w="6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Risk-adjusted net interest income</w:t>
            </w:r>
          </w:p>
        </w:tc>
        <w:tc>
          <w:tcPr>
            <w:tcW w:w="18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1,328,828</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2,037,913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1,965,118</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-3.6%</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47.9%</w:t>
            </w:r>
          </w:p>
        </w:tc>
        <w:tc>
          <w:tcPr>
            <w:tcW w:w="0" w:type="dxa"/>
            <w:vAlign w:val="bottom"/>
          </w:tcPr>
          <w:p>
            <w:pPr>
              <w:spacing w:after="0"/>
              <w:rPr>
                <w:sz w:val="1"/>
                <w:szCs w:val="1"/>
                <w:color w:val="auto"/>
              </w:rPr>
            </w:pPr>
          </w:p>
        </w:tc>
      </w:tr>
      <w:tr>
        <w:trPr>
          <w:trHeight w:val="291"/>
        </w:trPr>
        <w:tc>
          <w:tcPr>
            <w:tcW w:w="6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Non-financial income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Fee income</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631,778</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749,416</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731,705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-2.4%</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foreign exchange transactions</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173,465</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239,930</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242,504</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securities</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42,112</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(7,511)</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(1,898)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-74.7%</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69"/>
        </w:trPr>
        <w:tc>
          <w:tcPr>
            <w:tcW w:w="626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Net gain on derivatives held for trading</w:t>
            </w:r>
          </w:p>
        </w:tc>
        <w:tc>
          <w:tcPr>
            <w:tcW w:w="180" w:type="dxa"/>
            <w:vAlign w:val="bottom"/>
          </w:tcPr>
          <w:p>
            <w:pPr>
              <w:spacing w:after="0"/>
              <w:rPr>
                <w:sz w:val="14"/>
                <w:szCs w:val="14"/>
                <w:color w:val="auto"/>
              </w:rPr>
            </w:pPr>
          </w:p>
        </w:tc>
        <w:tc>
          <w:tcPr>
            <w:tcW w:w="9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12,320</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27,477</w:t>
            </w:r>
          </w:p>
        </w:tc>
        <w:tc>
          <w:tcPr>
            <w:tcW w:w="10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(10,978)</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-140.0%</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178"/>
        </w:trPr>
        <w:tc>
          <w:tcPr>
            <w:tcW w:w="6260" w:type="dxa"/>
            <w:vAlign w:val="bottom"/>
            <w:tcBorders>
              <w:left w:val="single" w:sz="8" w:color="auto"/>
              <w:righ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Net gain from exchange differences </w:t>
            </w:r>
            <w:r>
              <w:rPr>
                <w:rFonts w:ascii="Arial" w:cs="Arial" w:eastAsia="Arial" w:hAnsi="Arial"/>
                <w:sz w:val="20"/>
                <w:szCs w:val="20"/>
                <w:color w:val="auto"/>
                <w:vertAlign w:val="superscript"/>
              </w:rPr>
              <w:t>(1)</w:t>
            </w:r>
          </w:p>
        </w:tc>
        <w:tc>
          <w:tcPr>
            <w:tcW w:w="180" w:type="dxa"/>
            <w:vAlign w:val="bottom"/>
          </w:tcPr>
          <w:p>
            <w:pPr>
              <w:spacing w:after="0"/>
              <w:rPr>
                <w:sz w:val="15"/>
                <w:szCs w:val="15"/>
                <w:color w:val="auto"/>
              </w:rPr>
            </w:pPr>
          </w:p>
        </w:tc>
        <w:tc>
          <w:tcPr>
            <w:tcW w:w="9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(2,821)</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(4,593)</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(17,051)</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n.a.</w:t>
            </w:r>
          </w:p>
        </w:tc>
        <w:tc>
          <w:tcPr>
            <w:tcW w:w="8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69"/>
        </w:trPr>
        <w:tc>
          <w:tcPr>
            <w:tcW w:w="626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Others</w:t>
            </w:r>
          </w:p>
        </w:tc>
        <w:tc>
          <w:tcPr>
            <w:tcW w:w="180" w:type="dxa"/>
            <w:vAlign w:val="bottom"/>
          </w:tcPr>
          <w:p>
            <w:pPr>
              <w:spacing w:after="0"/>
              <w:rPr>
                <w:sz w:val="14"/>
                <w:szCs w:val="14"/>
                <w:color w:val="auto"/>
              </w:rPr>
            </w:pPr>
          </w:p>
        </w:tc>
        <w:tc>
          <w:tcPr>
            <w:tcW w:w="9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58,392</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33,562</w:t>
            </w:r>
          </w:p>
        </w:tc>
        <w:tc>
          <w:tcPr>
            <w:tcW w:w="10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120,328</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258.5%</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340"/>
        </w:trPr>
        <w:tc>
          <w:tcPr>
            <w:tcW w:w="6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 xml:space="preserve">Total other income </w:t>
            </w:r>
            <w:r>
              <w:rPr>
                <w:rFonts w:ascii="Arial" w:cs="Arial" w:eastAsia="Arial" w:hAnsi="Arial"/>
                <w:sz w:val="26"/>
                <w:szCs w:val="26"/>
                <w:b w:val="1"/>
                <w:bCs w:val="1"/>
                <w:color w:val="auto"/>
                <w:vertAlign w:val="superscript"/>
              </w:rPr>
              <w:t>(1)</w:t>
            </w:r>
          </w:p>
        </w:tc>
        <w:tc>
          <w:tcPr>
            <w:tcW w:w="18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915,246</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1,038,281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1,064,610</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2.5%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expenses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6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Salaries and employee benefits</w:t>
            </w:r>
          </w:p>
        </w:tc>
        <w:tc>
          <w:tcPr>
            <w:tcW w:w="180" w:type="dxa"/>
            <w:vAlign w:val="bottom"/>
          </w:tcPr>
          <w:p>
            <w:pPr>
              <w:spacing w:after="0"/>
              <w:rPr>
                <w:sz w:val="14"/>
                <w:szCs w:val="14"/>
                <w:color w:val="auto"/>
              </w:rPr>
            </w:pPr>
          </w:p>
        </w:tc>
        <w:tc>
          <w:tcPr>
            <w:tcW w:w="9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(603,175)</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(715,877)</w:t>
            </w:r>
          </w:p>
        </w:tc>
        <w:tc>
          <w:tcPr>
            <w:tcW w:w="10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(694,339)</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-3.0%</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140"/>
              <w:spacing w:after="0" w:line="173" w:lineRule="exact"/>
              <w:rPr>
                <w:sz w:val="20"/>
                <w:szCs w:val="20"/>
                <w:color w:val="auto"/>
              </w:rPr>
            </w:pPr>
            <w:r>
              <w:rPr>
                <w:rFonts w:ascii="Arial" w:cs="Arial" w:eastAsia="Arial" w:hAnsi="Arial"/>
                <w:sz w:val="13"/>
                <w:szCs w:val="13"/>
                <w:color w:val="auto"/>
              </w:rPr>
              <w:t xml:space="preserve">Administrative expenses </w:t>
            </w:r>
            <w:r>
              <w:rPr>
                <w:rFonts w:ascii="Arial" w:cs="Arial" w:eastAsia="Arial" w:hAnsi="Arial"/>
                <w:sz w:val="20"/>
                <w:szCs w:val="20"/>
                <w:color w:val="auto"/>
                <w:vertAlign w:val="superscript"/>
              </w:rPr>
              <w:t>(1)</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(433,717)</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(694,702)</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(532,560)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-23.3%</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78"/>
        </w:trPr>
        <w:tc>
          <w:tcPr>
            <w:tcW w:w="6260" w:type="dxa"/>
            <w:vAlign w:val="bottom"/>
            <w:tcBorders>
              <w:left w:val="single" w:sz="8" w:color="auto"/>
              <w:righ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180" w:type="dxa"/>
            <w:vAlign w:val="bottom"/>
          </w:tcPr>
          <w:p>
            <w:pPr>
              <w:spacing w:after="0"/>
              <w:rPr>
                <w:sz w:val="15"/>
                <w:szCs w:val="15"/>
                <w:color w:val="auto"/>
              </w:rPr>
            </w:pPr>
          </w:p>
        </w:tc>
        <w:tc>
          <w:tcPr>
            <w:tcW w:w="9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(127,578)</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(137,757)</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(126,426)</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-8.2%</w:t>
            </w:r>
          </w:p>
        </w:tc>
        <w:tc>
          <w:tcPr>
            <w:tcW w:w="8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69"/>
        </w:trPr>
        <w:tc>
          <w:tcPr>
            <w:tcW w:w="626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Other expenses</w:t>
            </w:r>
          </w:p>
        </w:tc>
        <w:tc>
          <w:tcPr>
            <w:tcW w:w="180" w:type="dxa"/>
            <w:vAlign w:val="bottom"/>
          </w:tcPr>
          <w:p>
            <w:pPr>
              <w:spacing w:after="0"/>
              <w:rPr>
                <w:sz w:val="14"/>
                <w:szCs w:val="14"/>
                <w:color w:val="auto"/>
              </w:rPr>
            </w:pPr>
          </w:p>
        </w:tc>
        <w:tc>
          <w:tcPr>
            <w:tcW w:w="9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(49,176)</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(65,712)</w:t>
            </w:r>
          </w:p>
        </w:tc>
        <w:tc>
          <w:tcPr>
            <w:tcW w:w="10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(49,556)</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-24.6%</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40"/>
        </w:trPr>
        <w:tc>
          <w:tcPr>
            <w:tcW w:w="6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 xml:space="preserve">Total expenses </w:t>
            </w:r>
            <w:r>
              <w:rPr>
                <w:rFonts w:ascii="Arial" w:cs="Arial" w:eastAsia="Arial" w:hAnsi="Arial"/>
                <w:sz w:val="26"/>
                <w:szCs w:val="26"/>
                <w:b w:val="1"/>
                <w:bCs w:val="1"/>
                <w:color w:val="auto"/>
                <w:vertAlign w:val="superscript"/>
              </w:rPr>
              <w:t>(1)</w:t>
            </w:r>
          </w:p>
        </w:tc>
        <w:tc>
          <w:tcPr>
            <w:tcW w:w="18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w w:val="97"/>
              </w:rPr>
              <w:t>(1,213,646)</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(1,614,048)</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(1,402,881)</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-13.1%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r>
        <w:trPr>
          <w:trHeight w:val="218"/>
        </w:trPr>
        <w:tc>
          <w:tcPr>
            <w:tcW w:w="6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18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1,030,428</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1,462,146</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1,626,847</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11.3%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57.9%</w:t>
            </w:r>
          </w:p>
        </w:tc>
        <w:tc>
          <w:tcPr>
            <w:tcW w:w="0" w:type="dxa"/>
            <w:vAlign w:val="bottom"/>
          </w:tcPr>
          <w:p>
            <w:pPr>
              <w:spacing w:after="0"/>
              <w:rPr>
                <w:sz w:val="1"/>
                <w:szCs w:val="1"/>
                <w:color w:val="auto"/>
              </w:rPr>
            </w:pPr>
          </w:p>
        </w:tc>
      </w:tr>
      <w:tr>
        <w:trPr>
          <w:trHeight w:val="328"/>
        </w:trPr>
        <w:tc>
          <w:tcPr>
            <w:tcW w:w="62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Income tax</w:t>
            </w:r>
          </w:p>
        </w:tc>
        <w:tc>
          <w:tcPr>
            <w:tcW w:w="18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(274,798)</w:t>
            </w:r>
          </w:p>
        </w:tc>
        <w:tc>
          <w:tcPr>
            <w:tcW w:w="920" w:type="dxa"/>
            <w:vAlign w:val="bottom"/>
          </w:tcPr>
          <w:p>
            <w:pPr>
              <w:jc w:val="right"/>
              <w:spacing w:after="0"/>
              <w:rPr>
                <w:sz w:val="20"/>
                <w:szCs w:val="20"/>
                <w:color w:val="auto"/>
              </w:rPr>
            </w:pPr>
            <w:r>
              <w:rPr>
                <w:rFonts w:ascii="Arial" w:cs="Arial" w:eastAsia="Arial" w:hAnsi="Arial"/>
                <w:sz w:val="16"/>
                <w:szCs w:val="16"/>
                <w:color w:val="auto"/>
              </w:rPr>
              <w:t>(416,361)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(466,694)</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12.1%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99"/>
        </w:trPr>
        <w:tc>
          <w:tcPr>
            <w:tcW w:w="6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w:t>
            </w:r>
          </w:p>
        </w:tc>
        <w:tc>
          <w:tcPr>
            <w:tcW w:w="180" w:type="dxa"/>
            <w:vAlign w:val="bottom"/>
          </w:tcPr>
          <w:p>
            <w:pPr>
              <w:spacing w:after="0"/>
              <w:rPr>
                <w:sz w:val="24"/>
                <w:szCs w:val="24"/>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755,630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1,045,785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1,160,153</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10.9%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53.5%</w:t>
            </w:r>
          </w:p>
        </w:tc>
        <w:tc>
          <w:tcPr>
            <w:tcW w:w="0" w:type="dxa"/>
            <w:vAlign w:val="bottom"/>
          </w:tcPr>
          <w:p>
            <w:pPr>
              <w:spacing w:after="0"/>
              <w:rPr>
                <w:sz w:val="1"/>
                <w:szCs w:val="1"/>
                <w:color w:val="auto"/>
              </w:rPr>
            </w:pPr>
          </w:p>
        </w:tc>
      </w:tr>
      <w:tr>
        <w:trPr>
          <w:trHeight w:val="173"/>
        </w:trPr>
        <w:tc>
          <w:tcPr>
            <w:tcW w:w="62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5"/>
                <w:szCs w:val="15"/>
                <w:color w:val="auto"/>
              </w:rPr>
            </w:pP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(580)</w:t>
            </w:r>
          </w:p>
        </w:tc>
        <w:tc>
          <w:tcPr>
            <w:tcW w:w="920" w:type="dxa"/>
            <w:vAlign w:val="bottom"/>
          </w:tcPr>
          <w:p>
            <w:pPr>
              <w:jc w:val="right"/>
              <w:spacing w:after="0" w:line="174" w:lineRule="exact"/>
              <w:rPr>
                <w:sz w:val="20"/>
                <w:szCs w:val="20"/>
                <w:color w:val="auto"/>
              </w:rPr>
            </w:pPr>
            <w:r>
              <w:rPr>
                <w:rFonts w:ascii="Arial" w:cs="Arial" w:eastAsia="Arial" w:hAnsi="Arial"/>
                <w:sz w:val="16"/>
                <w:szCs w:val="16"/>
                <w:color w:val="auto"/>
              </w:rPr>
              <w:t>(5,979)</w:t>
            </w:r>
          </w:p>
        </w:tc>
        <w:tc>
          <w:tcPr>
            <w:tcW w:w="10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(5,157)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-13.7%</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4"/>
        </w:trPr>
        <w:tc>
          <w:tcPr>
            <w:tcW w:w="6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 attributable to BCP Consolidated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755,050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1,039,806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1,154,996</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53.0%</w:t>
            </w:r>
          </w:p>
        </w:tc>
        <w:tc>
          <w:tcPr>
            <w:tcW w:w="0" w:type="dxa"/>
            <w:vAlign w:val="bottom"/>
          </w:tcPr>
          <w:p>
            <w:pPr>
              <w:spacing w:after="0"/>
              <w:rPr>
                <w:sz w:val="1"/>
                <w:szCs w:val="1"/>
                <w:color w:val="auto"/>
              </w:rPr>
            </w:pPr>
          </w:p>
        </w:tc>
      </w:tr>
      <w:tr>
        <w:trPr>
          <w:trHeight w:val="467"/>
        </w:trPr>
        <w:tc>
          <w:tcPr>
            <w:tcW w:w="6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33"/>
        </w:trPr>
        <w:tc>
          <w:tcPr>
            <w:tcW w:w="6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80"/>
          </w:cols>
          <w:pgMar w:left="300" w:top="140" w:right="31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r>
    </w:p>
    <w:bookmarkStart w:id="58" w:name="page59"/>
    <w:bookmarkEnd w:id="58"/>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BANCO DE CREDITO DEL PERU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FINANCIAL INDICATORS</w:t>
      </w:r>
    </w:p>
    <w:p>
      <w:pPr>
        <w:spacing w:after="0" w:line="176" w:lineRule="exact"/>
        <w:rPr>
          <w:sz w:val="20"/>
          <w:szCs w:val="20"/>
          <w:color w:val="auto"/>
        </w:rPr>
      </w:pPr>
    </w:p>
    <w:tbl>
      <w:tblPr>
        <w:tblLayout w:type="fixed"/>
        <w:tblInd w:w="1150" w:type="dxa"/>
        <w:tblCellMar>
          <w:top w:w="0" w:type="dxa"/>
          <w:left w:w="0" w:type="dxa"/>
          <w:bottom w:w="0" w:type="dxa"/>
          <w:right w:w="0" w:type="dxa"/>
        </w:tblCellMar>
      </w:tblPr>
      <w:tr>
        <w:trPr>
          <w:trHeight w:val="176"/>
        </w:trPr>
        <w:tc>
          <w:tcPr>
            <w:tcW w:w="5980" w:type="dxa"/>
            <w:vAlign w:val="bottom"/>
            <w:tcBorders>
              <w:right w:val="single" w:sz="8" w:color="auto"/>
            </w:tcBorders>
          </w:tcPr>
          <w:p>
            <w:pPr>
              <w:spacing w:after="0"/>
              <w:rPr>
                <w:sz w:val="15"/>
                <w:szCs w:val="15"/>
                <w:color w:val="auto"/>
              </w:rPr>
            </w:pPr>
          </w:p>
        </w:tc>
        <w:tc>
          <w:tcPr>
            <w:tcW w:w="1100" w:type="dxa"/>
            <w:vAlign w:val="bottom"/>
            <w:tcBorders>
              <w:top w:val="single" w:sz="8" w:color="auto"/>
            </w:tcBorders>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60" w:type="dxa"/>
            <w:vAlign w:val="bottom"/>
            <w:tcBorders>
              <w:top w:val="single" w:sz="8" w:color="auto"/>
            </w:tcBorders>
            <w:shd w:val="clear" w:color="auto" w:fill="2AD2C9"/>
          </w:tcPr>
          <w:p>
            <w:pPr>
              <w:jc w:val="right"/>
              <w:ind w:right="301"/>
              <w:spacing w:after="0" w:line="176"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0" w:type="dxa"/>
            <w:vAlign w:val="bottom"/>
          </w:tcPr>
          <w:p>
            <w:pPr>
              <w:spacing w:after="0"/>
              <w:rPr>
                <w:sz w:val="1"/>
                <w:szCs w:val="1"/>
                <w:color w:val="auto"/>
              </w:rPr>
            </w:pPr>
          </w:p>
        </w:tc>
      </w:tr>
      <w:tr>
        <w:trPr>
          <w:trHeight w:val="194"/>
        </w:trPr>
        <w:tc>
          <w:tcPr>
            <w:tcW w:w="59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vMerge w:val="continue"/>
            <w:shd w:val="clear" w:color="auto" w:fill="2AD2C9"/>
          </w:tcPr>
          <w:p>
            <w:pPr>
              <w:spacing w:after="0"/>
              <w:rPr>
                <w:sz w:val="16"/>
                <w:szCs w:val="16"/>
                <w:color w:val="auto"/>
              </w:rPr>
            </w:pPr>
          </w:p>
        </w:tc>
        <w:tc>
          <w:tcPr>
            <w:tcW w:w="106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4Q21</w:t>
            </w:r>
          </w:p>
        </w:tc>
        <w:tc>
          <w:tcPr>
            <w:tcW w:w="8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98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6"/>
                <w:szCs w:val="16"/>
                <w:b w:val="1"/>
                <w:bCs w:val="1"/>
                <w:color w:val="auto"/>
              </w:rPr>
              <w:t>Profitability</w:t>
            </w: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Earnings per share </w:t>
            </w:r>
            <w:r>
              <w:rPr>
                <w:rFonts w:ascii="Arial" w:cs="Arial" w:eastAsia="Arial" w:hAnsi="Arial"/>
                <w:sz w:val="20"/>
                <w:szCs w:val="20"/>
                <w:color w:val="auto"/>
                <w:vertAlign w:val="superscript"/>
              </w:rPr>
              <w:t>(1)</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0.062</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0.085</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0.095</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20"/>
                <w:szCs w:val="20"/>
                <w:color w:val="auto"/>
                <w:vertAlign w:val="subscript"/>
              </w:rPr>
              <w:t>ROAA</w:t>
            </w:r>
            <w:r>
              <w:rPr>
                <w:rFonts w:ascii="Arial" w:cs="Arial" w:eastAsia="Arial" w:hAnsi="Arial"/>
                <w:sz w:val="10"/>
                <w:szCs w:val="10"/>
                <w:color w:val="auto"/>
              </w:rPr>
              <w:t xml:space="preserve"> (2)(3)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1.5%</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2.1%</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20"/>
                <w:szCs w:val="20"/>
                <w:color w:val="auto"/>
                <w:vertAlign w:val="subscript"/>
              </w:rPr>
              <w:t>ROAE</w:t>
            </w:r>
            <w:r>
              <w:rPr>
                <w:rFonts w:ascii="Arial" w:cs="Arial" w:eastAsia="Arial" w:hAnsi="Arial"/>
                <w:sz w:val="10"/>
                <w:szCs w:val="10"/>
                <w:color w:val="auto"/>
              </w:rPr>
              <w:t xml:space="preserve"> (2)(3)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16.6%</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20.7%</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0"/>
                <w:szCs w:val="20"/>
                <w:color w:val="auto"/>
                <w:vertAlign w:val="superscript"/>
              </w:rPr>
              <w:t>(2)(3)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3.82%</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4.45%</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Risk adjusted NIM </w:t>
            </w:r>
            <w:r>
              <w:rPr>
                <w:rFonts w:ascii="Arial" w:cs="Arial" w:eastAsia="Arial" w:hAnsi="Arial"/>
                <w:sz w:val="20"/>
                <w:szCs w:val="20"/>
                <w:color w:val="auto"/>
                <w:vertAlign w:val="superscript"/>
              </w:rPr>
              <w:t>(2)(3)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2.74%</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4.19%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5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Funding Cost </w:t>
            </w:r>
            <w:r>
              <w:rPr>
                <w:rFonts w:ascii="Arial" w:cs="Arial" w:eastAsia="Arial" w:hAnsi="Arial"/>
                <w:sz w:val="26"/>
                <w:szCs w:val="26"/>
                <w:color w:val="auto"/>
                <w:vertAlign w:val="superscript"/>
              </w:rPr>
              <w:t>(2)(3)(4)</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1.26%</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1.05%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Quality of loan portfolio</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IOL ratio</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3.71%</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4.02%</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NPL ratio</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5.11%</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5.33%</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Coverage of IOLs</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196.1%</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146.4%</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169"/>
        </w:trPr>
        <w:tc>
          <w:tcPr>
            <w:tcW w:w="59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Coverage of NPLs</w:t>
            </w:r>
          </w:p>
        </w:tc>
        <w:tc>
          <w:tcPr>
            <w:tcW w:w="1100" w:type="dxa"/>
            <w:vAlign w:val="bottom"/>
          </w:tcPr>
          <w:p>
            <w:pPr>
              <w:jc w:val="right"/>
              <w:ind w:right="21"/>
              <w:spacing w:after="0" w:line="169" w:lineRule="exact"/>
              <w:rPr>
                <w:sz w:val="20"/>
                <w:szCs w:val="20"/>
                <w:color w:val="auto"/>
              </w:rPr>
            </w:pPr>
            <w:r>
              <w:rPr>
                <w:rFonts w:ascii="Arial" w:cs="Arial" w:eastAsia="Arial" w:hAnsi="Arial"/>
                <w:sz w:val="16"/>
                <w:szCs w:val="16"/>
                <w:color w:val="auto"/>
              </w:rPr>
              <w:t>142.3%</w:t>
            </w:r>
          </w:p>
        </w:tc>
        <w:tc>
          <w:tcPr>
            <w:tcW w:w="10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110.6%</w:t>
            </w:r>
          </w:p>
        </w:tc>
        <w:tc>
          <w:tcPr>
            <w:tcW w:w="8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106.2%</w:t>
            </w:r>
          </w:p>
        </w:tc>
        <w:tc>
          <w:tcPr>
            <w:tcW w:w="0" w:type="dxa"/>
            <w:vAlign w:val="bottom"/>
          </w:tcPr>
          <w:p>
            <w:pPr>
              <w:spacing w:after="0"/>
              <w:rPr>
                <w:sz w:val="1"/>
                <w:szCs w:val="1"/>
                <w:color w:val="auto"/>
              </w:rPr>
            </w:pPr>
          </w:p>
        </w:tc>
      </w:tr>
      <w:tr>
        <w:trPr>
          <w:trHeight w:val="35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Cost of risk </w:t>
            </w:r>
            <w:r>
              <w:rPr>
                <w:rFonts w:ascii="Arial" w:cs="Arial" w:eastAsia="Arial" w:hAnsi="Arial"/>
                <w:sz w:val="26"/>
                <w:szCs w:val="26"/>
                <w:color w:val="auto"/>
                <w:vertAlign w:val="superscript"/>
              </w:rPr>
              <w:t>(5)</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1.68%</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0.38%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0.77%</w:t>
            </w:r>
          </w:p>
        </w:tc>
        <w:tc>
          <w:tcPr>
            <w:tcW w:w="0" w:type="dxa"/>
            <w:vAlign w:val="bottom"/>
          </w:tcPr>
          <w:p>
            <w:pPr>
              <w:spacing w:after="0"/>
              <w:rPr>
                <w:sz w:val="1"/>
                <w:szCs w:val="1"/>
                <w:color w:val="auto"/>
              </w:rPr>
            </w:pPr>
          </w:p>
        </w:tc>
      </w:tr>
      <w:tr>
        <w:trPr>
          <w:trHeight w:val="169"/>
        </w:trPr>
        <w:tc>
          <w:tcPr>
            <w:tcW w:w="59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Operating efficiency</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Oper. expenses as a percent. of total income - reported </w:t>
            </w:r>
            <w:r>
              <w:rPr>
                <w:rFonts w:ascii="Arial" w:cs="Arial" w:eastAsia="Arial" w:hAnsi="Arial"/>
                <w:sz w:val="20"/>
                <w:szCs w:val="20"/>
                <w:color w:val="auto"/>
                <w:vertAlign w:val="superscript"/>
              </w:rPr>
              <w:t>(6)</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43.7%</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48.7%</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35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Oper. expenses as a percent. of av. tot. assets </w:t>
            </w:r>
            <w:r>
              <w:rPr>
                <w:rFonts w:ascii="Arial" w:cs="Arial" w:eastAsia="Arial" w:hAnsi="Arial"/>
                <w:sz w:val="26"/>
                <w:szCs w:val="26"/>
                <w:color w:val="auto"/>
                <w:vertAlign w:val="superscript"/>
              </w:rPr>
              <w:t>(2)(3)(6)</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2.34%</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Share Information</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 of outstanding shares (Million)</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12,176</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12,176</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12,176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hanging="133"/>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Shares outstanding of 12,176 million is used for all periods since shares have been issued only for capitalization of profits.</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Ratios are annualized.</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Averages are determined as the average of period-beginning and period-ending balances.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Cost of risk: Annualized provision for loan losses / Total loans.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0"/>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59" w:name="page60"/>
    <w:bookmarkEnd w:id="59"/>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12.5.4. BCP Stand-alone</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7300" w:type="dxa"/>
            <w:vAlign w:val="bottom"/>
            <w:gridSpan w:val="2"/>
          </w:tcPr>
          <w:p>
            <w:pPr>
              <w:jc w:val="center"/>
              <w:ind w:left="3901"/>
              <w:spacing w:after="0"/>
              <w:rPr>
                <w:sz w:val="20"/>
                <w:szCs w:val="20"/>
                <w:color w:val="auto"/>
              </w:rPr>
            </w:pPr>
            <w:r>
              <w:rPr>
                <w:rFonts w:ascii="Times New Roman" w:cs="Times New Roman" w:eastAsia="Times New Roman" w:hAnsi="Times New Roman"/>
                <w:sz w:val="16"/>
                <w:szCs w:val="16"/>
                <w:b w:val="1"/>
                <w:bCs w:val="1"/>
                <w:color w:val="auto"/>
                <w:w w:val="98"/>
              </w:rPr>
              <w:t>BANCO DE CREDITO DEL PERU</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300" w:type="dxa"/>
            <w:vAlign w:val="bottom"/>
            <w:gridSpan w:val="2"/>
          </w:tcPr>
          <w:p>
            <w:pPr>
              <w:jc w:val="center"/>
              <w:ind w:left="3901"/>
              <w:spacing w:after="0"/>
              <w:rPr>
                <w:sz w:val="20"/>
                <w:szCs w:val="20"/>
                <w:color w:val="auto"/>
              </w:rPr>
            </w:pPr>
            <w:r>
              <w:rPr>
                <w:rFonts w:ascii="Times New Roman" w:cs="Times New Roman" w:eastAsia="Times New Roman" w:hAnsi="Times New Roman"/>
                <w:sz w:val="16"/>
                <w:szCs w:val="16"/>
                <w:b w:val="1"/>
                <w:bCs w:val="1"/>
                <w:color w:val="auto"/>
                <w:w w:val="98"/>
              </w:rPr>
              <w:t>STATEMENT OF FINANCIAL POSITION</w:t>
            </w: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300" w:type="dxa"/>
            <w:vAlign w:val="bottom"/>
            <w:gridSpan w:val="2"/>
          </w:tcPr>
          <w:p>
            <w:pPr>
              <w:jc w:val="center"/>
              <w:ind w:left="3901"/>
              <w:spacing w:after="0"/>
              <w:rPr>
                <w:sz w:val="20"/>
                <w:szCs w:val="20"/>
                <w:color w:val="auto"/>
              </w:rPr>
            </w:pPr>
            <w:r>
              <w:rPr>
                <w:rFonts w:ascii="Times New Roman" w:cs="Times New Roman" w:eastAsia="Times New Roman" w:hAnsi="Times New Roman"/>
                <w:sz w:val="16"/>
                <w:szCs w:val="16"/>
                <w:b w:val="1"/>
                <w:bCs w:val="1"/>
                <w:color w:val="auto"/>
              </w:rPr>
              <w:t>(S/ thousands, IFRS)</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2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6220" w:type="dxa"/>
            <w:vAlign w:val="bottom"/>
            <w:tcBorders>
              <w:right w:val="single" w:sz="8" w:color="auto"/>
            </w:tcBorders>
          </w:tcPr>
          <w:p>
            <w:pPr>
              <w:spacing w:after="0"/>
              <w:rPr>
                <w:sz w:val="13"/>
                <w:szCs w:val="13"/>
                <w:color w:val="auto"/>
              </w:rPr>
            </w:pPr>
          </w:p>
        </w:tc>
        <w:tc>
          <w:tcPr>
            <w:tcW w:w="1080" w:type="dxa"/>
            <w:vAlign w:val="bottom"/>
            <w:vMerge w:val="restart"/>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Mar 21</w:t>
            </w:r>
          </w:p>
        </w:tc>
        <w:tc>
          <w:tcPr>
            <w:tcW w:w="1040" w:type="dxa"/>
            <w:vAlign w:val="bottom"/>
            <w:shd w:val="clear" w:color="auto" w:fill="2AD2C9"/>
          </w:tcPr>
          <w:p>
            <w:pPr>
              <w:jc w:val="right"/>
              <w:ind w:right="301"/>
              <w:spacing w:after="0" w:line="155" w:lineRule="exact"/>
              <w:rPr>
                <w:sz w:val="20"/>
                <w:szCs w:val="20"/>
                <w:color w:val="auto"/>
              </w:rPr>
            </w:pPr>
            <w:r>
              <w:rPr>
                <w:rFonts w:ascii="Arial" w:cs="Arial" w:eastAsia="Arial" w:hAnsi="Arial"/>
                <w:sz w:val="16"/>
                <w:szCs w:val="16"/>
                <w:b w:val="1"/>
                <w:bCs w:val="1"/>
                <w:color w:val="FFFFFF"/>
              </w:rPr>
              <w:t>As of</w:t>
            </w:r>
          </w:p>
        </w:tc>
        <w:tc>
          <w:tcPr>
            <w:tcW w:w="1000" w:type="dxa"/>
            <w:vAlign w:val="bottom"/>
            <w:tcBorders>
              <w:right w:val="single" w:sz="8" w:color="auto"/>
            </w:tcBorders>
            <w:vMerge w:val="restart"/>
            <w:shd w:val="clear" w:color="auto" w:fill="2AD2C9"/>
          </w:tcPr>
          <w:p>
            <w:pPr>
              <w:jc w:val="right"/>
              <w:ind w:right="221"/>
              <w:spacing w:after="0"/>
              <w:rPr>
                <w:sz w:val="20"/>
                <w:szCs w:val="20"/>
                <w:color w:val="auto"/>
              </w:rPr>
            </w:pPr>
            <w:r>
              <w:rPr>
                <w:rFonts w:ascii="Arial" w:cs="Arial" w:eastAsia="Arial" w:hAnsi="Arial"/>
                <w:sz w:val="16"/>
                <w:szCs w:val="16"/>
                <w:b w:val="1"/>
                <w:bCs w:val="1"/>
                <w:color w:val="FFFFFF"/>
              </w:rPr>
              <w:t>Mar 22</w:t>
            </w:r>
          </w:p>
        </w:tc>
        <w:tc>
          <w:tcPr>
            <w:tcW w:w="1940" w:type="dxa"/>
            <w:vAlign w:val="bottom"/>
            <w:tcBorders>
              <w:right w:val="single" w:sz="8" w:color="auto"/>
            </w:tcBorders>
            <w:gridSpan w:val="2"/>
            <w:shd w:val="clear" w:color="auto" w:fill="2AD2C9"/>
          </w:tcPr>
          <w:p>
            <w:pPr>
              <w:jc w:val="right"/>
              <w:ind w:right="54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22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vMerge w:val="continue"/>
            <w:shd w:val="clear" w:color="auto" w:fill="2AD2C9"/>
          </w:tcPr>
          <w:p>
            <w:pPr>
              <w:spacing w:after="0"/>
              <w:rPr>
                <w:sz w:val="16"/>
                <w:szCs w:val="16"/>
                <w:color w:val="auto"/>
              </w:rPr>
            </w:pPr>
          </w:p>
        </w:tc>
        <w:tc>
          <w:tcPr>
            <w:tcW w:w="1040" w:type="dxa"/>
            <w:vAlign w:val="bottom"/>
            <w:tcBorders>
              <w:bottom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Dec 21</w:t>
            </w:r>
          </w:p>
        </w:tc>
        <w:tc>
          <w:tcPr>
            <w:tcW w:w="100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40" w:type="dxa"/>
            <w:vAlign w:val="bottom"/>
            <w:tcBorders>
              <w:bottom w:val="single" w:sz="8" w:color="auto"/>
            </w:tcBorders>
            <w:shd w:val="clear" w:color="auto" w:fill="2AD2C9"/>
          </w:tcPr>
          <w:p>
            <w:pPr>
              <w:jc w:val="right"/>
              <w:ind w:right="401"/>
              <w:spacing w:after="0"/>
              <w:rPr>
                <w:sz w:val="20"/>
                <w:szCs w:val="20"/>
                <w:color w:val="auto"/>
              </w:rPr>
            </w:pPr>
            <w:r>
              <w:rPr>
                <w:rFonts w:ascii="Arial" w:cs="Arial" w:eastAsia="Arial" w:hAnsi="Arial"/>
                <w:sz w:val="16"/>
                <w:szCs w:val="16"/>
                <w:b w:val="1"/>
                <w:bCs w:val="1"/>
                <w:color w:val="FFFFFF"/>
              </w:rPr>
              <w:t>QoQ</w:t>
            </w:r>
          </w:p>
        </w:tc>
        <w:tc>
          <w:tcPr>
            <w:tcW w:w="800" w:type="dxa"/>
            <w:vAlign w:val="bottom"/>
            <w:tcBorders>
              <w:bottom w:val="single" w:sz="8" w:color="auto"/>
              <w:right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22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Cash and due from banks</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Non-interest bearing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4,774,267</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4,366,498</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4,429,348</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1.4%</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Interest bearing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29,710,731</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29,965,362</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27,448,742</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-8.4%</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Total cash and due from banks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34,484,998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34,331,860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31,878,090</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-7.1%</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336"/>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Cash collateral, reverse repurchase agreements and securities borrowing</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772,790</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344,460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202,127</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-41.3%</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-73.8%</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Fair value through profit or loss investments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3,549,042</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1,261,896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729,168</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-42.2%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-79.5%</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Fair value through other comprehensive income investments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30,302,999</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18,041,469</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18,749,758</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3.9%</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-38.1%</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Amortized cost investments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5,174,978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7,384,150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7,249,994</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40.1%</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Loans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112,597,400</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122,752,170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120,541,004</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7.1%</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Current</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109,158,605</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118,242,794</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115,852,249</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Internal overdue loans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3,438,795</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4,509,376</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4,688,755</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Less - allowance for loan losses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(7,218,294)</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(6,786,094)</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(6,616,033)</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Loans, net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105,379,106</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115,966,076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113,924,971</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line="291" w:lineRule="exact"/>
              <w:rPr>
                <w:sz w:val="20"/>
                <w:szCs w:val="20"/>
                <w:color w:val="auto"/>
              </w:rPr>
            </w:pPr>
            <w:r>
              <w:rPr>
                <w:rFonts w:ascii="Arial" w:cs="Arial" w:eastAsia="Arial" w:hAnsi="Arial"/>
                <w:sz w:val="16"/>
                <w:szCs w:val="16"/>
                <w:b w:val="1"/>
                <w:bCs w:val="1"/>
                <w:color w:val="auto"/>
              </w:rPr>
              <w:t xml:space="preserve">Property, furniture and equipment, net </w:t>
            </w:r>
            <w:r>
              <w:rPr>
                <w:rFonts w:ascii="Arial" w:cs="Arial" w:eastAsia="Arial" w:hAnsi="Arial"/>
                <w:sz w:val="26"/>
                <w:szCs w:val="26"/>
                <w:b w:val="1"/>
                <w:bCs w:val="1"/>
                <w:color w:val="auto"/>
                <w:vertAlign w:val="superscript"/>
              </w:rPr>
              <w:t>(1)</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1,386,433</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1,332,705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1,314,065</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Due from customers on acceptances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532,584</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532,404</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524,448</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69"/>
        </w:trPr>
        <w:tc>
          <w:tcPr>
            <w:tcW w:w="622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Investments in associates</w:t>
            </w:r>
          </w:p>
        </w:tc>
        <w:tc>
          <w:tcPr>
            <w:tcW w:w="108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rPr>
              <w:t>2,106,918</w:t>
            </w:r>
          </w:p>
        </w:tc>
        <w:tc>
          <w:tcPr>
            <w:tcW w:w="10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2,333,611</w:t>
            </w:r>
          </w:p>
        </w:tc>
        <w:tc>
          <w:tcPr>
            <w:tcW w:w="10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2,429,540</w:t>
            </w:r>
          </w:p>
        </w:tc>
        <w:tc>
          <w:tcPr>
            <w:tcW w:w="114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4.1%</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15.3%</w:t>
            </w:r>
          </w:p>
        </w:tc>
        <w:tc>
          <w:tcPr>
            <w:tcW w:w="0" w:type="dxa"/>
            <w:vAlign w:val="bottom"/>
          </w:tcPr>
          <w:p>
            <w:pPr>
              <w:spacing w:after="0"/>
              <w:rPr>
                <w:sz w:val="1"/>
                <w:szCs w:val="1"/>
                <w:color w:val="auto"/>
              </w:rPr>
            </w:pPr>
          </w:p>
        </w:tc>
      </w:tr>
      <w:tr>
        <w:trPr>
          <w:trHeight w:val="340"/>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 xml:space="preserve">Other assets </w:t>
            </w:r>
            <w:r>
              <w:rPr>
                <w:rFonts w:ascii="Arial" w:cs="Arial" w:eastAsia="Arial" w:hAnsi="Arial"/>
                <w:sz w:val="26"/>
                <w:szCs w:val="26"/>
                <w:b w:val="1"/>
                <w:bCs w:val="1"/>
                <w:color w:val="auto"/>
                <w:vertAlign w:val="superscript"/>
              </w:rPr>
              <w:t>(2)</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5,485,436</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5,492,025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5,360,983</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Total Assets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189,175,284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187,020,656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182,363,144</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Deposits and obligations</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Non-interest bearing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44,464,518</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44,590,124</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45,294,239</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1.6%</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Interest bearing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80,288,334</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79,200,967</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76,416,598</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Total deposits and obligations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124,752,852</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123,791,091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121,710,837</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-1.7%</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Payables from repurchase agreements and securities lending</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22,313,686</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18,042,526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16,093,566</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-10.8%</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-27.9%</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BCRP instruments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21,777,527</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17,484,261</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15,561,430</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Repurchase agreements with third parties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536,159</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558,265</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532,137</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-4.7%</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Due to banks and correspondents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4,288,270</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5,842,071</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4,905,616</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-16.0%</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14.4%</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Bonds and notes issued</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15,010,690</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14,294,675</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13,319,276</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-6.8%</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-11.3%</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Banker’s acceptances outstanding</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b w:val="1"/>
                <w:bCs w:val="1"/>
                <w:color w:val="auto"/>
              </w:rPr>
              <w:t>532,584</w:t>
            </w:r>
          </w:p>
        </w:tc>
        <w:tc>
          <w:tcPr>
            <w:tcW w:w="104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532,404</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524,448</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169"/>
        </w:trPr>
        <w:tc>
          <w:tcPr>
            <w:tcW w:w="622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Financial liabilities at fair value through profit or loss</w:t>
            </w:r>
          </w:p>
        </w:tc>
        <w:tc>
          <w:tcPr>
            <w:tcW w:w="1080" w:type="dxa"/>
            <w:vAlign w:val="bottom"/>
          </w:tcPr>
          <w:p>
            <w:pPr>
              <w:jc w:val="right"/>
              <w:ind w:right="1"/>
              <w:spacing w:after="0" w:line="169" w:lineRule="exact"/>
              <w:rPr>
                <w:sz w:val="20"/>
                <w:szCs w:val="20"/>
                <w:color w:val="auto"/>
              </w:rPr>
            </w:pPr>
            <w:r>
              <w:rPr>
                <w:rFonts w:ascii="Arial" w:cs="Arial" w:eastAsia="Arial" w:hAnsi="Arial"/>
                <w:sz w:val="16"/>
                <w:szCs w:val="16"/>
                <w:b w:val="1"/>
                <w:bCs w:val="1"/>
                <w:color w:val="auto"/>
              </w:rPr>
              <w:t>461,069</w:t>
            </w:r>
          </w:p>
        </w:tc>
        <w:tc>
          <w:tcPr>
            <w:tcW w:w="10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10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81"/>
              <w:spacing w:after="0" w:line="169" w:lineRule="exact"/>
              <w:rPr>
                <w:sz w:val="20"/>
                <w:szCs w:val="20"/>
                <w:color w:val="auto"/>
              </w:rPr>
            </w:pPr>
            <w:r>
              <w:rPr>
                <w:rFonts w:ascii="Arial" w:cs="Arial" w:eastAsia="Arial" w:hAnsi="Arial"/>
                <w:sz w:val="16"/>
                <w:szCs w:val="16"/>
                <w:b w:val="1"/>
                <w:bCs w:val="1"/>
                <w:color w:val="auto"/>
              </w:rPr>
              <w:t>n.a</w:t>
            </w:r>
          </w:p>
        </w:tc>
        <w:tc>
          <w:tcPr>
            <w:tcW w:w="8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78"/>
        </w:trPr>
        <w:tc>
          <w:tcPr>
            <w:tcW w:w="622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b w:val="1"/>
                <w:bCs w:val="1"/>
                <w:color w:val="auto"/>
              </w:rPr>
              <w:t xml:space="preserve">Other liabilities </w:t>
            </w:r>
            <w:r>
              <w:rPr>
                <w:rFonts w:ascii="Arial" w:cs="Arial" w:eastAsia="Arial" w:hAnsi="Arial"/>
                <w:sz w:val="20"/>
                <w:szCs w:val="20"/>
                <w:b w:val="1"/>
                <w:bCs w:val="1"/>
                <w:color w:val="auto"/>
                <w:vertAlign w:val="superscript"/>
              </w:rPr>
              <w:t>(3)</w:t>
            </w:r>
          </w:p>
        </w:tc>
        <w:tc>
          <w:tcPr>
            <w:tcW w:w="1080" w:type="dxa"/>
            <w:vAlign w:val="bottom"/>
          </w:tcPr>
          <w:p>
            <w:pPr>
              <w:jc w:val="right"/>
              <w:ind w:right="1"/>
              <w:spacing w:after="0" w:line="178" w:lineRule="exact"/>
              <w:rPr>
                <w:sz w:val="20"/>
                <w:szCs w:val="20"/>
                <w:color w:val="auto"/>
              </w:rPr>
            </w:pPr>
            <w:r>
              <w:rPr>
                <w:rFonts w:ascii="Arial" w:cs="Arial" w:eastAsia="Arial" w:hAnsi="Arial"/>
                <w:sz w:val="16"/>
                <w:szCs w:val="16"/>
                <w:b w:val="1"/>
                <w:bCs w:val="1"/>
                <w:color w:val="auto"/>
              </w:rPr>
              <w:t>3,648,048</w:t>
            </w:r>
          </w:p>
        </w:tc>
        <w:tc>
          <w:tcPr>
            <w:tcW w:w="1040" w:type="dxa"/>
            <w:vAlign w:val="bottom"/>
          </w:tcPr>
          <w:p>
            <w:pPr>
              <w:jc w:val="right"/>
              <w:spacing w:after="0" w:line="178" w:lineRule="exact"/>
              <w:rPr>
                <w:sz w:val="20"/>
                <w:szCs w:val="20"/>
                <w:color w:val="auto"/>
              </w:rPr>
            </w:pPr>
            <w:r>
              <w:rPr>
                <w:rFonts w:ascii="Arial" w:cs="Arial" w:eastAsia="Arial" w:hAnsi="Arial"/>
                <w:sz w:val="16"/>
                <w:szCs w:val="16"/>
                <w:b w:val="1"/>
                <w:bCs w:val="1"/>
                <w:color w:val="auto"/>
              </w:rPr>
              <w:t>3,884,639</w:t>
            </w:r>
          </w:p>
        </w:tc>
        <w:tc>
          <w:tcPr>
            <w:tcW w:w="10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5,668,164</w:t>
            </w:r>
          </w:p>
        </w:tc>
        <w:tc>
          <w:tcPr>
            <w:tcW w:w="1140" w:type="dxa"/>
            <w:vAlign w:val="bottom"/>
          </w:tcPr>
          <w:p>
            <w:pPr>
              <w:jc w:val="right"/>
              <w:ind w:right="81"/>
              <w:spacing w:after="0" w:line="178" w:lineRule="exact"/>
              <w:rPr>
                <w:sz w:val="20"/>
                <w:szCs w:val="20"/>
                <w:color w:val="auto"/>
              </w:rPr>
            </w:pPr>
            <w:r>
              <w:rPr>
                <w:rFonts w:ascii="Arial" w:cs="Arial" w:eastAsia="Arial" w:hAnsi="Arial"/>
                <w:sz w:val="16"/>
                <w:szCs w:val="16"/>
                <w:b w:val="1"/>
                <w:bCs w:val="1"/>
                <w:color w:val="auto"/>
              </w:rPr>
              <w:t>45.9%</w:t>
            </w:r>
          </w:p>
        </w:tc>
        <w:tc>
          <w:tcPr>
            <w:tcW w:w="8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55.4%</w:t>
            </w:r>
          </w:p>
        </w:tc>
        <w:tc>
          <w:tcPr>
            <w:tcW w:w="0" w:type="dxa"/>
            <w:vAlign w:val="bottom"/>
          </w:tcPr>
          <w:p>
            <w:pPr>
              <w:spacing w:after="0"/>
              <w:rPr>
                <w:sz w:val="1"/>
                <w:szCs w:val="1"/>
                <w:color w:val="auto"/>
              </w:rPr>
            </w:pPr>
          </w:p>
        </w:tc>
      </w:tr>
      <w:tr>
        <w:trPr>
          <w:trHeight w:val="218"/>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Total Liabilities</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171,007,199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166,387,406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162,221,907</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18,168,085</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20,633,250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20,141,237</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Capital stock</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11,024,006</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11,024,006</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11,882,984</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7.8%</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Reserves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6,488,641</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6,488,969</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7,297,648</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12.5%</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Unrealized gains and losses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(68,242)</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(495,371)</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(780,063)</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n.a.</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0"/>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Retained earnings</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723,680</w:t>
            </w:r>
          </w:p>
        </w:tc>
        <w:tc>
          <w:tcPr>
            <w:tcW w:w="1040" w:type="dxa"/>
            <w:vAlign w:val="bottom"/>
          </w:tcPr>
          <w:p>
            <w:pPr>
              <w:jc w:val="right"/>
              <w:spacing w:after="0"/>
              <w:rPr>
                <w:sz w:val="20"/>
                <w:szCs w:val="20"/>
                <w:color w:val="auto"/>
              </w:rPr>
            </w:pPr>
            <w:r>
              <w:rPr>
                <w:rFonts w:ascii="Arial" w:cs="Arial" w:eastAsia="Arial" w:hAnsi="Arial"/>
                <w:sz w:val="16"/>
                <w:szCs w:val="16"/>
                <w:color w:val="auto"/>
              </w:rPr>
              <w:t>3,615,646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1,740,668</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-51.9%</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344"/>
        </w:trPr>
        <w:tc>
          <w:tcPr>
            <w:tcW w:w="6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Total Net Equity</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18,168,085</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20,633,250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20,141,237</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-2.4%</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10.9%</w:t>
            </w:r>
          </w:p>
        </w:tc>
        <w:tc>
          <w:tcPr>
            <w:tcW w:w="0" w:type="dxa"/>
            <w:vAlign w:val="bottom"/>
          </w:tcPr>
          <w:p>
            <w:pPr>
              <w:spacing w:after="0"/>
              <w:rPr>
                <w:sz w:val="1"/>
                <w:szCs w:val="1"/>
                <w:color w:val="auto"/>
              </w:rPr>
            </w:pPr>
          </w:p>
        </w:tc>
      </w:tr>
      <w:tr>
        <w:trPr>
          <w:trHeight w:val="336"/>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189,175,284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187,020,656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182,363,144</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-2.5%</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91"/>
        </w:trPr>
        <w:tc>
          <w:tcPr>
            <w:tcW w:w="6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Off-balance sheet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117,468,548</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133,169,883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127,873,817</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-4.0%</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Total performance bonds, stand-by and L/Cs.</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20,320,875</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21,203,561</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19,638,213</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-7.4%</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73"/>
        </w:trPr>
        <w:tc>
          <w:tcPr>
            <w:tcW w:w="622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Undrawn credit lines, advised but not committed</w:t>
            </w:r>
          </w:p>
        </w:tc>
        <w:tc>
          <w:tcPr>
            <w:tcW w:w="1080" w:type="dxa"/>
            <w:vAlign w:val="bottom"/>
          </w:tcPr>
          <w:p>
            <w:pPr>
              <w:jc w:val="right"/>
              <w:ind w:right="1"/>
              <w:spacing w:after="0" w:line="174" w:lineRule="exact"/>
              <w:rPr>
                <w:sz w:val="20"/>
                <w:szCs w:val="20"/>
                <w:color w:val="auto"/>
              </w:rPr>
            </w:pPr>
            <w:r>
              <w:rPr>
                <w:rFonts w:ascii="Arial" w:cs="Arial" w:eastAsia="Arial" w:hAnsi="Arial"/>
                <w:sz w:val="16"/>
                <w:szCs w:val="16"/>
                <w:color w:val="auto"/>
              </w:rPr>
              <w:t>74,532,576</w:t>
            </w:r>
          </w:p>
        </w:tc>
        <w:tc>
          <w:tcPr>
            <w:tcW w:w="1040" w:type="dxa"/>
            <w:vAlign w:val="bottom"/>
          </w:tcPr>
          <w:p>
            <w:pPr>
              <w:jc w:val="right"/>
              <w:spacing w:after="0" w:line="174" w:lineRule="exact"/>
              <w:rPr>
                <w:sz w:val="20"/>
                <w:szCs w:val="20"/>
                <w:color w:val="auto"/>
              </w:rPr>
            </w:pPr>
            <w:r>
              <w:rPr>
                <w:rFonts w:ascii="Arial" w:cs="Arial" w:eastAsia="Arial" w:hAnsi="Arial"/>
                <w:sz w:val="16"/>
                <w:szCs w:val="16"/>
                <w:color w:val="auto"/>
              </w:rPr>
              <w:t>73,424,937</w:t>
            </w:r>
          </w:p>
        </w:tc>
        <w:tc>
          <w:tcPr>
            <w:tcW w:w="10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68,137,602</w:t>
            </w:r>
          </w:p>
        </w:tc>
        <w:tc>
          <w:tcPr>
            <w:tcW w:w="11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-7.2%</w:t>
            </w:r>
          </w:p>
        </w:tc>
        <w:tc>
          <w:tcPr>
            <w:tcW w:w="80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94"/>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derivatives (notional) and others</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22,615,097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38,541,385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40,098,002</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4.0%</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 w:hanging="133"/>
        <w:spacing w:after="0"/>
        <w:tabs>
          <w:tab w:leader="none" w:pos="14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includes intangible assets, other receivable accounts and tax credit.</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includes other payable accounts.</w:t>
      </w:r>
    </w:p>
    <w:p>
      <w:pPr>
        <w:spacing w:after="0" w:line="48" w:lineRule="exact"/>
        <w:rPr>
          <w:rFonts w:ascii="Times New Roman" w:cs="Times New Roman" w:eastAsia="Times New Roman" w:hAnsi="Times New Roman"/>
          <w:sz w:val="9"/>
          <w:szCs w:val="9"/>
          <w:color w:val="auto"/>
        </w:rPr>
      </w:pPr>
    </w:p>
    <w:p>
      <w:pPr>
        <w:ind w:left="160" w:hanging="153"/>
        <w:spacing w:after="0"/>
        <w:tabs>
          <w:tab w:leader="none" w:pos="160" w:val="left"/>
        </w:tabs>
        <w:numPr>
          <w:ilvl w:val="0"/>
          <w:numId w:val="51"/>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Mainly includes sundry accounts payable.</w:t>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60" w:name="page61"/>
    <w:bookmarkEnd w:id="60"/>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BANCO DE CREDITO DEL PERU</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INCOME</w:t>
      </w:r>
    </w:p>
    <w:p>
      <w:pPr>
        <w:jc w:val="center"/>
        <w:spacing w:after="0"/>
        <w:rPr>
          <w:sz w:val="20"/>
          <w:szCs w:val="20"/>
          <w:color w:val="auto"/>
        </w:rPr>
      </w:pPr>
      <w:r>
        <w:rPr>
          <w:rFonts w:ascii="Times New Roman" w:cs="Times New Roman" w:eastAsia="Times New Roman" w:hAnsi="Times New Roman"/>
          <w:sz w:val="16"/>
          <w:szCs w:val="16"/>
          <w:b w:val="1"/>
          <w:bCs w:val="1"/>
          <w:color w:val="auto"/>
        </w:rPr>
        <w:t>(S/ thousands, IFRS)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6500" w:type="dxa"/>
            <w:vAlign w:val="bottom"/>
            <w:tcBorders>
              <w:right w:val="single" w:sz="8" w:color="auto"/>
            </w:tcBorders>
          </w:tcPr>
          <w:p>
            <w:pPr>
              <w:spacing w:after="0"/>
              <w:rPr>
                <w:sz w:val="15"/>
                <w:szCs w:val="15"/>
                <w:color w:val="auto"/>
              </w:rPr>
            </w:pPr>
          </w:p>
        </w:tc>
        <w:tc>
          <w:tcPr>
            <w:tcW w:w="1100" w:type="dxa"/>
            <w:vAlign w:val="bottom"/>
            <w:tcBorders>
              <w:top w:val="single" w:sz="8" w:color="auto"/>
            </w:tcBorders>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100" w:type="dxa"/>
            <w:vAlign w:val="bottom"/>
            <w:tcBorders>
              <w:top w:val="single" w:sz="8" w:color="auto"/>
            </w:tcBorders>
            <w:shd w:val="clear" w:color="auto" w:fill="2AD2C9"/>
          </w:tcPr>
          <w:p>
            <w:pPr>
              <w:jc w:val="right"/>
              <w:ind w:right="261"/>
              <w:spacing w:after="0" w:line="176" w:lineRule="exact"/>
              <w:rPr>
                <w:sz w:val="20"/>
                <w:szCs w:val="20"/>
                <w:color w:val="auto"/>
              </w:rPr>
            </w:pPr>
            <w:r>
              <w:rPr>
                <w:rFonts w:ascii="Arial" w:cs="Arial" w:eastAsia="Arial" w:hAnsi="Arial"/>
                <w:sz w:val="16"/>
                <w:szCs w:val="16"/>
                <w:b w:val="1"/>
                <w:bCs w:val="1"/>
                <w:color w:val="FFFFFF"/>
              </w:rPr>
              <w:t>Quarter</w:t>
            </w:r>
          </w:p>
        </w:tc>
        <w:tc>
          <w:tcPr>
            <w:tcW w:w="960" w:type="dxa"/>
            <w:vAlign w:val="bottom"/>
            <w:tcBorders>
              <w:top w:val="single" w:sz="8" w:color="auto"/>
              <w:right w:val="single" w:sz="8" w:color="auto"/>
            </w:tcBorders>
            <w:vMerge w:val="restart"/>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1Q22</w:t>
            </w:r>
          </w:p>
        </w:tc>
        <w:tc>
          <w:tcPr>
            <w:tcW w:w="1620" w:type="dxa"/>
            <w:vAlign w:val="bottom"/>
            <w:tcBorders>
              <w:top w:val="single" w:sz="8" w:color="auto"/>
              <w:right w:val="single" w:sz="8" w:color="auto"/>
            </w:tcBorders>
            <w:gridSpan w:val="2"/>
            <w:shd w:val="clear" w:color="auto" w:fill="2AD2C9"/>
          </w:tcPr>
          <w:p>
            <w:pPr>
              <w:jc w:val="right"/>
              <w:ind w:right="38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65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vMerge w:val="continue"/>
            <w:shd w:val="clear" w:color="auto" w:fill="2AD2C9"/>
          </w:tcPr>
          <w:p>
            <w:pPr>
              <w:spacing w:after="0"/>
              <w:rPr>
                <w:sz w:val="16"/>
                <w:szCs w:val="16"/>
                <w:color w:val="auto"/>
              </w:rPr>
            </w:pPr>
          </w:p>
        </w:tc>
        <w:tc>
          <w:tcPr>
            <w:tcW w:w="110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4Q21</w:t>
            </w:r>
          </w:p>
        </w:tc>
        <w:tc>
          <w:tcPr>
            <w:tcW w:w="96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900" w:type="dxa"/>
            <w:vAlign w:val="bottom"/>
            <w:tcBorders>
              <w:bottom w:val="single" w:sz="8" w:color="auto"/>
            </w:tcBorders>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QoQ</w:t>
            </w:r>
          </w:p>
        </w:tc>
        <w:tc>
          <w:tcPr>
            <w:tcW w:w="720" w:type="dxa"/>
            <w:vAlign w:val="bottom"/>
            <w:tcBorders>
              <w:bottom w:val="single" w:sz="8" w:color="auto"/>
              <w:right w:val="single" w:sz="8" w:color="auto"/>
            </w:tcBorders>
            <w:shd w:val="clear" w:color="auto" w:fill="2AD2C9"/>
          </w:tcPr>
          <w:p>
            <w:pPr>
              <w:jc w:val="right"/>
              <w:ind w:right="18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65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Interest income and expense</w:t>
            </w: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50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Interest and dividend income</w:t>
            </w:r>
          </w:p>
        </w:tc>
        <w:tc>
          <w:tcPr>
            <w:tcW w:w="1100" w:type="dxa"/>
            <w:vAlign w:val="bottom"/>
          </w:tcPr>
          <w:p>
            <w:pPr>
              <w:jc w:val="right"/>
              <w:ind w:right="61"/>
              <w:spacing w:after="0" w:line="169" w:lineRule="exact"/>
              <w:rPr>
                <w:sz w:val="20"/>
                <w:szCs w:val="20"/>
                <w:color w:val="auto"/>
              </w:rPr>
            </w:pPr>
            <w:r>
              <w:rPr>
                <w:rFonts w:ascii="Arial" w:cs="Arial" w:eastAsia="Arial" w:hAnsi="Arial"/>
                <w:sz w:val="16"/>
                <w:szCs w:val="16"/>
                <w:color w:val="auto"/>
              </w:rPr>
              <w:t>1,939,749</w:t>
            </w:r>
          </w:p>
        </w:tc>
        <w:tc>
          <w:tcPr>
            <w:tcW w:w="1100" w:type="dxa"/>
            <w:vAlign w:val="bottom"/>
          </w:tcPr>
          <w:p>
            <w:pPr>
              <w:jc w:val="right"/>
              <w:ind w:right="61"/>
              <w:spacing w:after="0" w:line="169" w:lineRule="exact"/>
              <w:rPr>
                <w:sz w:val="20"/>
                <w:szCs w:val="20"/>
                <w:color w:val="auto"/>
              </w:rPr>
            </w:pPr>
            <w:r>
              <w:rPr>
                <w:rFonts w:ascii="Arial" w:cs="Arial" w:eastAsia="Arial" w:hAnsi="Arial"/>
                <w:sz w:val="16"/>
                <w:szCs w:val="16"/>
                <w:color w:val="auto"/>
              </w:rPr>
              <w:t>2,059,066</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2,120,216</w:t>
            </w:r>
          </w:p>
        </w:tc>
        <w:tc>
          <w:tcPr>
            <w:tcW w:w="900" w:type="dxa"/>
            <w:vAlign w:val="bottom"/>
          </w:tcPr>
          <w:p>
            <w:pPr>
              <w:jc w:val="right"/>
              <w:ind w:right="21"/>
              <w:spacing w:after="0" w:line="169" w:lineRule="exact"/>
              <w:rPr>
                <w:sz w:val="20"/>
                <w:szCs w:val="20"/>
                <w:color w:val="auto"/>
              </w:rPr>
            </w:pPr>
            <w:r>
              <w:rPr>
                <w:rFonts w:ascii="Arial" w:cs="Arial" w:eastAsia="Arial" w:hAnsi="Arial"/>
                <w:sz w:val="16"/>
                <w:szCs w:val="16"/>
                <w:color w:val="auto"/>
              </w:rPr>
              <w:t>3.0%</w:t>
            </w:r>
          </w:p>
        </w:tc>
        <w:tc>
          <w:tcPr>
            <w:tcW w:w="7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78"/>
        </w:trPr>
        <w:tc>
          <w:tcPr>
            <w:tcW w:w="6500" w:type="dxa"/>
            <w:vAlign w:val="bottom"/>
            <w:tcBorders>
              <w:left w:val="single" w:sz="8" w:color="auto"/>
              <w:righ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Interest expense </w:t>
            </w:r>
            <w:r>
              <w:rPr>
                <w:rFonts w:ascii="Arial" w:cs="Arial" w:eastAsia="Arial" w:hAnsi="Arial"/>
                <w:sz w:val="20"/>
                <w:szCs w:val="20"/>
                <w:color w:val="auto"/>
                <w:vertAlign w:val="superscript"/>
              </w:rPr>
              <w:t>(1)</w:t>
            </w:r>
          </w:p>
        </w:tc>
        <w:tc>
          <w:tcPr>
            <w:tcW w:w="11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(492,099)</w:t>
            </w:r>
          </w:p>
        </w:tc>
        <w:tc>
          <w:tcPr>
            <w:tcW w:w="11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(399,009)</w:t>
            </w:r>
          </w:p>
        </w:tc>
        <w:tc>
          <w:tcPr>
            <w:tcW w:w="9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(414,863)</w:t>
            </w:r>
          </w:p>
        </w:tc>
        <w:tc>
          <w:tcPr>
            <w:tcW w:w="900" w:type="dxa"/>
            <w:vAlign w:val="bottom"/>
          </w:tcPr>
          <w:p>
            <w:pPr>
              <w:jc w:val="right"/>
              <w:ind w:right="21"/>
              <w:spacing w:after="0" w:line="178" w:lineRule="exact"/>
              <w:rPr>
                <w:sz w:val="20"/>
                <w:szCs w:val="20"/>
                <w:color w:val="auto"/>
              </w:rPr>
            </w:pPr>
            <w:r>
              <w:rPr>
                <w:rFonts w:ascii="Arial" w:cs="Arial" w:eastAsia="Arial" w:hAnsi="Arial"/>
                <w:sz w:val="16"/>
                <w:szCs w:val="16"/>
                <w:color w:val="auto"/>
              </w:rPr>
              <w:t>4.0%</w:t>
            </w:r>
          </w:p>
        </w:tc>
        <w:tc>
          <w:tcPr>
            <w:tcW w:w="7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8"/>
        </w:trPr>
        <w:tc>
          <w:tcPr>
            <w:tcW w:w="65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Net interest income</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1,447,650</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1,660,057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1,705,353</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2.7%</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c>
          <w:tcPr>
            <w:tcW w:w="0" w:type="dxa"/>
            <w:vAlign w:val="bottom"/>
          </w:tcPr>
          <w:p>
            <w:pPr>
              <w:spacing w:after="0"/>
              <w:rPr>
                <w:sz w:val="1"/>
                <w:szCs w:val="1"/>
                <w:color w:val="auto"/>
              </w:rPr>
            </w:pPr>
          </w:p>
        </w:tc>
      </w:tr>
      <w:tr>
        <w:trPr>
          <w:trHeight w:val="302"/>
        </w:trPr>
        <w:tc>
          <w:tcPr>
            <w:tcW w:w="6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Provision for credit losses on loan portfolio</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(435,378)</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(161,595)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(202,768)</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25.5%</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Recoveries of written-off loans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50,025</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68,765</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56,125</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-18.4%</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8"/>
        </w:trPr>
        <w:tc>
          <w:tcPr>
            <w:tcW w:w="6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credit losses on loan portfolio, net of recoveries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(385,353)</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(92,830)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(146,643)</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58.0%</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-61.9%</w:t>
            </w:r>
          </w:p>
        </w:tc>
        <w:tc>
          <w:tcPr>
            <w:tcW w:w="0" w:type="dxa"/>
            <w:vAlign w:val="bottom"/>
          </w:tcPr>
          <w:p>
            <w:pPr>
              <w:spacing w:after="0"/>
              <w:rPr>
                <w:sz w:val="1"/>
                <w:szCs w:val="1"/>
                <w:color w:val="auto"/>
              </w:rPr>
            </w:pPr>
          </w:p>
        </w:tc>
      </w:tr>
      <w:tr>
        <w:trPr>
          <w:trHeight w:val="347"/>
        </w:trPr>
        <w:tc>
          <w:tcPr>
            <w:tcW w:w="6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Risk-adjusted net interest income</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1,062,297</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1,567,227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1,558,710</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-0.5%</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46.7%</w:t>
            </w:r>
          </w:p>
        </w:tc>
        <w:tc>
          <w:tcPr>
            <w:tcW w:w="0" w:type="dxa"/>
            <w:vAlign w:val="bottom"/>
          </w:tcPr>
          <w:p>
            <w:pPr>
              <w:spacing w:after="0"/>
              <w:rPr>
                <w:sz w:val="1"/>
                <w:szCs w:val="1"/>
                <w:color w:val="auto"/>
              </w:rPr>
            </w:pPr>
          </w:p>
        </w:tc>
      </w:tr>
      <w:tr>
        <w:trPr>
          <w:trHeight w:val="302"/>
        </w:trPr>
        <w:tc>
          <w:tcPr>
            <w:tcW w:w="6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Other income</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Fee income</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614,423</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719,473</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706,861</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foreign exchange transactions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172,489</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237,450</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238,738</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0.5%</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securities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41,963</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115,361</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90,463</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-21.6%</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from associates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14,110</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(7,952)</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5,701</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n.a.</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derivatives held for trading</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11,828</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26,429</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(9,976)</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-137.7%</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-184.3%</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from exchange differences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(3,052)</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(1,993)</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(10,017)</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n.a.</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Others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49,931</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34,444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110,750</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221.5%</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121.8%</w:t>
            </w:r>
          </w:p>
        </w:tc>
        <w:tc>
          <w:tcPr>
            <w:tcW w:w="0" w:type="dxa"/>
            <w:vAlign w:val="bottom"/>
          </w:tcPr>
          <w:p>
            <w:pPr>
              <w:spacing w:after="0"/>
              <w:rPr>
                <w:sz w:val="1"/>
                <w:szCs w:val="1"/>
                <w:color w:val="auto"/>
              </w:rPr>
            </w:pPr>
          </w:p>
        </w:tc>
      </w:tr>
      <w:tr>
        <w:trPr>
          <w:trHeight w:val="218"/>
        </w:trPr>
        <w:tc>
          <w:tcPr>
            <w:tcW w:w="65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Total other income</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901,692</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1,123,212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1,132,520</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0.8%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25.6%</w:t>
            </w:r>
          </w:p>
        </w:tc>
        <w:tc>
          <w:tcPr>
            <w:tcW w:w="0" w:type="dxa"/>
            <w:vAlign w:val="bottom"/>
          </w:tcPr>
          <w:p>
            <w:pPr>
              <w:spacing w:after="0"/>
              <w:rPr>
                <w:sz w:val="1"/>
                <w:szCs w:val="1"/>
                <w:color w:val="auto"/>
              </w:rPr>
            </w:pPr>
          </w:p>
        </w:tc>
      </w:tr>
      <w:tr>
        <w:trPr>
          <w:trHeight w:val="302"/>
        </w:trPr>
        <w:tc>
          <w:tcPr>
            <w:tcW w:w="6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expenses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Salaries and employee benefits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(418,397)</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(512,934)</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(501,213)</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-2.3%</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69"/>
        </w:trPr>
        <w:tc>
          <w:tcPr>
            <w:tcW w:w="650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Administrative expenses</w:t>
            </w:r>
          </w:p>
        </w:tc>
        <w:tc>
          <w:tcPr>
            <w:tcW w:w="1100" w:type="dxa"/>
            <w:vAlign w:val="bottom"/>
          </w:tcPr>
          <w:p>
            <w:pPr>
              <w:jc w:val="right"/>
              <w:ind w:right="61"/>
              <w:spacing w:after="0" w:line="169" w:lineRule="exact"/>
              <w:rPr>
                <w:sz w:val="20"/>
                <w:szCs w:val="20"/>
                <w:color w:val="auto"/>
              </w:rPr>
            </w:pPr>
            <w:r>
              <w:rPr>
                <w:rFonts w:ascii="Arial" w:cs="Arial" w:eastAsia="Arial" w:hAnsi="Arial"/>
                <w:sz w:val="16"/>
                <w:szCs w:val="16"/>
                <w:color w:val="auto"/>
              </w:rPr>
              <w:t>(379,632)</w:t>
            </w:r>
          </w:p>
        </w:tc>
        <w:tc>
          <w:tcPr>
            <w:tcW w:w="1100" w:type="dxa"/>
            <w:vAlign w:val="bottom"/>
          </w:tcPr>
          <w:p>
            <w:pPr>
              <w:jc w:val="right"/>
              <w:ind w:right="61"/>
              <w:spacing w:after="0" w:line="169" w:lineRule="exact"/>
              <w:rPr>
                <w:sz w:val="20"/>
                <w:szCs w:val="20"/>
                <w:color w:val="auto"/>
              </w:rPr>
            </w:pPr>
            <w:r>
              <w:rPr>
                <w:rFonts w:ascii="Arial" w:cs="Arial" w:eastAsia="Arial" w:hAnsi="Arial"/>
                <w:sz w:val="16"/>
                <w:szCs w:val="16"/>
                <w:color w:val="auto"/>
              </w:rPr>
              <w:t>(621,878)</w:t>
            </w:r>
          </w:p>
        </w:tc>
        <w:tc>
          <w:tcPr>
            <w:tcW w:w="9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(463,927)</w:t>
            </w:r>
          </w:p>
        </w:tc>
        <w:tc>
          <w:tcPr>
            <w:tcW w:w="900" w:type="dxa"/>
            <w:vAlign w:val="bottom"/>
          </w:tcPr>
          <w:p>
            <w:pPr>
              <w:jc w:val="right"/>
              <w:ind w:right="21"/>
              <w:spacing w:after="0" w:line="169" w:lineRule="exact"/>
              <w:rPr>
                <w:sz w:val="20"/>
                <w:szCs w:val="20"/>
                <w:color w:val="auto"/>
              </w:rPr>
            </w:pPr>
            <w:r>
              <w:rPr>
                <w:rFonts w:ascii="Arial" w:cs="Arial" w:eastAsia="Arial" w:hAnsi="Arial"/>
                <w:sz w:val="16"/>
                <w:szCs w:val="16"/>
                <w:color w:val="auto"/>
              </w:rPr>
              <w:t>-25.4%</w:t>
            </w:r>
          </w:p>
        </w:tc>
        <w:tc>
          <w:tcPr>
            <w:tcW w:w="7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78"/>
        </w:trPr>
        <w:tc>
          <w:tcPr>
            <w:tcW w:w="6500" w:type="dxa"/>
            <w:vAlign w:val="bottom"/>
            <w:tcBorders>
              <w:left w:val="single" w:sz="8" w:color="auto"/>
              <w:right w:val="single" w:sz="8" w:color="auto"/>
            </w:tcBorders>
          </w:tcPr>
          <w:p>
            <w:pPr>
              <w:ind w:left="140"/>
              <w:spacing w:after="0" w:line="178"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(2)</w:t>
            </w:r>
          </w:p>
        </w:tc>
        <w:tc>
          <w:tcPr>
            <w:tcW w:w="11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(103,864)</w:t>
            </w:r>
          </w:p>
        </w:tc>
        <w:tc>
          <w:tcPr>
            <w:tcW w:w="1100" w:type="dxa"/>
            <w:vAlign w:val="bottom"/>
          </w:tcPr>
          <w:p>
            <w:pPr>
              <w:jc w:val="right"/>
              <w:ind w:right="61"/>
              <w:spacing w:after="0" w:line="178" w:lineRule="exact"/>
              <w:rPr>
                <w:sz w:val="20"/>
                <w:szCs w:val="20"/>
                <w:color w:val="auto"/>
              </w:rPr>
            </w:pPr>
            <w:r>
              <w:rPr>
                <w:rFonts w:ascii="Arial" w:cs="Arial" w:eastAsia="Arial" w:hAnsi="Arial"/>
                <w:sz w:val="16"/>
                <w:szCs w:val="16"/>
                <w:color w:val="auto"/>
              </w:rPr>
              <w:t>(117,924)</w:t>
            </w:r>
          </w:p>
        </w:tc>
        <w:tc>
          <w:tcPr>
            <w:tcW w:w="9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(105,859)</w:t>
            </w:r>
          </w:p>
        </w:tc>
        <w:tc>
          <w:tcPr>
            <w:tcW w:w="900" w:type="dxa"/>
            <w:vAlign w:val="bottom"/>
          </w:tcPr>
          <w:p>
            <w:pPr>
              <w:jc w:val="right"/>
              <w:ind w:right="21"/>
              <w:spacing w:after="0" w:line="178" w:lineRule="exact"/>
              <w:rPr>
                <w:sz w:val="20"/>
                <w:szCs w:val="20"/>
                <w:color w:val="auto"/>
              </w:rPr>
            </w:pPr>
            <w:r>
              <w:rPr>
                <w:rFonts w:ascii="Arial" w:cs="Arial" w:eastAsia="Arial" w:hAnsi="Arial"/>
                <w:sz w:val="16"/>
                <w:szCs w:val="16"/>
                <w:color w:val="auto"/>
              </w:rPr>
              <w:t>-10.2%</w:t>
            </w:r>
          </w:p>
        </w:tc>
        <w:tc>
          <w:tcPr>
            <w:tcW w:w="7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3"/>
        </w:trPr>
        <w:tc>
          <w:tcPr>
            <w:tcW w:w="65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Other expenses</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(42,193)</w:t>
            </w:r>
          </w:p>
        </w:tc>
        <w:tc>
          <w:tcPr>
            <w:tcW w:w="1100" w:type="dxa"/>
            <w:vAlign w:val="bottom"/>
          </w:tcPr>
          <w:p>
            <w:pPr>
              <w:jc w:val="right"/>
              <w:ind w:right="61"/>
              <w:spacing w:after="0" w:line="174" w:lineRule="exact"/>
              <w:rPr>
                <w:sz w:val="20"/>
                <w:szCs w:val="20"/>
                <w:color w:val="auto"/>
              </w:rPr>
            </w:pPr>
            <w:r>
              <w:rPr>
                <w:rFonts w:ascii="Arial" w:cs="Arial" w:eastAsia="Arial" w:hAnsi="Arial"/>
                <w:sz w:val="16"/>
                <w:szCs w:val="16"/>
                <w:color w:val="auto"/>
              </w:rPr>
              <w:t>(48,719)</w:t>
            </w:r>
          </w:p>
        </w:tc>
        <w:tc>
          <w:tcPr>
            <w:tcW w:w="9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(43,686)</w:t>
            </w:r>
          </w:p>
        </w:tc>
        <w:tc>
          <w:tcPr>
            <w:tcW w:w="9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-10.3%</w:t>
            </w:r>
          </w:p>
        </w:tc>
        <w:tc>
          <w:tcPr>
            <w:tcW w:w="7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8"/>
        </w:trPr>
        <w:tc>
          <w:tcPr>
            <w:tcW w:w="65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Total expenses</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(944,086)</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(1,301,455)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(1,114,685)</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-14.4%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18.1%</w:t>
            </w:r>
          </w:p>
        </w:tc>
        <w:tc>
          <w:tcPr>
            <w:tcW w:w="0" w:type="dxa"/>
            <w:vAlign w:val="bottom"/>
          </w:tcPr>
          <w:p>
            <w:pPr>
              <w:spacing w:after="0"/>
              <w:rPr>
                <w:sz w:val="1"/>
                <w:szCs w:val="1"/>
                <w:color w:val="auto"/>
              </w:rPr>
            </w:pPr>
          </w:p>
        </w:tc>
      </w:tr>
      <w:tr>
        <w:trPr>
          <w:trHeight w:val="347"/>
        </w:trPr>
        <w:tc>
          <w:tcPr>
            <w:tcW w:w="6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1,019,903</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1,388,984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1,576,545</w:t>
            </w: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13.5%</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54.6%</w:t>
            </w:r>
          </w:p>
        </w:tc>
        <w:tc>
          <w:tcPr>
            <w:tcW w:w="0" w:type="dxa"/>
            <w:vAlign w:val="bottom"/>
          </w:tcPr>
          <w:p>
            <w:pPr>
              <w:spacing w:after="0"/>
              <w:rPr>
                <w:sz w:val="1"/>
                <w:szCs w:val="1"/>
                <w:color w:val="auto"/>
              </w:rPr>
            </w:pPr>
          </w:p>
        </w:tc>
      </w:tr>
      <w:tr>
        <w:trPr>
          <w:trHeight w:val="339"/>
        </w:trPr>
        <w:tc>
          <w:tcPr>
            <w:tcW w:w="65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Income tax</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(264,385)</w:t>
            </w:r>
          </w:p>
        </w:tc>
        <w:tc>
          <w:tcPr>
            <w:tcW w:w="1100" w:type="dxa"/>
            <w:vAlign w:val="bottom"/>
          </w:tcPr>
          <w:p>
            <w:pPr>
              <w:jc w:val="right"/>
              <w:ind w:right="61"/>
              <w:spacing w:after="0"/>
              <w:rPr>
                <w:sz w:val="20"/>
                <w:szCs w:val="20"/>
                <w:color w:val="auto"/>
              </w:rPr>
            </w:pPr>
            <w:r>
              <w:rPr>
                <w:rFonts w:ascii="Arial" w:cs="Arial" w:eastAsia="Arial" w:hAnsi="Arial"/>
                <w:sz w:val="16"/>
                <w:szCs w:val="16"/>
                <w:color w:val="auto"/>
              </w:rPr>
              <w:t>(353,540)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(420,120)</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1"/>
        </w:trPr>
        <w:tc>
          <w:tcPr>
            <w:tcW w:w="6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 attributable to BCP Stand-alone</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755,518</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1,035,444</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1,156,425</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11.7%</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0" w:type="dxa"/>
            <w:vAlign w:val="bottom"/>
          </w:tcPr>
          <w:p>
            <w:pPr>
              <w:spacing w:after="0"/>
              <w:rPr>
                <w:sz w:val="1"/>
                <w:szCs w:val="1"/>
                <w:color w:val="auto"/>
              </w:rPr>
            </w:pPr>
          </w:p>
        </w:tc>
      </w:tr>
      <w:tr>
        <w:trPr>
          <w:trHeight w:val="467"/>
        </w:trPr>
        <w:tc>
          <w:tcPr>
            <w:tcW w:w="6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33"/>
        </w:trPr>
        <w:tc>
          <w:tcPr>
            <w:tcW w:w="6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07" w:right="319" w:bottom="1440" w:gutter="0" w:footer="0" w:header="0"/>
        </w:sectPr>
      </w:pPr>
    </w:p>
    <w:bookmarkStart w:id="61" w:name="page62"/>
    <w:bookmarkEnd w:id="61"/>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tbl>
      <w:tblPr>
        <w:tblLayout w:type="fixed"/>
        <w:tblInd w:w="1150" w:type="dxa"/>
        <w:tblCellMar>
          <w:top w:w="0" w:type="dxa"/>
          <w:left w:w="0" w:type="dxa"/>
          <w:bottom w:w="0" w:type="dxa"/>
          <w:right w:w="0" w:type="dxa"/>
        </w:tblCellMar>
      </w:tblPr>
      <w:tr>
        <w:trPr>
          <w:trHeight w:val="209"/>
        </w:trPr>
        <w:tc>
          <w:tcPr>
            <w:tcW w:w="5980" w:type="dxa"/>
            <w:vAlign w:val="bottom"/>
          </w:tcPr>
          <w:p>
            <w:pPr>
              <w:ind w:left="3100"/>
              <w:spacing w:after="0"/>
              <w:rPr>
                <w:sz w:val="20"/>
                <w:szCs w:val="20"/>
                <w:color w:val="auto"/>
              </w:rPr>
            </w:pPr>
            <w:r>
              <w:rPr>
                <w:rFonts w:ascii="Times New Roman" w:cs="Times New Roman" w:eastAsia="Times New Roman" w:hAnsi="Times New Roman"/>
                <w:sz w:val="16"/>
                <w:szCs w:val="16"/>
                <w:b w:val="1"/>
                <w:bCs w:val="1"/>
                <w:color w:val="auto"/>
                <w:w w:val="99"/>
              </w:rPr>
              <w:t>SELECTED FINANCIAL INDICATORS</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980" w:type="dxa"/>
            <w:vAlign w:val="bottom"/>
            <w:tcBorders>
              <w:right w:val="single" w:sz="8" w:color="auto"/>
            </w:tcBorders>
          </w:tcPr>
          <w:p>
            <w:pPr>
              <w:spacing w:after="0"/>
              <w:rPr>
                <w:sz w:val="13"/>
                <w:szCs w:val="13"/>
                <w:color w:val="auto"/>
              </w:rPr>
            </w:pPr>
          </w:p>
        </w:tc>
        <w:tc>
          <w:tcPr>
            <w:tcW w:w="1100" w:type="dxa"/>
            <w:vAlign w:val="bottom"/>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60" w:type="dxa"/>
            <w:vAlign w:val="bottom"/>
            <w:shd w:val="clear" w:color="auto" w:fill="2AD2C9"/>
          </w:tcPr>
          <w:p>
            <w:pPr>
              <w:jc w:val="right"/>
              <w:ind w:right="301"/>
              <w:spacing w:after="0" w:line="155"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0" w:type="dxa"/>
            <w:vAlign w:val="bottom"/>
          </w:tcPr>
          <w:p>
            <w:pPr>
              <w:spacing w:after="0"/>
              <w:rPr>
                <w:sz w:val="1"/>
                <w:szCs w:val="1"/>
                <w:color w:val="auto"/>
              </w:rPr>
            </w:pPr>
          </w:p>
        </w:tc>
      </w:tr>
      <w:tr>
        <w:trPr>
          <w:trHeight w:val="194"/>
        </w:trPr>
        <w:tc>
          <w:tcPr>
            <w:tcW w:w="59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vMerge w:val="continue"/>
            <w:shd w:val="clear" w:color="auto" w:fill="2AD2C9"/>
          </w:tcPr>
          <w:p>
            <w:pPr>
              <w:spacing w:after="0"/>
              <w:rPr>
                <w:sz w:val="16"/>
                <w:szCs w:val="16"/>
                <w:color w:val="auto"/>
              </w:rPr>
            </w:pPr>
          </w:p>
        </w:tc>
        <w:tc>
          <w:tcPr>
            <w:tcW w:w="106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4Q21</w:t>
            </w:r>
          </w:p>
        </w:tc>
        <w:tc>
          <w:tcPr>
            <w:tcW w:w="8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98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6"/>
                <w:szCs w:val="16"/>
                <w:b w:val="1"/>
                <w:bCs w:val="1"/>
                <w:color w:val="auto"/>
              </w:rPr>
              <w:t>Profitability</w:t>
            </w: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20"/>
                <w:szCs w:val="20"/>
                <w:color w:val="auto"/>
                <w:vertAlign w:val="subscript"/>
              </w:rPr>
              <w:t>ROAA</w:t>
            </w:r>
            <w:r>
              <w:rPr>
                <w:rFonts w:ascii="Arial" w:cs="Arial" w:eastAsia="Arial" w:hAnsi="Arial"/>
                <w:sz w:val="10"/>
                <w:szCs w:val="10"/>
                <w:color w:val="auto"/>
              </w:rPr>
              <w:t xml:space="preserve"> (2)(3)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1.6%</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2.2%</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20"/>
                <w:szCs w:val="20"/>
                <w:color w:val="auto"/>
                <w:vertAlign w:val="subscript"/>
              </w:rPr>
              <w:t>ROAE</w:t>
            </w:r>
            <w:r>
              <w:rPr>
                <w:rFonts w:ascii="Arial" w:cs="Arial" w:eastAsia="Arial" w:hAnsi="Arial"/>
                <w:sz w:val="10"/>
                <w:szCs w:val="10"/>
                <w:color w:val="auto"/>
              </w:rPr>
              <w:t xml:space="preserve"> (2)(3)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16.6%</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20.6%</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0"/>
                <w:szCs w:val="20"/>
                <w:color w:val="auto"/>
                <w:vertAlign w:val="superscript"/>
              </w:rPr>
              <w:t>(2)(3)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3.23%</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3.68%</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Risk adjusted NIM </w:t>
            </w:r>
            <w:r>
              <w:rPr>
                <w:rFonts w:ascii="Arial" w:cs="Arial" w:eastAsia="Arial" w:hAnsi="Arial"/>
                <w:sz w:val="20"/>
                <w:szCs w:val="20"/>
                <w:color w:val="auto"/>
                <w:vertAlign w:val="superscript"/>
              </w:rPr>
              <w:t>(2)(3)</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2.37%</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3.48%</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5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Funding Cost </w:t>
            </w:r>
            <w:r>
              <w:rPr>
                <w:rFonts w:ascii="Arial" w:cs="Arial" w:eastAsia="Arial" w:hAnsi="Arial"/>
                <w:sz w:val="26"/>
                <w:szCs w:val="26"/>
                <w:color w:val="auto"/>
                <w:vertAlign w:val="superscript"/>
              </w:rPr>
              <w:t>(2)(3)(4)</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1.20%</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0.98%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Quality of loan portfolio</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IOL ratio</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3.05%</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3.67%</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NPL ratio</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4.54%</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5.04%</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Coverage of IOLs</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209.9%</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150.5%</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169"/>
        </w:trPr>
        <w:tc>
          <w:tcPr>
            <w:tcW w:w="59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Coverage of NPLs</w:t>
            </w:r>
          </w:p>
        </w:tc>
        <w:tc>
          <w:tcPr>
            <w:tcW w:w="1100" w:type="dxa"/>
            <w:vAlign w:val="bottom"/>
          </w:tcPr>
          <w:p>
            <w:pPr>
              <w:jc w:val="right"/>
              <w:ind w:right="21"/>
              <w:spacing w:after="0" w:line="169" w:lineRule="exact"/>
              <w:rPr>
                <w:sz w:val="20"/>
                <w:szCs w:val="20"/>
                <w:color w:val="auto"/>
              </w:rPr>
            </w:pPr>
            <w:r>
              <w:rPr>
                <w:rFonts w:ascii="Arial" w:cs="Arial" w:eastAsia="Arial" w:hAnsi="Arial"/>
                <w:sz w:val="16"/>
                <w:szCs w:val="16"/>
                <w:color w:val="auto"/>
              </w:rPr>
              <w:t>141.2%</w:t>
            </w:r>
          </w:p>
        </w:tc>
        <w:tc>
          <w:tcPr>
            <w:tcW w:w="10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109.6%</w:t>
            </w:r>
          </w:p>
        </w:tc>
        <w:tc>
          <w:tcPr>
            <w:tcW w:w="8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51"/>
        </w:trPr>
        <w:tc>
          <w:tcPr>
            <w:tcW w:w="5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 xml:space="preserve">Cost of risk </w:t>
            </w:r>
            <w:r>
              <w:rPr>
                <w:rFonts w:ascii="Arial" w:cs="Arial" w:eastAsia="Arial" w:hAnsi="Arial"/>
                <w:sz w:val="26"/>
                <w:szCs w:val="26"/>
                <w:color w:val="auto"/>
                <w:vertAlign w:val="superscript"/>
              </w:rPr>
              <w:t>(5)</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1.37%</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0.30%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169"/>
        </w:trPr>
        <w:tc>
          <w:tcPr>
            <w:tcW w:w="598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b w:val="1"/>
                <w:bCs w:val="1"/>
                <w:color w:val="auto"/>
              </w:rPr>
              <w:t>Operating efficiency</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98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Oper. expenses as a percent. of total income - reported </w:t>
            </w:r>
            <w:r>
              <w:rPr>
                <w:rFonts w:ascii="Arial" w:cs="Arial" w:eastAsia="Arial" w:hAnsi="Arial"/>
                <w:sz w:val="20"/>
                <w:szCs w:val="20"/>
                <w:color w:val="auto"/>
                <w:vertAlign w:val="superscript"/>
              </w:rPr>
              <w:t>(6)</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40.2%</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47.4%</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198"/>
        </w:trPr>
        <w:tc>
          <w:tcPr>
            <w:tcW w:w="598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Oper. expenses as a percent. of av. tot. assets </w:t>
            </w:r>
            <w:r>
              <w:rPr>
                <w:rFonts w:ascii="Arial" w:cs="Arial" w:eastAsia="Arial" w:hAnsi="Arial"/>
                <w:sz w:val="22"/>
                <w:szCs w:val="22"/>
                <w:color w:val="auto"/>
                <w:vertAlign w:val="superscript"/>
              </w:rPr>
              <w:t>(2)(3)(6)</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1.94%</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140" w:hanging="133"/>
        <w:spacing w:after="0"/>
        <w:tabs>
          <w:tab w:leader="none" w:pos="1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Shares outstanding of 12,176 million is used for all periods since shares have been issued only for capitalization of profits.</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Ratios are annualized.</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Averages are determined as the average of period-beginning and period-ending balances.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Cost of risk: Annualized provision for loan losses / Total loans.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62" w:name="page63"/>
    <w:bookmarkEnd w:id="62"/>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12.5.5. BCP Bolivia</w:t>
            </w: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620" w:type="dxa"/>
            <w:vAlign w:val="bottom"/>
          </w:tcPr>
          <w:p>
            <w:pPr>
              <w:spacing w:after="0"/>
              <w:rPr>
                <w:sz w:val="24"/>
                <w:szCs w:val="24"/>
                <w:color w:val="auto"/>
              </w:rPr>
            </w:pPr>
          </w:p>
        </w:tc>
        <w:tc>
          <w:tcPr>
            <w:tcW w:w="2740" w:type="dxa"/>
            <w:vAlign w:val="bottom"/>
            <w:gridSpan w:val="2"/>
          </w:tcPr>
          <w:p>
            <w:pPr>
              <w:jc w:val="right"/>
              <w:ind w:right="1121"/>
              <w:spacing w:after="0"/>
              <w:rPr>
                <w:sz w:val="20"/>
                <w:szCs w:val="20"/>
                <w:color w:val="auto"/>
              </w:rPr>
            </w:pPr>
            <w:r>
              <w:rPr>
                <w:rFonts w:ascii="Times New Roman" w:cs="Times New Roman" w:eastAsia="Times New Roman" w:hAnsi="Times New Roman"/>
                <w:sz w:val="16"/>
                <w:szCs w:val="16"/>
                <w:b w:val="1"/>
                <w:bCs w:val="1"/>
                <w:color w:val="auto"/>
              </w:rPr>
              <w:t>BCP BOLIVIA</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740" w:type="dxa"/>
            <w:vAlign w:val="bottom"/>
            <w:gridSpan w:val="2"/>
          </w:tcPr>
          <w:p>
            <w:pPr>
              <w:jc w:val="right"/>
              <w:ind w:right="941"/>
              <w:spacing w:after="0"/>
              <w:rPr>
                <w:sz w:val="20"/>
                <w:szCs w:val="20"/>
                <w:color w:val="auto"/>
              </w:rPr>
            </w:pPr>
            <w:r>
              <w:rPr>
                <w:rFonts w:ascii="Times New Roman" w:cs="Times New Roman" w:eastAsia="Times New Roman" w:hAnsi="Times New Roman"/>
                <w:sz w:val="16"/>
                <w:szCs w:val="16"/>
                <w:b w:val="1"/>
                <w:bCs w:val="1"/>
                <w:color w:val="auto"/>
              </w:rPr>
              <w:t>(S/ thousands, IFRS)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080" w:type="dxa"/>
            <w:vAlign w:val="bottom"/>
            <w:vMerge w:val="restart"/>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Mar 21</w:t>
            </w:r>
          </w:p>
        </w:tc>
        <w:tc>
          <w:tcPr>
            <w:tcW w:w="1000" w:type="dxa"/>
            <w:vAlign w:val="bottom"/>
            <w:shd w:val="clear" w:color="auto" w:fill="2AD2C9"/>
          </w:tcPr>
          <w:p>
            <w:pPr>
              <w:jc w:val="center"/>
              <w:ind w:right="121"/>
              <w:spacing w:after="0" w:line="155" w:lineRule="exact"/>
              <w:rPr>
                <w:sz w:val="20"/>
                <w:szCs w:val="20"/>
                <w:color w:val="auto"/>
              </w:rPr>
            </w:pPr>
            <w:r>
              <w:rPr>
                <w:rFonts w:ascii="Arial" w:cs="Arial" w:eastAsia="Arial" w:hAnsi="Arial"/>
                <w:sz w:val="16"/>
                <w:szCs w:val="16"/>
                <w:b w:val="1"/>
                <w:bCs w:val="1"/>
                <w:color w:val="FFFFFF"/>
                <w:w w:val="99"/>
              </w:rPr>
              <w:t>As of</w:t>
            </w:r>
          </w:p>
        </w:tc>
        <w:tc>
          <w:tcPr>
            <w:tcW w:w="940" w:type="dxa"/>
            <w:vAlign w:val="bottom"/>
            <w:tcBorders>
              <w:right w:val="single" w:sz="8" w:color="auto"/>
            </w:tcBorders>
            <w:vMerge w:val="restart"/>
            <w:shd w:val="clear" w:color="auto" w:fill="2AD2C9"/>
          </w:tcPr>
          <w:p>
            <w:pPr>
              <w:jc w:val="right"/>
              <w:ind w:right="201"/>
              <w:spacing w:after="0"/>
              <w:rPr>
                <w:sz w:val="20"/>
                <w:szCs w:val="20"/>
                <w:color w:val="auto"/>
              </w:rPr>
            </w:pPr>
            <w:r>
              <w:rPr>
                <w:rFonts w:ascii="Arial" w:cs="Arial" w:eastAsia="Arial" w:hAnsi="Arial"/>
                <w:sz w:val="16"/>
                <w:szCs w:val="16"/>
                <w:b w:val="1"/>
                <w:bCs w:val="1"/>
                <w:color w:val="FFFFFF"/>
              </w:rPr>
              <w:t>Mar 22</w:t>
            </w:r>
          </w:p>
        </w:tc>
        <w:tc>
          <w:tcPr>
            <w:tcW w:w="1980" w:type="dxa"/>
            <w:vAlign w:val="bottom"/>
            <w:tcBorders>
              <w:right w:val="single" w:sz="8" w:color="auto"/>
            </w:tcBorders>
            <w:gridSpan w:val="2"/>
            <w:shd w:val="clear" w:color="auto" w:fill="2AD2C9"/>
          </w:tcPr>
          <w:p>
            <w:pPr>
              <w:jc w:val="right"/>
              <w:ind w:right="56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vMerge w:val="continue"/>
            <w:shd w:val="clear" w:color="auto" w:fill="2AD2C9"/>
          </w:tcPr>
          <w:p>
            <w:pPr>
              <w:spacing w:after="0"/>
              <w:rPr>
                <w:sz w:val="16"/>
                <w:szCs w:val="16"/>
                <w:color w:val="auto"/>
              </w:rPr>
            </w:pPr>
          </w:p>
        </w:tc>
        <w:tc>
          <w:tcPr>
            <w:tcW w:w="1000" w:type="dxa"/>
            <w:vAlign w:val="bottom"/>
            <w:tcBorders>
              <w:bottom w:val="single" w:sz="8" w:color="auto"/>
            </w:tcBorders>
            <w:shd w:val="clear" w:color="auto" w:fill="2AD2C9"/>
          </w:tcPr>
          <w:p>
            <w:pPr>
              <w:jc w:val="center"/>
              <w:ind w:right="121"/>
              <w:spacing w:after="0"/>
              <w:rPr>
                <w:sz w:val="20"/>
                <w:szCs w:val="20"/>
                <w:color w:val="auto"/>
              </w:rPr>
            </w:pPr>
            <w:r>
              <w:rPr>
                <w:rFonts w:ascii="Arial" w:cs="Arial" w:eastAsia="Arial" w:hAnsi="Arial"/>
                <w:sz w:val="16"/>
                <w:szCs w:val="16"/>
                <w:b w:val="1"/>
                <w:bCs w:val="1"/>
                <w:color w:val="FFFFFF"/>
              </w:rPr>
              <w:t>Dec 21</w:t>
            </w:r>
          </w:p>
        </w:tc>
        <w:tc>
          <w:tcPr>
            <w:tcW w:w="94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2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4620" w:type="dxa"/>
            <w:vAlign w:val="bottom"/>
            <w:tcBorders>
              <w:lef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1660" w:type="dxa"/>
            <w:vAlign w:val="bottom"/>
            <w:tcBorders>
              <w:right w:val="single" w:sz="8" w:color="auto"/>
            </w:tcBorders>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Cash and due from banks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2,124,586</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2,374,838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2,220,657</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-6.5%</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Investments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1,568,083</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1,778,292</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1,598,725</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-10.1%</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loans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8,822,909</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9,596,816</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8,890,948</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-7.4%</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0.8%</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Current</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8,435,719</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9,471,577</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8,688,239</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-8.3%</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Internal overdue loans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188,432</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89,850</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170,937</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90.2%</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Refinanced</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198,758</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35,390</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31,772</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-10.2%</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140"/>
              <w:spacing w:after="0" w:line="174" w:lineRule="exact"/>
              <w:rPr>
                <w:sz w:val="20"/>
                <w:szCs w:val="20"/>
                <w:color w:val="auto"/>
              </w:rPr>
            </w:pPr>
            <w:r>
              <w:rPr>
                <w:rFonts w:ascii="Arial" w:cs="Arial" w:eastAsia="Arial" w:hAnsi="Arial"/>
                <w:sz w:val="16"/>
                <w:szCs w:val="16"/>
                <w:color w:val="auto"/>
              </w:rPr>
              <w:t>Allowance for loan losses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(487,161)</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(448,075)</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(404,078)</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-9.8%</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Net loans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8,335,748</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9,148,741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8,486,870</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-7.2%</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Property, plant and equipment, net</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55,179</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67,170</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62,645</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-6.7%</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Other assets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386,073</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430,775</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368,350</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-14.5%</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8"/>
        </w:trPr>
        <w:tc>
          <w:tcPr>
            <w:tcW w:w="4620" w:type="dxa"/>
            <w:vAlign w:val="bottom"/>
            <w:tcBorders>
              <w:left w:val="single" w:sz="8" w:color="auto"/>
            </w:tcBorders>
          </w:tcPr>
          <w:p>
            <w:pPr>
              <w:ind w:left="2680"/>
              <w:spacing w:after="0"/>
              <w:rPr>
                <w:sz w:val="20"/>
                <w:szCs w:val="20"/>
                <w:color w:val="auto"/>
              </w:rPr>
            </w:pPr>
            <w:r>
              <w:rPr>
                <w:rFonts w:ascii="Arial" w:cs="Arial" w:eastAsia="Arial" w:hAnsi="Arial"/>
                <w:sz w:val="16"/>
                <w:szCs w:val="16"/>
                <w:b w:val="1"/>
                <w:bCs w:val="1"/>
                <w:color w:val="auto"/>
              </w:rPr>
              <w:t>Total assets</w:t>
            </w:r>
          </w:p>
        </w:tc>
        <w:tc>
          <w:tcPr>
            <w:tcW w:w="1660" w:type="dxa"/>
            <w:vAlign w:val="bottom"/>
            <w:tcBorders>
              <w:right w:val="single" w:sz="8" w:color="auto"/>
            </w:tcBorders>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12,469,669</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13,799,816</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12,737,246</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91"/>
        </w:trPr>
        <w:tc>
          <w:tcPr>
            <w:tcW w:w="462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NET SHAREHOLDERS' EQUITY</w:t>
            </w:r>
          </w:p>
        </w:tc>
        <w:tc>
          <w:tcPr>
            <w:tcW w:w="166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Deposits and obligations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10,691,224</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11,554,075</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10,678,175</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-7.6%</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Due to banks and correspondents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89,702</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106,430</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89,938</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-15.5%</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Bonds and subordinated debt</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173,208</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185,592</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171,787</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-7.4%</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Other liabilities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795,200</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1,119,145</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1,007,946</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-9.9%</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18"/>
        </w:trPr>
        <w:tc>
          <w:tcPr>
            <w:tcW w:w="4620" w:type="dxa"/>
            <w:vAlign w:val="bottom"/>
            <w:tcBorders>
              <w:left w:val="single" w:sz="8" w:color="auto"/>
            </w:tcBorders>
          </w:tcPr>
          <w:p>
            <w:pPr>
              <w:ind w:left="2580"/>
              <w:spacing w:after="0"/>
              <w:rPr>
                <w:sz w:val="20"/>
                <w:szCs w:val="20"/>
                <w:color w:val="auto"/>
              </w:rPr>
            </w:pPr>
            <w:r>
              <w:rPr>
                <w:rFonts w:ascii="Arial" w:cs="Arial" w:eastAsia="Arial" w:hAnsi="Arial"/>
                <w:sz w:val="16"/>
                <w:szCs w:val="16"/>
                <w:b w:val="1"/>
                <w:bCs w:val="1"/>
                <w:color w:val="auto"/>
              </w:rPr>
              <w:t>Total liabilities</w:t>
            </w:r>
          </w:p>
        </w:tc>
        <w:tc>
          <w:tcPr>
            <w:tcW w:w="1660" w:type="dxa"/>
            <w:vAlign w:val="bottom"/>
            <w:tcBorders>
              <w:right w:val="single" w:sz="8" w:color="auto"/>
            </w:tcBorders>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11,749,334</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12,965,242</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11,947,847</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-7.8%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336"/>
        </w:trPr>
        <w:tc>
          <w:tcPr>
            <w:tcW w:w="462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660" w:type="dxa"/>
            <w:vAlign w:val="bottom"/>
            <w:tcBorders>
              <w:right w:val="single" w:sz="8" w:color="auto"/>
            </w:tcBorders>
          </w:tcPr>
          <w:p>
            <w:pPr>
              <w:spacing w:after="0"/>
              <w:rPr>
                <w:sz w:val="24"/>
                <w:szCs w:val="24"/>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b w:val="1"/>
                <w:bCs w:val="1"/>
                <w:color w:val="auto"/>
              </w:rPr>
              <w:t>720,335</w:t>
            </w: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834,574</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789,399</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-5.4%</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9.6%</w:t>
            </w:r>
          </w:p>
        </w:tc>
        <w:tc>
          <w:tcPr>
            <w:tcW w:w="0" w:type="dxa"/>
            <w:vAlign w:val="bottom"/>
          </w:tcPr>
          <w:p>
            <w:pPr>
              <w:spacing w:after="0"/>
              <w:rPr>
                <w:sz w:val="1"/>
                <w:szCs w:val="1"/>
                <w:color w:val="auto"/>
              </w:rPr>
            </w:pPr>
          </w:p>
        </w:tc>
      </w:tr>
      <w:tr>
        <w:trPr>
          <w:trHeight w:val="312"/>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6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12,469,669</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13,799,816</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12,737,246</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-7.7%</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164"/>
        </w:trPr>
        <w:tc>
          <w:tcPr>
            <w:tcW w:w="4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1080" w:type="dxa"/>
            <w:vAlign w:val="bottom"/>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00" w:type="dxa"/>
            <w:vAlign w:val="bottom"/>
            <w:shd w:val="clear" w:color="auto" w:fill="2AD2C9"/>
          </w:tcPr>
          <w:p>
            <w:pPr>
              <w:jc w:val="center"/>
              <w:ind w:right="121"/>
              <w:spacing w:after="0" w:line="155" w:lineRule="exact"/>
              <w:rPr>
                <w:sz w:val="20"/>
                <w:szCs w:val="20"/>
                <w:color w:val="auto"/>
              </w:rPr>
            </w:pPr>
            <w:r>
              <w:rPr>
                <w:rFonts w:ascii="Arial" w:cs="Arial" w:eastAsia="Arial" w:hAnsi="Arial"/>
                <w:sz w:val="16"/>
                <w:szCs w:val="16"/>
                <w:b w:val="1"/>
                <w:bCs w:val="1"/>
                <w:color w:val="FFFFFF"/>
                <w:w w:val="96"/>
              </w:rPr>
              <w:t>Quarter</w:t>
            </w:r>
          </w:p>
        </w:tc>
        <w:tc>
          <w:tcPr>
            <w:tcW w:w="940" w:type="dxa"/>
            <w:vAlign w:val="bottom"/>
            <w:tcBorders>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1980" w:type="dxa"/>
            <w:vAlign w:val="bottom"/>
            <w:tcBorders>
              <w:right w:val="single" w:sz="8" w:color="auto"/>
            </w:tcBorders>
            <w:gridSpan w:val="2"/>
            <w:shd w:val="clear" w:color="auto" w:fill="2AD2C9"/>
          </w:tcPr>
          <w:p>
            <w:pPr>
              <w:jc w:val="right"/>
              <w:ind w:right="56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62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vMerge w:val="continue"/>
            <w:shd w:val="clear" w:color="auto" w:fill="2AD2C9"/>
          </w:tcPr>
          <w:p>
            <w:pPr>
              <w:spacing w:after="0"/>
              <w:rPr>
                <w:sz w:val="16"/>
                <w:szCs w:val="16"/>
                <w:color w:val="auto"/>
              </w:rPr>
            </w:pPr>
          </w:p>
        </w:tc>
        <w:tc>
          <w:tcPr>
            <w:tcW w:w="1000" w:type="dxa"/>
            <w:vAlign w:val="bottom"/>
            <w:tcBorders>
              <w:bottom w:val="single" w:sz="8" w:color="auto"/>
            </w:tcBorders>
            <w:shd w:val="clear" w:color="auto" w:fill="2AD2C9"/>
          </w:tcPr>
          <w:p>
            <w:pPr>
              <w:jc w:val="center"/>
              <w:ind w:right="121"/>
              <w:spacing w:after="0"/>
              <w:rPr>
                <w:sz w:val="20"/>
                <w:szCs w:val="20"/>
                <w:color w:val="auto"/>
              </w:rPr>
            </w:pPr>
            <w:r>
              <w:rPr>
                <w:rFonts w:ascii="Arial" w:cs="Arial" w:eastAsia="Arial" w:hAnsi="Arial"/>
                <w:sz w:val="16"/>
                <w:szCs w:val="16"/>
                <w:b w:val="1"/>
                <w:bCs w:val="1"/>
                <w:color w:val="FFFFFF"/>
              </w:rPr>
              <w:t>4Q21</w:t>
            </w:r>
          </w:p>
        </w:tc>
        <w:tc>
          <w:tcPr>
            <w:tcW w:w="94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2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4620" w:type="dxa"/>
            <w:vAlign w:val="bottom"/>
            <w:tcBorders>
              <w:left w:val="single" w:sz="8" w:color="auto"/>
            </w:tcBorders>
          </w:tcPr>
          <w:p>
            <w:pPr>
              <w:ind w:left="20"/>
              <w:spacing w:after="0" w:line="155" w:lineRule="exact"/>
              <w:rPr>
                <w:sz w:val="20"/>
                <w:szCs w:val="20"/>
                <w:color w:val="auto"/>
              </w:rPr>
            </w:pPr>
            <w:r>
              <w:rPr>
                <w:rFonts w:ascii="Arial" w:cs="Arial" w:eastAsia="Arial" w:hAnsi="Arial"/>
                <w:sz w:val="16"/>
                <w:szCs w:val="16"/>
                <w:color w:val="auto"/>
              </w:rPr>
              <w:t>Net interest income</w:t>
            </w:r>
          </w:p>
        </w:tc>
        <w:tc>
          <w:tcPr>
            <w:tcW w:w="1660" w:type="dxa"/>
            <w:vAlign w:val="bottom"/>
            <w:tcBorders>
              <w:right w:val="single" w:sz="8" w:color="auto"/>
            </w:tcBorders>
          </w:tcPr>
          <w:p>
            <w:pPr>
              <w:spacing w:after="0"/>
              <w:rPr>
                <w:sz w:val="13"/>
                <w:szCs w:val="13"/>
                <w:color w:val="auto"/>
              </w:rPr>
            </w:pPr>
          </w:p>
        </w:tc>
        <w:tc>
          <w:tcPr>
            <w:tcW w:w="1080" w:type="dxa"/>
            <w:vAlign w:val="bottom"/>
          </w:tcPr>
          <w:p>
            <w:pPr>
              <w:jc w:val="right"/>
              <w:ind w:right="21"/>
              <w:spacing w:after="0" w:line="155" w:lineRule="exact"/>
              <w:rPr>
                <w:sz w:val="20"/>
                <w:szCs w:val="20"/>
                <w:color w:val="auto"/>
              </w:rPr>
            </w:pPr>
            <w:r>
              <w:rPr>
                <w:rFonts w:ascii="Arial" w:cs="Arial" w:eastAsia="Arial" w:hAnsi="Arial"/>
                <w:sz w:val="16"/>
                <w:szCs w:val="16"/>
                <w:color w:val="auto"/>
              </w:rPr>
              <w:t>75,189</w:t>
            </w:r>
          </w:p>
        </w:tc>
        <w:tc>
          <w:tcPr>
            <w:tcW w:w="1000" w:type="dxa"/>
            <w:vAlign w:val="bottom"/>
          </w:tcPr>
          <w:p>
            <w:pPr>
              <w:jc w:val="right"/>
              <w:ind w:right="21"/>
              <w:spacing w:after="0" w:line="155" w:lineRule="exact"/>
              <w:rPr>
                <w:sz w:val="20"/>
                <w:szCs w:val="20"/>
                <w:color w:val="auto"/>
              </w:rPr>
            </w:pPr>
            <w:r>
              <w:rPr>
                <w:rFonts w:ascii="Arial" w:cs="Arial" w:eastAsia="Arial" w:hAnsi="Arial"/>
                <w:sz w:val="16"/>
                <w:szCs w:val="16"/>
                <w:color w:val="auto"/>
              </w:rPr>
              <w:t>83,842</w:t>
            </w:r>
          </w:p>
        </w:tc>
        <w:tc>
          <w:tcPr>
            <w:tcW w:w="9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81,157</w:t>
            </w:r>
          </w:p>
        </w:tc>
        <w:tc>
          <w:tcPr>
            <w:tcW w:w="1120" w:type="dxa"/>
            <w:vAlign w:val="bottom"/>
          </w:tcPr>
          <w:p>
            <w:pPr>
              <w:jc w:val="right"/>
              <w:ind w:right="41"/>
              <w:spacing w:after="0" w:line="155" w:lineRule="exact"/>
              <w:rPr>
                <w:sz w:val="20"/>
                <w:szCs w:val="20"/>
                <w:color w:val="auto"/>
              </w:rPr>
            </w:pPr>
            <w:r>
              <w:rPr>
                <w:rFonts w:ascii="Arial" w:cs="Arial" w:eastAsia="Arial" w:hAnsi="Arial"/>
                <w:sz w:val="16"/>
                <w:szCs w:val="16"/>
                <w:color w:val="auto"/>
              </w:rPr>
              <w:t>-3.2%</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Provision for loan losses, net of recoveries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(23,581)</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(7,908)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2,858</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-136.1%</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Net interest income after provisions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51,608</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b w:val="1"/>
                <w:bCs w:val="1"/>
                <w:color w:val="auto"/>
              </w:rPr>
              <w:t>75,934</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84,015</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10.6%</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62.8%</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Non-financial income</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35,623</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48,202</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39,645</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-17.8%</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Total expenses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(64,743)</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(90,747)</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(72,563)</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-20.0%</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Translation result</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(12)</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68.9%</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Income taxes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(11,023)</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(10,866)</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(30,640)</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182.0%</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194"/>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11,453</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22,532</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20,474</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9.1%</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78.8%</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20" w:type="dxa"/>
            <w:vAlign w:val="bottom"/>
            <w:tcBorders>
              <w:left w:val="single" w:sz="8" w:color="auto"/>
            </w:tcBorders>
          </w:tcPr>
          <w:p>
            <w:pPr>
              <w:ind w:left="20"/>
              <w:spacing w:after="0" w:line="155" w:lineRule="exact"/>
              <w:rPr>
                <w:sz w:val="20"/>
                <w:szCs w:val="20"/>
                <w:color w:val="auto"/>
              </w:rPr>
            </w:pPr>
            <w:r>
              <w:rPr>
                <w:rFonts w:ascii="Arial" w:cs="Arial" w:eastAsia="Arial" w:hAnsi="Arial"/>
                <w:sz w:val="16"/>
                <w:szCs w:val="16"/>
                <w:color w:val="auto"/>
              </w:rPr>
              <w:t>Efficiency ratio</w:t>
            </w:r>
          </w:p>
        </w:tc>
        <w:tc>
          <w:tcPr>
            <w:tcW w:w="1660" w:type="dxa"/>
            <w:vAlign w:val="bottom"/>
            <w:tcBorders>
              <w:right w:val="single" w:sz="8" w:color="auto"/>
            </w:tcBorders>
          </w:tcPr>
          <w:p>
            <w:pPr>
              <w:spacing w:after="0"/>
              <w:rPr>
                <w:sz w:val="13"/>
                <w:szCs w:val="13"/>
                <w:color w:val="auto"/>
              </w:rPr>
            </w:pPr>
          </w:p>
        </w:tc>
        <w:tc>
          <w:tcPr>
            <w:tcW w:w="1080" w:type="dxa"/>
            <w:vAlign w:val="bottom"/>
          </w:tcPr>
          <w:p>
            <w:pPr>
              <w:jc w:val="right"/>
              <w:ind w:right="21"/>
              <w:spacing w:after="0" w:line="155" w:lineRule="exact"/>
              <w:rPr>
                <w:sz w:val="20"/>
                <w:szCs w:val="20"/>
                <w:color w:val="auto"/>
              </w:rPr>
            </w:pPr>
            <w:r>
              <w:rPr>
                <w:rFonts w:ascii="Arial" w:cs="Arial" w:eastAsia="Arial" w:hAnsi="Arial"/>
                <w:sz w:val="16"/>
                <w:szCs w:val="16"/>
                <w:color w:val="auto"/>
              </w:rPr>
              <w:t>59.7%</w:t>
            </w:r>
          </w:p>
        </w:tc>
        <w:tc>
          <w:tcPr>
            <w:tcW w:w="1000" w:type="dxa"/>
            <w:vAlign w:val="bottom"/>
          </w:tcPr>
          <w:p>
            <w:pPr>
              <w:jc w:val="right"/>
              <w:ind w:right="21"/>
              <w:spacing w:after="0" w:line="155" w:lineRule="exact"/>
              <w:rPr>
                <w:sz w:val="20"/>
                <w:szCs w:val="20"/>
                <w:color w:val="auto"/>
              </w:rPr>
            </w:pPr>
            <w:r>
              <w:rPr>
                <w:rFonts w:ascii="Arial" w:cs="Arial" w:eastAsia="Arial" w:hAnsi="Arial"/>
                <w:sz w:val="16"/>
                <w:szCs w:val="16"/>
                <w:color w:val="auto"/>
              </w:rPr>
              <w:t>70.0%</w:t>
            </w:r>
          </w:p>
        </w:tc>
        <w:tc>
          <w:tcPr>
            <w:tcW w:w="9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59.9%</w:t>
            </w:r>
          </w:p>
        </w:tc>
        <w:tc>
          <w:tcPr>
            <w:tcW w:w="1120" w:type="dxa"/>
            <w:vAlign w:val="bottom"/>
          </w:tcPr>
          <w:p>
            <w:pPr>
              <w:jc w:val="right"/>
              <w:ind w:right="41"/>
              <w:spacing w:after="0" w:line="155" w:lineRule="exact"/>
              <w:rPr>
                <w:sz w:val="20"/>
                <w:szCs w:val="20"/>
                <w:color w:val="auto"/>
              </w:rPr>
            </w:pPr>
            <w:r>
              <w:rPr>
                <w:rFonts w:ascii="Arial" w:cs="Arial" w:eastAsia="Arial" w:hAnsi="Arial"/>
                <w:sz w:val="16"/>
                <w:szCs w:val="16"/>
                <w:color w:val="auto"/>
              </w:rPr>
              <w:t>-1010 pbs</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20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ROAE</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6.5%</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10.1%</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-70 pbs</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360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L/D ratio</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82.5%</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83.1%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83.3%</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20 pbs</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74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IOL ratio</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2.14%</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0.94%</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1.92%</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100 pbs</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NPL ratio</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4.39%</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2.28%</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100 pbs</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-211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Coverage of IOLs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258.5%</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498.7%</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236.4%</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-26230 pbs</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-2214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Coverage of NPLs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125.8%</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357.8%</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199.3%</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-15850 pbs</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7352 pbs</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Branches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55</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44</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Agentes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850</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1011</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1078</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67</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73"/>
        </w:trPr>
        <w:tc>
          <w:tcPr>
            <w:tcW w:w="462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ATMs</w:t>
            </w:r>
          </w:p>
        </w:tc>
        <w:tc>
          <w:tcPr>
            <w:tcW w:w="1660" w:type="dxa"/>
            <w:vAlign w:val="bottom"/>
            <w:tcBorders>
              <w:right w:val="single" w:sz="8" w:color="auto"/>
            </w:tcBorders>
          </w:tcPr>
          <w:p>
            <w:pPr>
              <w:spacing w:after="0"/>
              <w:rPr>
                <w:sz w:val="15"/>
                <w:szCs w:val="15"/>
                <w:color w:val="auto"/>
              </w:rPr>
            </w:pPr>
          </w:p>
        </w:tc>
        <w:tc>
          <w:tcPr>
            <w:tcW w:w="108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310</w:t>
            </w:r>
          </w:p>
        </w:tc>
        <w:tc>
          <w:tcPr>
            <w:tcW w:w="10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310</w:t>
            </w:r>
          </w:p>
        </w:tc>
        <w:tc>
          <w:tcPr>
            <w:tcW w:w="9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310</w:t>
            </w:r>
          </w:p>
        </w:tc>
        <w:tc>
          <w:tcPr>
            <w:tcW w:w="1120" w:type="dxa"/>
            <w:vAlign w:val="bottom"/>
          </w:tcPr>
          <w:p>
            <w:pPr>
              <w:jc w:val="right"/>
              <w:ind w:right="41"/>
              <w:spacing w:after="0" w:line="174" w:lineRule="exact"/>
              <w:rPr>
                <w:sz w:val="20"/>
                <w:szCs w:val="20"/>
                <w:color w:val="auto"/>
              </w:rPr>
            </w:pPr>
            <w:r>
              <w:rPr>
                <w:rFonts w:ascii="Arial" w:cs="Arial" w:eastAsia="Arial" w:hAnsi="Arial"/>
                <w:sz w:val="16"/>
                <w:szCs w:val="16"/>
                <w:color w:val="auto"/>
              </w:rPr>
              <w:t>0</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4"/>
        </w:trPr>
        <w:tc>
          <w:tcPr>
            <w:tcW w:w="46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Employees</w:t>
            </w:r>
          </w:p>
        </w:tc>
        <w:tc>
          <w:tcPr>
            <w:tcW w:w="166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1,618</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1,568</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1,586</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467"/>
        </w:trPr>
        <w:tc>
          <w:tcPr>
            <w:tcW w:w="4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0" w:type="dxa"/>
            <w:vAlign w:val="bottom"/>
          </w:tcPr>
          <w:p>
            <w:pPr>
              <w:spacing w:after="0"/>
              <w:rPr>
                <w:sz w:val="1"/>
                <w:szCs w:val="1"/>
                <w:color w:val="auto"/>
              </w:rPr>
            </w:pPr>
          </w:p>
        </w:tc>
      </w:tr>
      <w:tr>
        <w:trPr>
          <w:trHeight w:val="33"/>
        </w:trPr>
        <w:tc>
          <w:tcPr>
            <w:tcW w:w="4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07" w:right="319" w:bottom="1440" w:gutter="0" w:footer="0" w:header="0"/>
        </w:sectPr>
      </w:pPr>
    </w:p>
    <w:bookmarkStart w:id="63" w:name="page64"/>
    <w:bookmarkEnd w:id="63"/>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12.5.6. Mibanco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MIBANCO</w:t>
      </w:r>
    </w:p>
    <w:p>
      <w:pPr>
        <w:jc w:val="center"/>
        <w:spacing w:after="0"/>
        <w:rPr>
          <w:sz w:val="20"/>
          <w:szCs w:val="20"/>
          <w:color w:val="auto"/>
        </w:rPr>
      </w:pPr>
      <w:r>
        <w:rPr>
          <w:rFonts w:ascii="Times New Roman" w:cs="Times New Roman" w:eastAsia="Times New Roman" w:hAnsi="Times New Roman"/>
          <w:sz w:val="16"/>
          <w:szCs w:val="16"/>
          <w:b w:val="1"/>
          <w:bCs w:val="1"/>
          <w:color w:val="auto"/>
        </w:rPr>
        <w:t>(In S/ thousands, IFRS)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700" w:type="dxa"/>
            <w:vAlign w:val="bottom"/>
            <w:tcBorders>
              <w:right w:val="single" w:sz="8" w:color="auto"/>
            </w:tcBorders>
          </w:tcPr>
          <w:p>
            <w:pPr>
              <w:spacing w:after="0"/>
              <w:rPr>
                <w:sz w:val="15"/>
                <w:szCs w:val="15"/>
                <w:color w:val="auto"/>
              </w:rPr>
            </w:pPr>
          </w:p>
        </w:tc>
        <w:tc>
          <w:tcPr>
            <w:tcW w:w="1440" w:type="dxa"/>
            <w:vAlign w:val="bottom"/>
            <w:tcBorders>
              <w:top w:val="single" w:sz="8" w:color="auto"/>
            </w:tcBorders>
            <w:vMerge w:val="restart"/>
            <w:shd w:val="clear" w:color="auto" w:fill="2AD2C9"/>
          </w:tcPr>
          <w:p>
            <w:pPr>
              <w:jc w:val="right"/>
              <w:ind w:right="481"/>
              <w:spacing w:after="0"/>
              <w:rPr>
                <w:sz w:val="20"/>
                <w:szCs w:val="20"/>
                <w:color w:val="auto"/>
              </w:rPr>
            </w:pPr>
            <w:r>
              <w:rPr>
                <w:rFonts w:ascii="Arial" w:cs="Arial" w:eastAsia="Arial" w:hAnsi="Arial"/>
                <w:sz w:val="16"/>
                <w:szCs w:val="16"/>
                <w:b w:val="1"/>
                <w:bCs w:val="1"/>
                <w:color w:val="FFFFFF"/>
              </w:rPr>
              <w:t>Mar 21</w:t>
            </w:r>
          </w:p>
        </w:tc>
        <w:tc>
          <w:tcPr>
            <w:tcW w:w="1280" w:type="dxa"/>
            <w:vAlign w:val="bottom"/>
            <w:tcBorders>
              <w:top w:val="single" w:sz="8" w:color="auto"/>
            </w:tcBorders>
            <w:shd w:val="clear" w:color="auto" w:fill="2AD2C9"/>
          </w:tcPr>
          <w:p>
            <w:pPr>
              <w:jc w:val="center"/>
              <w:ind w:right="321"/>
              <w:spacing w:after="0" w:line="176" w:lineRule="exact"/>
              <w:rPr>
                <w:sz w:val="20"/>
                <w:szCs w:val="20"/>
                <w:color w:val="auto"/>
              </w:rPr>
            </w:pPr>
            <w:r>
              <w:rPr>
                <w:rFonts w:ascii="Arial" w:cs="Arial" w:eastAsia="Arial" w:hAnsi="Arial"/>
                <w:sz w:val="16"/>
                <w:szCs w:val="16"/>
                <w:b w:val="1"/>
                <w:bCs w:val="1"/>
                <w:color w:val="FFFFFF"/>
                <w:w w:val="99"/>
              </w:rPr>
              <w:t>As of</w:t>
            </w:r>
          </w:p>
        </w:tc>
        <w:tc>
          <w:tcPr>
            <w:tcW w:w="1080" w:type="dxa"/>
            <w:vAlign w:val="bottom"/>
            <w:tcBorders>
              <w:top w:val="single" w:sz="8" w:color="auto"/>
              <w:right w:val="single" w:sz="8" w:color="auto"/>
            </w:tcBorders>
            <w:vMerge w:val="restart"/>
            <w:shd w:val="clear" w:color="auto" w:fill="2AD2C9"/>
          </w:tcPr>
          <w:p>
            <w:pPr>
              <w:jc w:val="right"/>
              <w:ind w:right="321"/>
              <w:spacing w:after="0"/>
              <w:rPr>
                <w:sz w:val="20"/>
                <w:szCs w:val="20"/>
                <w:color w:val="auto"/>
              </w:rPr>
            </w:pPr>
            <w:r>
              <w:rPr>
                <w:rFonts w:ascii="Arial" w:cs="Arial" w:eastAsia="Arial" w:hAnsi="Arial"/>
                <w:sz w:val="16"/>
                <w:szCs w:val="16"/>
                <w:b w:val="1"/>
                <w:bCs w:val="1"/>
                <w:color w:val="FFFFFF"/>
              </w:rPr>
              <w:t>Mar 22</w:t>
            </w:r>
          </w:p>
        </w:tc>
        <w:tc>
          <w:tcPr>
            <w:tcW w:w="1780" w:type="dxa"/>
            <w:vAlign w:val="bottom"/>
            <w:tcBorders>
              <w:top w:val="single" w:sz="8" w:color="auto"/>
              <w:right w:val="single" w:sz="8" w:color="auto"/>
            </w:tcBorders>
            <w:gridSpan w:val="2"/>
            <w:shd w:val="clear" w:color="auto" w:fill="2AD2C9"/>
          </w:tcPr>
          <w:p>
            <w:pPr>
              <w:jc w:val="right"/>
              <w:ind w:right="44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57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vMerge w:val="continue"/>
            <w:shd w:val="clear" w:color="auto" w:fill="2AD2C9"/>
          </w:tcPr>
          <w:p>
            <w:pPr>
              <w:spacing w:after="0"/>
              <w:rPr>
                <w:sz w:val="16"/>
                <w:szCs w:val="16"/>
                <w:color w:val="auto"/>
              </w:rPr>
            </w:pPr>
          </w:p>
        </w:tc>
        <w:tc>
          <w:tcPr>
            <w:tcW w:w="1280" w:type="dxa"/>
            <w:vAlign w:val="bottom"/>
            <w:tcBorders>
              <w:bottom w:val="single" w:sz="8" w:color="auto"/>
            </w:tcBorders>
            <w:shd w:val="clear" w:color="auto" w:fill="2AD2C9"/>
          </w:tcPr>
          <w:p>
            <w:pPr>
              <w:jc w:val="center"/>
              <w:ind w:right="281"/>
              <w:spacing w:after="0"/>
              <w:rPr>
                <w:sz w:val="20"/>
                <w:szCs w:val="20"/>
                <w:color w:val="auto"/>
              </w:rPr>
            </w:pPr>
            <w:r>
              <w:rPr>
                <w:rFonts w:ascii="Arial" w:cs="Arial" w:eastAsia="Arial" w:hAnsi="Arial"/>
                <w:sz w:val="16"/>
                <w:szCs w:val="16"/>
                <w:b w:val="1"/>
                <w:bCs w:val="1"/>
                <w:color w:val="FFFFFF"/>
              </w:rPr>
              <w:t>Dec 21</w:t>
            </w:r>
          </w:p>
        </w:tc>
        <w:tc>
          <w:tcPr>
            <w:tcW w:w="10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940" w:type="dxa"/>
            <w:vAlign w:val="bottom"/>
            <w:tcBorders>
              <w:bottom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57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ASSETS</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Cash and due from banks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1,373,259</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1,107,339</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1,400,085</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26.4%</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Investments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1,528,708</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1,591,562</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1,746,228</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9.7%</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Total loans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12,990,370</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b w:val="1"/>
                <w:bCs w:val="1"/>
                <w:color w:val="auto"/>
              </w:rPr>
              <w:t>13,512,892</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13,983,905</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3.5%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7.6%</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Current</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11,724,305</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12,544,853</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12,965,841</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3.4%</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Internal overdue loans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1,187,277</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905,082</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951,029</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5.1%</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Refinanced</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78,789</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62,957</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67,035</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Allowance for loan losses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-1,862,739</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-1,145,702</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-1,146,067</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Net loans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11,127,631</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b w:val="1"/>
                <w:bCs w:val="1"/>
                <w:color w:val="auto"/>
              </w:rPr>
              <w:t>12,367,190</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12,837,838</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3.8%</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Property, plant and equipment, net</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151,052</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144,237</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139,875</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Other assets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1,120,807</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952,303</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854,944</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-10.2%</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8"/>
        </w:trPr>
        <w:tc>
          <w:tcPr>
            <w:tcW w:w="5700" w:type="dxa"/>
            <w:vAlign w:val="bottom"/>
            <w:tcBorders>
              <w:left w:val="single" w:sz="8" w:color="auto"/>
              <w:right w:val="single" w:sz="8" w:color="auto"/>
            </w:tcBorders>
          </w:tcPr>
          <w:p>
            <w:pPr>
              <w:ind w:left="2400"/>
              <w:spacing w:after="0"/>
              <w:rPr>
                <w:sz w:val="20"/>
                <w:szCs w:val="20"/>
                <w:color w:val="auto"/>
              </w:rPr>
            </w:pPr>
            <w:r>
              <w:rPr>
                <w:rFonts w:ascii="Arial" w:cs="Arial" w:eastAsia="Arial" w:hAnsi="Arial"/>
                <w:sz w:val="16"/>
                <w:szCs w:val="16"/>
                <w:b w:val="1"/>
                <w:bCs w:val="1"/>
                <w:color w:val="auto"/>
              </w:rPr>
              <w:t>Total assets</w:t>
            </w:r>
          </w:p>
        </w:tc>
        <w:tc>
          <w:tcPr>
            <w:tcW w:w="1440" w:type="dxa"/>
            <w:vAlign w:val="bottom"/>
          </w:tcPr>
          <w:p>
            <w:pPr>
              <w:jc w:val="right"/>
              <w:ind w:right="81"/>
              <w:spacing w:after="0"/>
              <w:rPr>
                <w:sz w:val="20"/>
                <w:szCs w:val="20"/>
                <w:color w:val="auto"/>
              </w:rPr>
            </w:pPr>
            <w:r>
              <w:rPr>
                <w:rFonts w:ascii="Arial" w:cs="Arial" w:eastAsia="Arial" w:hAnsi="Arial"/>
                <w:sz w:val="16"/>
                <w:szCs w:val="16"/>
                <w:b w:val="1"/>
                <w:bCs w:val="1"/>
                <w:color w:val="auto"/>
              </w:rPr>
              <w:t>15,301,458</w:t>
            </w:r>
          </w:p>
        </w:tc>
        <w:tc>
          <w:tcPr>
            <w:tcW w:w="1280" w:type="dxa"/>
            <w:vAlign w:val="bottom"/>
          </w:tcPr>
          <w:p>
            <w:pPr>
              <w:jc w:val="right"/>
              <w:ind w:right="121"/>
              <w:spacing w:after="0"/>
              <w:rPr>
                <w:sz w:val="20"/>
                <w:szCs w:val="20"/>
                <w:color w:val="auto"/>
              </w:rPr>
            </w:pPr>
            <w:r>
              <w:rPr>
                <w:rFonts w:ascii="Arial" w:cs="Arial" w:eastAsia="Arial" w:hAnsi="Arial"/>
                <w:sz w:val="16"/>
                <w:szCs w:val="16"/>
                <w:b w:val="1"/>
                <w:bCs w:val="1"/>
                <w:color w:val="auto"/>
              </w:rPr>
              <w:t>16,162,630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16,978,970</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291"/>
        </w:trPr>
        <w:tc>
          <w:tcPr>
            <w:tcW w:w="5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LIABILITIES AND NET SHAREHOLDERS' EQUITY</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Deposits and obligations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8,371,900</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8,426,058</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8,782,960</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4.2%</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Due to banks and correspondents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1,423,122</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2,413,663</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2,952,092</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22.3%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Bonds and subordinated debt</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290,524</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188,310</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256,701</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36.3%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Other liabilities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3,096,616</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2,771,810</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2,523,136</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-9.0%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8"/>
        </w:trPr>
        <w:tc>
          <w:tcPr>
            <w:tcW w:w="5700" w:type="dxa"/>
            <w:vAlign w:val="bottom"/>
            <w:tcBorders>
              <w:left w:val="single" w:sz="8" w:color="auto"/>
              <w:right w:val="single" w:sz="8" w:color="auto"/>
            </w:tcBorders>
          </w:tcPr>
          <w:p>
            <w:pPr>
              <w:ind w:left="2300"/>
              <w:spacing w:after="0"/>
              <w:rPr>
                <w:sz w:val="20"/>
                <w:szCs w:val="20"/>
                <w:color w:val="auto"/>
              </w:rPr>
            </w:pPr>
            <w:r>
              <w:rPr>
                <w:rFonts w:ascii="Arial" w:cs="Arial" w:eastAsia="Arial" w:hAnsi="Arial"/>
                <w:sz w:val="16"/>
                <w:szCs w:val="16"/>
                <w:b w:val="1"/>
                <w:bCs w:val="1"/>
                <w:color w:val="auto"/>
              </w:rPr>
              <w:t>Total liabilities</w:t>
            </w:r>
          </w:p>
        </w:tc>
        <w:tc>
          <w:tcPr>
            <w:tcW w:w="1440" w:type="dxa"/>
            <w:vAlign w:val="bottom"/>
          </w:tcPr>
          <w:p>
            <w:pPr>
              <w:jc w:val="right"/>
              <w:ind w:right="81"/>
              <w:spacing w:after="0"/>
              <w:rPr>
                <w:sz w:val="20"/>
                <w:szCs w:val="20"/>
                <w:color w:val="auto"/>
              </w:rPr>
            </w:pPr>
            <w:r>
              <w:rPr>
                <w:rFonts w:ascii="Arial" w:cs="Arial" w:eastAsia="Arial" w:hAnsi="Arial"/>
                <w:sz w:val="16"/>
                <w:szCs w:val="16"/>
                <w:b w:val="1"/>
                <w:bCs w:val="1"/>
                <w:color w:val="auto"/>
              </w:rPr>
              <w:t>13,182,162</w:t>
            </w:r>
          </w:p>
        </w:tc>
        <w:tc>
          <w:tcPr>
            <w:tcW w:w="1280" w:type="dxa"/>
            <w:vAlign w:val="bottom"/>
          </w:tcPr>
          <w:p>
            <w:pPr>
              <w:jc w:val="right"/>
              <w:ind w:right="121"/>
              <w:spacing w:after="0"/>
              <w:rPr>
                <w:sz w:val="20"/>
                <w:szCs w:val="20"/>
                <w:color w:val="auto"/>
              </w:rPr>
            </w:pPr>
            <w:r>
              <w:rPr>
                <w:rFonts w:ascii="Arial" w:cs="Arial" w:eastAsia="Arial" w:hAnsi="Arial"/>
                <w:sz w:val="16"/>
                <w:szCs w:val="16"/>
                <w:b w:val="1"/>
                <w:bCs w:val="1"/>
                <w:color w:val="auto"/>
              </w:rPr>
              <w:t>13,799,841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14,514,889</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5.2%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336"/>
        </w:trPr>
        <w:tc>
          <w:tcPr>
            <w:tcW w:w="57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equity</w:t>
            </w:r>
          </w:p>
        </w:tc>
        <w:tc>
          <w:tcPr>
            <w:tcW w:w="1440" w:type="dxa"/>
            <w:vAlign w:val="bottom"/>
          </w:tcPr>
          <w:p>
            <w:pPr>
              <w:jc w:val="right"/>
              <w:ind w:right="81"/>
              <w:spacing w:after="0"/>
              <w:rPr>
                <w:sz w:val="20"/>
                <w:szCs w:val="20"/>
                <w:color w:val="auto"/>
              </w:rPr>
            </w:pPr>
            <w:r>
              <w:rPr>
                <w:rFonts w:ascii="Arial" w:cs="Arial" w:eastAsia="Arial" w:hAnsi="Arial"/>
                <w:sz w:val="16"/>
                <w:szCs w:val="16"/>
                <w:b w:val="1"/>
                <w:bCs w:val="1"/>
                <w:color w:val="auto"/>
              </w:rPr>
              <w:t>2,119,295</w:t>
            </w:r>
          </w:p>
        </w:tc>
        <w:tc>
          <w:tcPr>
            <w:tcW w:w="1280" w:type="dxa"/>
            <w:vAlign w:val="bottom"/>
          </w:tcPr>
          <w:p>
            <w:pPr>
              <w:jc w:val="right"/>
              <w:ind w:right="121"/>
              <w:spacing w:after="0"/>
              <w:rPr>
                <w:sz w:val="20"/>
                <w:szCs w:val="20"/>
                <w:color w:val="auto"/>
              </w:rPr>
            </w:pPr>
            <w:r>
              <w:rPr>
                <w:rFonts w:ascii="Arial" w:cs="Arial" w:eastAsia="Arial" w:hAnsi="Arial"/>
                <w:sz w:val="16"/>
                <w:szCs w:val="16"/>
                <w:b w:val="1"/>
                <w:bCs w:val="1"/>
                <w:color w:val="auto"/>
              </w:rPr>
              <w:t>2,362,789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2,464,082</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4.3%</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16.3%</w:t>
            </w:r>
          </w:p>
        </w:tc>
        <w:tc>
          <w:tcPr>
            <w:tcW w:w="0" w:type="dxa"/>
            <w:vAlign w:val="bottom"/>
          </w:tcPr>
          <w:p>
            <w:pPr>
              <w:spacing w:after="0"/>
              <w:rPr>
                <w:sz w:val="1"/>
                <w:szCs w:val="1"/>
                <w:color w:val="auto"/>
              </w:rPr>
            </w:pPr>
          </w:p>
        </w:tc>
      </w:tr>
      <w:tr>
        <w:trPr>
          <w:trHeight w:val="312"/>
        </w:trPr>
        <w:tc>
          <w:tcPr>
            <w:tcW w:w="5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NET SHAREHOLDERS' EQUITY</w:t>
            </w: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15,301,458</w:t>
            </w: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16,162,630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16,978,970</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700" w:type="dxa"/>
            <w:vAlign w:val="bottom"/>
            <w:tcBorders>
              <w:right w:val="single" w:sz="8" w:color="auto"/>
            </w:tcBorders>
          </w:tcPr>
          <w:p>
            <w:pPr>
              <w:spacing w:after="0"/>
              <w:rPr>
                <w:sz w:val="13"/>
                <w:szCs w:val="13"/>
                <w:color w:val="auto"/>
              </w:rPr>
            </w:pPr>
          </w:p>
        </w:tc>
        <w:tc>
          <w:tcPr>
            <w:tcW w:w="1440" w:type="dxa"/>
            <w:vAlign w:val="bottom"/>
            <w:vMerge w:val="restart"/>
            <w:shd w:val="clear" w:color="auto" w:fill="2AD2C9"/>
          </w:tcPr>
          <w:p>
            <w:pPr>
              <w:jc w:val="right"/>
              <w:ind w:right="541"/>
              <w:spacing w:after="0"/>
              <w:rPr>
                <w:sz w:val="20"/>
                <w:szCs w:val="20"/>
                <w:color w:val="auto"/>
              </w:rPr>
            </w:pPr>
            <w:r>
              <w:rPr>
                <w:rFonts w:ascii="Arial" w:cs="Arial" w:eastAsia="Arial" w:hAnsi="Arial"/>
                <w:sz w:val="16"/>
                <w:szCs w:val="16"/>
                <w:b w:val="1"/>
                <w:bCs w:val="1"/>
                <w:color w:val="FFFFFF"/>
              </w:rPr>
              <w:t>1Q21</w:t>
            </w:r>
          </w:p>
        </w:tc>
        <w:tc>
          <w:tcPr>
            <w:tcW w:w="1280" w:type="dxa"/>
            <w:vAlign w:val="bottom"/>
            <w:shd w:val="clear" w:color="auto" w:fill="2AD2C9"/>
          </w:tcPr>
          <w:p>
            <w:pPr>
              <w:jc w:val="center"/>
              <w:ind w:right="301"/>
              <w:spacing w:after="0" w:line="155" w:lineRule="exact"/>
              <w:rPr>
                <w:sz w:val="20"/>
                <w:szCs w:val="20"/>
                <w:color w:val="auto"/>
              </w:rPr>
            </w:pPr>
            <w:r>
              <w:rPr>
                <w:rFonts w:ascii="Arial" w:cs="Arial" w:eastAsia="Arial" w:hAnsi="Arial"/>
                <w:sz w:val="16"/>
                <w:szCs w:val="16"/>
                <w:b w:val="1"/>
                <w:bCs w:val="1"/>
                <w:color w:val="FFFFFF"/>
              </w:rPr>
              <w:t>Quarter</w:t>
            </w:r>
          </w:p>
        </w:tc>
        <w:tc>
          <w:tcPr>
            <w:tcW w:w="1080" w:type="dxa"/>
            <w:vAlign w:val="bottom"/>
            <w:tcBorders>
              <w:right w:val="single" w:sz="8" w:color="auto"/>
            </w:tcBorders>
            <w:vMerge w:val="restart"/>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1Q22</w:t>
            </w:r>
          </w:p>
        </w:tc>
        <w:tc>
          <w:tcPr>
            <w:tcW w:w="1780" w:type="dxa"/>
            <w:vAlign w:val="bottom"/>
            <w:tcBorders>
              <w:right w:val="single" w:sz="8" w:color="auto"/>
            </w:tcBorders>
            <w:gridSpan w:val="2"/>
            <w:shd w:val="clear" w:color="auto" w:fill="2AD2C9"/>
          </w:tcPr>
          <w:p>
            <w:pPr>
              <w:jc w:val="right"/>
              <w:ind w:right="44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57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vMerge w:val="continue"/>
            <w:shd w:val="clear" w:color="auto" w:fill="2AD2C9"/>
          </w:tcPr>
          <w:p>
            <w:pPr>
              <w:spacing w:after="0"/>
              <w:rPr>
                <w:sz w:val="16"/>
                <w:szCs w:val="16"/>
                <w:color w:val="auto"/>
              </w:rPr>
            </w:pPr>
          </w:p>
        </w:tc>
        <w:tc>
          <w:tcPr>
            <w:tcW w:w="1280" w:type="dxa"/>
            <w:vAlign w:val="bottom"/>
            <w:tcBorders>
              <w:bottom w:val="single" w:sz="8" w:color="auto"/>
            </w:tcBorders>
            <w:shd w:val="clear" w:color="auto" w:fill="2AD2C9"/>
          </w:tcPr>
          <w:p>
            <w:pPr>
              <w:jc w:val="center"/>
              <w:ind w:right="281"/>
              <w:spacing w:after="0"/>
              <w:rPr>
                <w:sz w:val="20"/>
                <w:szCs w:val="20"/>
                <w:color w:val="auto"/>
              </w:rPr>
            </w:pPr>
            <w:r>
              <w:rPr>
                <w:rFonts w:ascii="Arial" w:cs="Arial" w:eastAsia="Arial" w:hAnsi="Arial"/>
                <w:sz w:val="16"/>
                <w:szCs w:val="16"/>
                <w:b w:val="1"/>
                <w:bCs w:val="1"/>
                <w:color w:val="FFFFFF"/>
              </w:rPr>
              <w:t>4Q21</w:t>
            </w:r>
          </w:p>
        </w:tc>
        <w:tc>
          <w:tcPr>
            <w:tcW w:w="10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940" w:type="dxa"/>
            <w:vAlign w:val="bottom"/>
            <w:tcBorders>
              <w:bottom w:val="single" w:sz="8" w:color="auto"/>
            </w:tcBorders>
            <w:shd w:val="clear" w:color="auto" w:fill="2AD2C9"/>
          </w:tcPr>
          <w:p>
            <w:pPr>
              <w:jc w:val="right"/>
              <w:ind w:right="281"/>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57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Net interest income</w:t>
            </w:r>
          </w:p>
        </w:tc>
        <w:tc>
          <w:tcPr>
            <w:tcW w:w="1440" w:type="dxa"/>
            <w:vAlign w:val="bottom"/>
          </w:tcPr>
          <w:p>
            <w:pPr>
              <w:jc w:val="right"/>
              <w:ind w:right="81"/>
              <w:spacing w:after="0" w:line="155" w:lineRule="exact"/>
              <w:rPr>
                <w:sz w:val="20"/>
                <w:szCs w:val="20"/>
                <w:color w:val="auto"/>
              </w:rPr>
            </w:pPr>
            <w:r>
              <w:rPr>
                <w:rFonts w:ascii="Arial" w:cs="Arial" w:eastAsia="Arial" w:hAnsi="Arial"/>
                <w:sz w:val="16"/>
                <w:szCs w:val="16"/>
                <w:color w:val="auto"/>
              </w:rPr>
              <w:t>403,407</w:t>
            </w:r>
          </w:p>
        </w:tc>
        <w:tc>
          <w:tcPr>
            <w:tcW w:w="128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505,001</w:t>
            </w:r>
          </w:p>
        </w:tc>
        <w:tc>
          <w:tcPr>
            <w:tcW w:w="10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512,222</w:t>
            </w:r>
          </w:p>
        </w:tc>
        <w:tc>
          <w:tcPr>
            <w:tcW w:w="940" w:type="dxa"/>
            <w:vAlign w:val="bottom"/>
          </w:tcPr>
          <w:p>
            <w:pPr>
              <w:jc w:val="right"/>
              <w:ind w:right="41"/>
              <w:spacing w:after="0" w:line="155" w:lineRule="exact"/>
              <w:rPr>
                <w:sz w:val="20"/>
                <w:szCs w:val="20"/>
                <w:color w:val="auto"/>
              </w:rPr>
            </w:pPr>
            <w:r>
              <w:rPr>
                <w:rFonts w:ascii="Arial" w:cs="Arial" w:eastAsia="Arial" w:hAnsi="Arial"/>
                <w:sz w:val="16"/>
                <w:szCs w:val="16"/>
                <w:color w:val="auto"/>
              </w:rPr>
              <w:t>1.4%</w:t>
            </w:r>
          </w:p>
        </w:tc>
        <w:tc>
          <w:tcPr>
            <w:tcW w:w="8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Provision for loan losses, net of recoveries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-138,718</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-40,058</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-105,337</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163.0%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Net interest income after provisions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264,689</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b w:val="1"/>
                <w:bCs w:val="1"/>
                <w:color w:val="auto"/>
              </w:rPr>
              <w:t>464,943</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406,885</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b w:val="1"/>
                <w:bCs w:val="1"/>
                <w:color w:val="auto"/>
              </w:rPr>
              <w:t>-12.5%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53.7%</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Non-financial income</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28,339</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31,668</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30,620</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-3.3%</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Total expenses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-268,751</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-314,635</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-288,029</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-8.5%</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Translation result</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0.0%</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Income taxes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-10,222</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-62,113</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-46,540</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-25.1%</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355.3%</w:t>
            </w:r>
          </w:p>
        </w:tc>
        <w:tc>
          <w:tcPr>
            <w:tcW w:w="0" w:type="dxa"/>
            <w:vAlign w:val="bottom"/>
          </w:tcPr>
          <w:p>
            <w:pPr>
              <w:spacing w:after="0"/>
              <w:rPr>
                <w:sz w:val="1"/>
                <w:szCs w:val="1"/>
                <w:color w:val="auto"/>
              </w:rPr>
            </w:pPr>
          </w:p>
        </w:tc>
      </w:tr>
      <w:tr>
        <w:trPr>
          <w:trHeight w:val="194"/>
        </w:trPr>
        <w:tc>
          <w:tcPr>
            <w:tcW w:w="5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14,055</w:t>
            </w: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119,863</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102,935</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-14.1%</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N/A</w:t>
            </w:r>
          </w:p>
        </w:tc>
        <w:tc>
          <w:tcPr>
            <w:tcW w:w="0" w:type="dxa"/>
            <w:vAlign w:val="bottom"/>
          </w:tcPr>
          <w:p>
            <w:pPr>
              <w:spacing w:after="0"/>
              <w:rPr>
                <w:sz w:val="1"/>
                <w:szCs w:val="1"/>
                <w:color w:val="auto"/>
              </w:rPr>
            </w:pPr>
          </w:p>
        </w:tc>
      </w:tr>
      <w:tr>
        <w:trPr>
          <w:trHeight w:val="164"/>
        </w:trPr>
        <w:tc>
          <w:tcPr>
            <w:tcW w:w="5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7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Efficiency ratio</w:t>
            </w:r>
          </w:p>
        </w:tc>
        <w:tc>
          <w:tcPr>
            <w:tcW w:w="1440" w:type="dxa"/>
            <w:vAlign w:val="bottom"/>
          </w:tcPr>
          <w:p>
            <w:pPr>
              <w:jc w:val="right"/>
              <w:ind w:right="81"/>
              <w:spacing w:after="0" w:line="155" w:lineRule="exact"/>
              <w:rPr>
                <w:sz w:val="20"/>
                <w:szCs w:val="20"/>
                <w:color w:val="auto"/>
              </w:rPr>
            </w:pPr>
            <w:r>
              <w:rPr>
                <w:rFonts w:ascii="Arial" w:cs="Arial" w:eastAsia="Arial" w:hAnsi="Arial"/>
                <w:sz w:val="16"/>
                <w:szCs w:val="16"/>
                <w:color w:val="auto"/>
              </w:rPr>
              <w:t>62.0%</w:t>
            </w:r>
          </w:p>
        </w:tc>
        <w:tc>
          <w:tcPr>
            <w:tcW w:w="1280" w:type="dxa"/>
            <w:vAlign w:val="bottom"/>
          </w:tcPr>
          <w:p>
            <w:pPr>
              <w:jc w:val="right"/>
              <w:ind w:right="121"/>
              <w:spacing w:after="0" w:line="155" w:lineRule="exact"/>
              <w:rPr>
                <w:sz w:val="20"/>
                <w:szCs w:val="20"/>
                <w:color w:val="auto"/>
              </w:rPr>
            </w:pPr>
            <w:r>
              <w:rPr>
                <w:rFonts w:ascii="Arial" w:cs="Arial" w:eastAsia="Arial" w:hAnsi="Arial"/>
                <w:sz w:val="16"/>
                <w:szCs w:val="16"/>
                <w:color w:val="auto"/>
              </w:rPr>
              <w:t>55.6%</w:t>
            </w:r>
          </w:p>
        </w:tc>
        <w:tc>
          <w:tcPr>
            <w:tcW w:w="10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53.0%</w:t>
            </w:r>
          </w:p>
        </w:tc>
        <w:tc>
          <w:tcPr>
            <w:tcW w:w="940" w:type="dxa"/>
            <w:vAlign w:val="bottom"/>
          </w:tcPr>
          <w:p>
            <w:pPr>
              <w:jc w:val="right"/>
              <w:ind w:right="41"/>
              <w:spacing w:after="0" w:line="155" w:lineRule="exact"/>
              <w:rPr>
                <w:sz w:val="20"/>
                <w:szCs w:val="20"/>
                <w:color w:val="auto"/>
              </w:rPr>
            </w:pPr>
            <w:r>
              <w:rPr>
                <w:rFonts w:ascii="Arial" w:cs="Arial" w:eastAsia="Arial" w:hAnsi="Arial"/>
                <w:sz w:val="16"/>
                <w:szCs w:val="16"/>
                <w:color w:val="auto"/>
              </w:rPr>
              <w:t>-258 pbs</w:t>
            </w:r>
          </w:p>
        </w:tc>
        <w:tc>
          <w:tcPr>
            <w:tcW w:w="8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-900 pbs</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ROAE</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2.7%</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20.8%</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17.1%</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-377 pbs</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1440 pbs</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ROAE incl. Goowdill</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2.5%</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19.7%</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16.3%</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-347 pbs</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1380 pbs</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L/D ratio</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155.2%</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160.4%</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159.2%</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-115 pbs</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400 pbs</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IOL ratio</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9.1%</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6.7%</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6.8%</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10 pbs</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-230 pbs</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NPL ratio</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9.7%</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7.2%</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7.3%</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12 pbs</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-240 pbs</w:t>
            </w:r>
          </w:p>
        </w:tc>
        <w:tc>
          <w:tcPr>
            <w:tcW w:w="0" w:type="dxa"/>
            <w:vAlign w:val="bottom"/>
          </w:tcPr>
          <w:p>
            <w:pPr>
              <w:spacing w:after="0"/>
              <w:rPr>
                <w:sz w:val="1"/>
                <w:szCs w:val="1"/>
                <w:color w:val="auto"/>
              </w:rPr>
            </w:pPr>
          </w:p>
        </w:tc>
      </w:tr>
      <w:tr>
        <w:trPr>
          <w:trHeight w:val="173"/>
        </w:trPr>
        <w:tc>
          <w:tcPr>
            <w:tcW w:w="57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Coverage of IOLs</w:t>
            </w:r>
          </w:p>
        </w:tc>
        <w:tc>
          <w:tcPr>
            <w:tcW w:w="144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156.9%</w:t>
            </w:r>
          </w:p>
        </w:tc>
        <w:tc>
          <w:tcPr>
            <w:tcW w:w="1280" w:type="dxa"/>
            <w:vAlign w:val="bottom"/>
          </w:tcPr>
          <w:p>
            <w:pPr>
              <w:jc w:val="right"/>
              <w:ind w:right="121"/>
              <w:spacing w:after="0" w:line="174" w:lineRule="exact"/>
              <w:rPr>
                <w:sz w:val="20"/>
                <w:szCs w:val="20"/>
                <w:color w:val="auto"/>
              </w:rPr>
            </w:pPr>
            <w:r>
              <w:rPr>
                <w:rFonts w:ascii="Arial" w:cs="Arial" w:eastAsia="Arial" w:hAnsi="Arial"/>
                <w:sz w:val="16"/>
                <w:szCs w:val="16"/>
                <w:color w:val="auto"/>
              </w:rPr>
              <w:t>126.6%</w:t>
            </w:r>
          </w:p>
        </w:tc>
        <w:tc>
          <w:tcPr>
            <w:tcW w:w="10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120.5%</w:t>
            </w:r>
          </w:p>
        </w:tc>
        <w:tc>
          <w:tcPr>
            <w:tcW w:w="940" w:type="dxa"/>
            <w:vAlign w:val="bottom"/>
          </w:tcPr>
          <w:p>
            <w:pPr>
              <w:jc w:val="right"/>
              <w:ind w:right="41"/>
              <w:spacing w:after="0" w:line="174" w:lineRule="exact"/>
              <w:rPr>
                <w:sz w:val="20"/>
                <w:szCs w:val="20"/>
                <w:color w:val="auto"/>
              </w:rPr>
            </w:pPr>
            <w:r>
              <w:rPr>
                <w:rFonts w:ascii="Arial" w:cs="Arial" w:eastAsia="Arial" w:hAnsi="Arial"/>
                <w:sz w:val="16"/>
                <w:szCs w:val="16"/>
                <w:color w:val="auto"/>
              </w:rPr>
              <w:t>-608 pbs</w:t>
            </w:r>
          </w:p>
        </w:tc>
        <w:tc>
          <w:tcPr>
            <w:tcW w:w="8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-3640 pbs</w:t>
            </w:r>
          </w:p>
        </w:tc>
        <w:tc>
          <w:tcPr>
            <w:tcW w:w="0" w:type="dxa"/>
            <w:vAlign w:val="bottom"/>
          </w:tcPr>
          <w:p>
            <w:pPr>
              <w:spacing w:after="0"/>
              <w:rPr>
                <w:sz w:val="1"/>
                <w:szCs w:val="1"/>
                <w:color w:val="auto"/>
              </w:rPr>
            </w:pPr>
          </w:p>
        </w:tc>
      </w:tr>
      <w:tr>
        <w:trPr>
          <w:trHeight w:val="169"/>
        </w:trPr>
        <w:tc>
          <w:tcPr>
            <w:tcW w:w="57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Coverage of NPLs</w:t>
            </w:r>
          </w:p>
        </w:tc>
        <w:tc>
          <w:tcPr>
            <w:tcW w:w="144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147.1%</w:t>
            </w:r>
          </w:p>
        </w:tc>
        <w:tc>
          <w:tcPr>
            <w:tcW w:w="1280" w:type="dxa"/>
            <w:vAlign w:val="bottom"/>
          </w:tcPr>
          <w:p>
            <w:pPr>
              <w:jc w:val="right"/>
              <w:ind w:right="121"/>
              <w:spacing w:after="0" w:line="169" w:lineRule="exact"/>
              <w:rPr>
                <w:sz w:val="20"/>
                <w:szCs w:val="20"/>
                <w:color w:val="auto"/>
              </w:rPr>
            </w:pPr>
            <w:r>
              <w:rPr>
                <w:rFonts w:ascii="Arial" w:cs="Arial" w:eastAsia="Arial" w:hAnsi="Arial"/>
                <w:sz w:val="16"/>
                <w:szCs w:val="16"/>
                <w:color w:val="auto"/>
              </w:rPr>
              <w:t>118.4%</w:t>
            </w:r>
          </w:p>
        </w:tc>
        <w:tc>
          <w:tcPr>
            <w:tcW w:w="10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112.6%</w:t>
            </w:r>
          </w:p>
        </w:tc>
        <w:tc>
          <w:tcPr>
            <w:tcW w:w="940" w:type="dxa"/>
            <w:vAlign w:val="bottom"/>
          </w:tcPr>
          <w:p>
            <w:pPr>
              <w:jc w:val="right"/>
              <w:ind w:right="41"/>
              <w:spacing w:after="0" w:line="169" w:lineRule="exact"/>
              <w:rPr>
                <w:sz w:val="20"/>
                <w:szCs w:val="20"/>
                <w:color w:val="auto"/>
              </w:rPr>
            </w:pPr>
            <w:r>
              <w:rPr>
                <w:rFonts w:ascii="Arial" w:cs="Arial" w:eastAsia="Arial" w:hAnsi="Arial"/>
                <w:sz w:val="16"/>
                <w:szCs w:val="16"/>
                <w:color w:val="auto"/>
              </w:rPr>
              <w:t>-578 pbs</w:t>
            </w:r>
          </w:p>
        </w:tc>
        <w:tc>
          <w:tcPr>
            <w:tcW w:w="8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-3450 pbs</w:t>
            </w:r>
          </w:p>
        </w:tc>
        <w:tc>
          <w:tcPr>
            <w:tcW w:w="0" w:type="dxa"/>
            <w:vAlign w:val="bottom"/>
          </w:tcPr>
          <w:p>
            <w:pPr>
              <w:spacing w:after="0"/>
              <w:rPr>
                <w:sz w:val="1"/>
                <w:szCs w:val="1"/>
                <w:color w:val="auto"/>
              </w:rPr>
            </w:pPr>
          </w:p>
        </w:tc>
      </w:tr>
      <w:tr>
        <w:trPr>
          <w:trHeight w:val="178"/>
        </w:trPr>
        <w:tc>
          <w:tcPr>
            <w:tcW w:w="57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0"/>
                <w:szCs w:val="20"/>
                <w:color w:val="auto"/>
                <w:vertAlign w:val="superscript"/>
              </w:rPr>
              <w:t>(1)</w:t>
            </w:r>
          </w:p>
        </w:tc>
        <w:tc>
          <w:tcPr>
            <w:tcW w:w="1440" w:type="dxa"/>
            <w:vAlign w:val="bottom"/>
          </w:tcPr>
          <w:p>
            <w:pPr>
              <w:jc w:val="right"/>
              <w:ind w:right="81"/>
              <w:spacing w:after="0" w:line="178" w:lineRule="exact"/>
              <w:rPr>
                <w:sz w:val="20"/>
                <w:szCs w:val="20"/>
                <w:color w:val="auto"/>
              </w:rPr>
            </w:pPr>
            <w:r>
              <w:rPr>
                <w:rFonts w:ascii="Arial" w:cs="Arial" w:eastAsia="Arial" w:hAnsi="Arial"/>
                <w:sz w:val="16"/>
                <w:szCs w:val="16"/>
                <w:color w:val="auto"/>
              </w:rPr>
              <w:t>317</w:t>
            </w:r>
          </w:p>
        </w:tc>
        <w:tc>
          <w:tcPr>
            <w:tcW w:w="1280" w:type="dxa"/>
            <w:vAlign w:val="bottom"/>
          </w:tcPr>
          <w:p>
            <w:pPr>
              <w:jc w:val="right"/>
              <w:ind w:right="121"/>
              <w:spacing w:after="0" w:line="178" w:lineRule="exact"/>
              <w:rPr>
                <w:sz w:val="20"/>
                <w:szCs w:val="20"/>
                <w:color w:val="auto"/>
              </w:rPr>
            </w:pPr>
            <w:r>
              <w:rPr>
                <w:rFonts w:ascii="Arial" w:cs="Arial" w:eastAsia="Arial" w:hAnsi="Arial"/>
                <w:sz w:val="16"/>
                <w:szCs w:val="16"/>
                <w:color w:val="auto"/>
              </w:rPr>
              <w:t>315</w:t>
            </w:r>
          </w:p>
        </w:tc>
        <w:tc>
          <w:tcPr>
            <w:tcW w:w="10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310</w:t>
            </w:r>
          </w:p>
        </w:tc>
        <w:tc>
          <w:tcPr>
            <w:tcW w:w="940" w:type="dxa"/>
            <w:vAlign w:val="bottom"/>
          </w:tcPr>
          <w:p>
            <w:pPr>
              <w:jc w:val="right"/>
              <w:ind w:right="41"/>
              <w:spacing w:after="0" w:line="178" w:lineRule="exact"/>
              <w:rPr>
                <w:sz w:val="20"/>
                <w:szCs w:val="20"/>
                <w:color w:val="auto"/>
              </w:rPr>
            </w:pPr>
            <w:r>
              <w:rPr>
                <w:rFonts w:ascii="Arial" w:cs="Arial" w:eastAsia="Arial" w:hAnsi="Arial"/>
                <w:sz w:val="16"/>
                <w:szCs w:val="16"/>
                <w:color w:val="auto"/>
              </w:rPr>
              <w:t>-5</w:t>
            </w:r>
          </w:p>
        </w:tc>
        <w:tc>
          <w:tcPr>
            <w:tcW w:w="8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57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Employees</w:t>
            </w: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10,483</w:t>
            </w: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9,878</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9,810</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Includes Banco de la Nacion branches, which in March 21, December 21 and March 22 were 34.</w:t>
      </w: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64" w:name="page65"/>
    <w:bookmarkEnd w:id="64"/>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12.5.7. Prima AFP</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Prima AFP</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 thousands, IFRS)</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60" w:type="dxa"/>
            <w:vAlign w:val="bottom"/>
            <w:tcBorders>
              <w:right w:val="single" w:sz="8" w:color="2AD2C9"/>
            </w:tcBorders>
            <w:shd w:val="clear" w:color="auto" w:fill="2AD2C9"/>
          </w:tcPr>
          <w:p>
            <w:pPr>
              <w:spacing w:after="0"/>
              <w:rPr>
                <w:sz w:val="13"/>
                <w:szCs w:val="13"/>
                <w:color w:val="auto"/>
              </w:rPr>
            </w:pPr>
          </w:p>
        </w:tc>
        <w:tc>
          <w:tcPr>
            <w:tcW w:w="860" w:type="dxa"/>
            <w:vAlign w:val="bottom"/>
            <w:gridSpan w:val="3"/>
            <w:vMerge w:val="restart"/>
            <w:shd w:val="clear" w:color="auto" w:fill="2AD2C9"/>
          </w:tcPr>
          <w:p>
            <w:pPr>
              <w:jc w:val="right"/>
              <w:ind w:right="320"/>
              <w:spacing w:after="0"/>
              <w:rPr>
                <w:sz w:val="20"/>
                <w:szCs w:val="20"/>
                <w:color w:val="auto"/>
              </w:rPr>
            </w:pPr>
            <w:r>
              <w:rPr>
                <w:rFonts w:ascii="Arial" w:cs="Arial" w:eastAsia="Arial" w:hAnsi="Arial"/>
                <w:sz w:val="16"/>
                <w:szCs w:val="16"/>
                <w:b w:val="1"/>
                <w:bCs w:val="1"/>
                <w:color w:val="FFFFFF"/>
              </w:rPr>
              <w:t>1Q21</w:t>
            </w:r>
          </w:p>
        </w:tc>
        <w:tc>
          <w:tcPr>
            <w:tcW w:w="60" w:type="dxa"/>
            <w:vAlign w:val="bottom"/>
            <w:shd w:val="clear" w:color="auto" w:fill="2AD2C9"/>
          </w:tcPr>
          <w:p>
            <w:pPr>
              <w:spacing w:after="0"/>
              <w:rPr>
                <w:sz w:val="13"/>
                <w:szCs w:val="13"/>
                <w:color w:val="auto"/>
              </w:rPr>
            </w:pPr>
          </w:p>
        </w:tc>
        <w:tc>
          <w:tcPr>
            <w:tcW w:w="800" w:type="dxa"/>
            <w:vAlign w:val="bottom"/>
            <w:gridSpan w:val="2"/>
            <w:shd w:val="clear" w:color="auto" w:fill="2AD2C9"/>
          </w:tcPr>
          <w:p>
            <w:pPr>
              <w:jc w:val="center"/>
              <w:spacing w:after="0" w:line="155" w:lineRule="exact"/>
              <w:rPr>
                <w:sz w:val="20"/>
                <w:szCs w:val="20"/>
                <w:color w:val="auto"/>
              </w:rPr>
            </w:pPr>
            <w:r>
              <w:rPr>
                <w:rFonts w:ascii="Arial" w:cs="Arial" w:eastAsia="Arial" w:hAnsi="Arial"/>
                <w:sz w:val="16"/>
                <w:szCs w:val="16"/>
                <w:b w:val="1"/>
                <w:bCs w:val="1"/>
                <w:color w:val="FFFFFF"/>
              </w:rPr>
              <w:t>Quarter</w:t>
            </w:r>
          </w:p>
        </w:tc>
        <w:tc>
          <w:tcPr>
            <w:tcW w:w="280" w:type="dxa"/>
            <w:vAlign w:val="bottom"/>
            <w:shd w:val="clear" w:color="auto" w:fill="2AD2C9"/>
          </w:tcPr>
          <w:p>
            <w:pPr>
              <w:spacing w:after="0"/>
              <w:rPr>
                <w:sz w:val="13"/>
                <w:szCs w:val="13"/>
                <w:color w:val="auto"/>
              </w:rPr>
            </w:pPr>
          </w:p>
        </w:tc>
        <w:tc>
          <w:tcPr>
            <w:tcW w:w="840" w:type="dxa"/>
            <w:vAlign w:val="bottom"/>
            <w:tcBorders>
              <w:right w:val="single" w:sz="8" w:color="auto"/>
            </w:tcBorders>
            <w:gridSpan w:val="2"/>
            <w:vMerge w:val="restart"/>
            <w:shd w:val="clear" w:color="auto" w:fill="2AD2C9"/>
          </w:tcPr>
          <w:p>
            <w:pPr>
              <w:jc w:val="right"/>
              <w:ind w:right="300"/>
              <w:spacing w:after="0"/>
              <w:rPr>
                <w:sz w:val="20"/>
                <w:szCs w:val="20"/>
                <w:color w:val="auto"/>
              </w:rPr>
            </w:pPr>
            <w:r>
              <w:rPr>
                <w:rFonts w:ascii="Arial" w:cs="Arial" w:eastAsia="Arial" w:hAnsi="Arial"/>
                <w:sz w:val="16"/>
                <w:szCs w:val="16"/>
                <w:b w:val="1"/>
                <w:bCs w:val="1"/>
                <w:color w:val="FFFFFF"/>
              </w:rPr>
              <w:t>1Q22</w:t>
            </w:r>
          </w:p>
        </w:tc>
        <w:tc>
          <w:tcPr>
            <w:tcW w:w="2060" w:type="dxa"/>
            <w:vAlign w:val="bottom"/>
            <w:tcBorders>
              <w:right w:val="single" w:sz="8" w:color="auto"/>
            </w:tcBorders>
            <w:gridSpan w:val="2"/>
            <w:shd w:val="clear" w:color="auto" w:fill="2AD2C9"/>
          </w:tcPr>
          <w:p>
            <w:pPr>
              <w:jc w:val="right"/>
              <w:ind w:right="58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right w:val="single" w:sz="8" w:color="2AD2C9"/>
            </w:tcBorders>
            <w:shd w:val="clear" w:color="auto" w:fill="2AD2C9"/>
          </w:tcPr>
          <w:p>
            <w:pPr>
              <w:spacing w:after="0"/>
              <w:rPr>
                <w:sz w:val="16"/>
                <w:szCs w:val="16"/>
                <w:color w:val="auto"/>
              </w:rPr>
            </w:pPr>
          </w:p>
        </w:tc>
        <w:tc>
          <w:tcPr>
            <w:tcW w:w="860" w:type="dxa"/>
            <w:vAlign w:val="bottom"/>
            <w:tcBorders>
              <w:bottom w:val="single" w:sz="8" w:color="auto"/>
            </w:tcBorders>
            <w:gridSpan w:val="3"/>
            <w:vMerge w:val="continue"/>
            <w:shd w:val="clear" w:color="auto" w:fill="2AD2C9"/>
          </w:tcPr>
          <w:p>
            <w:pPr>
              <w:spacing w:after="0"/>
              <w:rPr>
                <w:sz w:val="16"/>
                <w:szCs w:val="16"/>
                <w:color w:val="auto"/>
              </w:rPr>
            </w:pPr>
          </w:p>
        </w:tc>
        <w:tc>
          <w:tcPr>
            <w:tcW w:w="60" w:type="dxa"/>
            <w:vAlign w:val="bottom"/>
            <w:tcBorders>
              <w:bottom w:val="single" w:sz="8" w:color="auto"/>
            </w:tcBorders>
            <w:shd w:val="clear" w:color="auto" w:fill="2AD2C9"/>
          </w:tcPr>
          <w:p>
            <w:pPr>
              <w:spacing w:after="0"/>
              <w:rPr>
                <w:sz w:val="16"/>
                <w:szCs w:val="16"/>
                <w:color w:val="auto"/>
              </w:rPr>
            </w:pPr>
          </w:p>
        </w:tc>
        <w:tc>
          <w:tcPr>
            <w:tcW w:w="800" w:type="dxa"/>
            <w:vAlign w:val="bottom"/>
            <w:tcBorders>
              <w:bottom w:val="single" w:sz="8" w:color="auto"/>
            </w:tcBorders>
            <w:gridSpan w:val="2"/>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4Q21</w:t>
            </w:r>
          </w:p>
        </w:tc>
        <w:tc>
          <w:tcPr>
            <w:tcW w:w="280" w:type="dxa"/>
            <w:vAlign w:val="bottom"/>
            <w:tcBorders>
              <w:bottom w:val="single" w:sz="8" w:color="auto"/>
            </w:tcBorders>
            <w:shd w:val="clear" w:color="auto" w:fill="2AD2C9"/>
          </w:tcPr>
          <w:p>
            <w:pPr>
              <w:spacing w:after="0"/>
              <w:rPr>
                <w:sz w:val="16"/>
                <w:szCs w:val="16"/>
                <w:color w:val="auto"/>
              </w:rPr>
            </w:pPr>
          </w:p>
        </w:tc>
        <w:tc>
          <w:tcPr>
            <w:tcW w:w="840" w:type="dxa"/>
            <w:vAlign w:val="bottom"/>
            <w:tcBorders>
              <w:bottom w:val="single" w:sz="8" w:color="auto"/>
              <w:right w:val="single" w:sz="8" w:color="auto"/>
            </w:tcBorders>
            <w:gridSpan w:val="2"/>
            <w:vMerge w:val="continue"/>
            <w:shd w:val="clear" w:color="auto" w:fill="2AD2C9"/>
          </w:tcPr>
          <w:p>
            <w:pPr>
              <w:spacing w:after="0"/>
              <w:rPr>
                <w:sz w:val="16"/>
                <w:szCs w:val="16"/>
                <w:color w:val="auto"/>
              </w:rPr>
            </w:pPr>
          </w:p>
        </w:tc>
        <w:tc>
          <w:tcPr>
            <w:tcW w:w="118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QoQ</w:t>
            </w:r>
          </w:p>
        </w:tc>
        <w:tc>
          <w:tcPr>
            <w:tcW w:w="880" w:type="dxa"/>
            <w:vAlign w:val="bottom"/>
            <w:tcBorders>
              <w:bottom w:val="single" w:sz="8" w:color="auto"/>
              <w:right w:val="single" w:sz="8" w:color="auto"/>
            </w:tcBorders>
            <w:shd w:val="clear" w:color="auto" w:fill="2AD2C9"/>
          </w:tcPr>
          <w:p>
            <w:pPr>
              <w:jc w:val="right"/>
              <w:ind w:right="32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shd w:val="clear" w:color="auto" w:fill="000000"/>
          </w:tcPr>
          <w:p>
            <w:pPr>
              <w:spacing w:after="0"/>
              <w:rPr>
                <w:sz w:val="13"/>
                <w:szCs w:val="13"/>
                <w:color w:val="auto"/>
              </w:rPr>
            </w:pPr>
          </w:p>
        </w:tc>
        <w:tc>
          <w:tcPr>
            <w:tcW w:w="3940" w:type="dxa"/>
            <w:vAlign w:val="bottom"/>
          </w:tcPr>
          <w:p>
            <w:pPr>
              <w:spacing w:after="0" w:line="155" w:lineRule="exact"/>
              <w:rPr>
                <w:sz w:val="20"/>
                <w:szCs w:val="20"/>
                <w:color w:val="auto"/>
              </w:rPr>
            </w:pPr>
            <w:r>
              <w:rPr>
                <w:rFonts w:ascii="Arial" w:cs="Arial" w:eastAsia="Arial" w:hAnsi="Arial"/>
                <w:sz w:val="16"/>
                <w:szCs w:val="16"/>
                <w:color w:val="auto"/>
              </w:rPr>
              <w:t>Income from commissions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spacing w:after="0" w:line="155" w:lineRule="exact"/>
              <w:rPr>
                <w:sz w:val="20"/>
                <w:szCs w:val="20"/>
                <w:color w:val="auto"/>
              </w:rPr>
            </w:pPr>
            <w:r>
              <w:rPr>
                <w:rFonts w:ascii="Arial" w:cs="Arial" w:eastAsia="Arial" w:hAnsi="Arial"/>
                <w:sz w:val="16"/>
                <w:szCs w:val="16"/>
                <w:color w:val="auto"/>
              </w:rPr>
              <w:t>97,600</w:t>
            </w:r>
          </w:p>
        </w:tc>
        <w:tc>
          <w:tcPr>
            <w:tcW w:w="1140" w:type="dxa"/>
            <w:vAlign w:val="bottom"/>
            <w:gridSpan w:val="4"/>
          </w:tcPr>
          <w:p>
            <w:pPr>
              <w:jc w:val="right"/>
              <w:ind w:right="61"/>
              <w:spacing w:after="0" w:line="155" w:lineRule="exact"/>
              <w:rPr>
                <w:sz w:val="20"/>
                <w:szCs w:val="20"/>
                <w:color w:val="auto"/>
              </w:rPr>
            </w:pPr>
            <w:r>
              <w:rPr>
                <w:rFonts w:ascii="Arial" w:cs="Arial" w:eastAsia="Arial" w:hAnsi="Arial"/>
                <w:sz w:val="16"/>
                <w:szCs w:val="16"/>
                <w:color w:val="auto"/>
              </w:rPr>
              <w:t>89,170</w:t>
            </w:r>
          </w:p>
        </w:tc>
        <w:tc>
          <w:tcPr>
            <w:tcW w:w="840" w:type="dxa"/>
            <w:vAlign w:val="bottom"/>
            <w:tcBorders>
              <w:right w:val="single" w:sz="8" w:color="auto"/>
            </w:tcBorders>
            <w:gridSpan w:val="2"/>
          </w:tcPr>
          <w:p>
            <w:pPr>
              <w:jc w:val="right"/>
              <w:ind w:right="20"/>
              <w:spacing w:after="0" w:line="155" w:lineRule="exact"/>
              <w:rPr>
                <w:sz w:val="20"/>
                <w:szCs w:val="20"/>
                <w:color w:val="auto"/>
              </w:rPr>
            </w:pPr>
            <w:r>
              <w:rPr>
                <w:rFonts w:ascii="Arial" w:cs="Arial" w:eastAsia="Arial" w:hAnsi="Arial"/>
                <w:sz w:val="16"/>
                <w:szCs w:val="16"/>
                <w:color w:val="auto"/>
              </w:rPr>
              <w:t>93,192</w:t>
            </w:r>
          </w:p>
        </w:tc>
        <w:tc>
          <w:tcPr>
            <w:tcW w:w="1180" w:type="dxa"/>
            <w:vAlign w:val="bottom"/>
          </w:tcPr>
          <w:p>
            <w:pPr>
              <w:jc w:val="right"/>
              <w:ind w:right="101"/>
              <w:spacing w:after="0" w:line="155" w:lineRule="exact"/>
              <w:rPr>
                <w:sz w:val="20"/>
                <w:szCs w:val="20"/>
                <w:color w:val="auto"/>
              </w:rPr>
            </w:pPr>
            <w:r>
              <w:rPr>
                <w:rFonts w:ascii="Arial" w:cs="Arial" w:eastAsia="Arial" w:hAnsi="Arial"/>
                <w:sz w:val="16"/>
                <w:szCs w:val="16"/>
                <w:color w:val="auto"/>
              </w:rPr>
              <w:t>4.5%</w:t>
            </w:r>
          </w:p>
        </w:tc>
        <w:tc>
          <w:tcPr>
            <w:tcW w:w="8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Administrative and sale expenses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(38,878)</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color w:val="auto"/>
              </w:rPr>
              <w:t>(46,757)</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(43,800)</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-6.3%</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Depreciation and amortization</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(5,923)</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color w:val="auto"/>
              </w:rPr>
              <w:t>(6,144)</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(6,215)</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1.1%</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b w:val="1"/>
                <w:bCs w:val="1"/>
                <w:color w:val="auto"/>
              </w:rPr>
              <w:t>Operating income</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b w:val="1"/>
                <w:bCs w:val="1"/>
                <w:color w:val="auto"/>
              </w:rPr>
              <w:t>52,799</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b w:val="1"/>
                <w:bCs w:val="1"/>
                <w:color w:val="auto"/>
              </w:rPr>
              <w:t>36,269</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b w:val="1"/>
                <w:bCs w:val="1"/>
                <w:color w:val="auto"/>
              </w:rPr>
              <w:t>43,178</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b w:val="1"/>
                <w:bCs w:val="1"/>
                <w:color w:val="auto"/>
              </w:rPr>
              <w:t>19.0%</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-18.2%</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Other income and expenses, net (profitability of lace)</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(1,554)</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color w:val="auto"/>
              </w:rPr>
              <w:t>10,406</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(4,133)</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-139.7%</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165.9%</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Income tax</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(16,227)</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color w:val="auto"/>
              </w:rPr>
              <w:t>(10,400)</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(13,194)</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26.9%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b w:val="1"/>
                <w:bCs w:val="1"/>
                <w:color w:val="auto"/>
              </w:rPr>
              <w:t>Net income before translation results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b w:val="1"/>
                <w:bCs w:val="1"/>
                <w:color w:val="auto"/>
              </w:rPr>
              <w:t>35,018</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b w:val="1"/>
                <w:bCs w:val="1"/>
                <w:color w:val="auto"/>
              </w:rPr>
              <w:t>36,275</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b w:val="1"/>
                <w:bCs w:val="1"/>
                <w:color w:val="auto"/>
              </w:rPr>
              <w:t>25,851</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b w:val="1"/>
                <w:bCs w:val="1"/>
                <w:color w:val="auto"/>
              </w:rPr>
              <w:t>-28.7%</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-26.2%</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Translations results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(422)</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color w:val="auto"/>
              </w:rPr>
              <w:t>(812)</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(1,416)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74.4%</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Net income</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34,596</w:t>
            </w:r>
          </w:p>
        </w:tc>
        <w:tc>
          <w:tcPr>
            <w:tcW w:w="11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b w:val="1"/>
                <w:bCs w:val="1"/>
                <w:color w:val="auto"/>
              </w:rPr>
              <w:t>35,463</w:t>
            </w:r>
          </w:p>
        </w:tc>
        <w:tc>
          <w:tcPr>
            <w:tcW w:w="8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24,434</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-31.1%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-29.4%</w:t>
            </w:r>
          </w:p>
        </w:tc>
        <w:tc>
          <w:tcPr>
            <w:tcW w:w="0" w:type="dxa"/>
            <w:vAlign w:val="bottom"/>
          </w:tcPr>
          <w:p>
            <w:pPr>
              <w:spacing w:after="0"/>
              <w:rPr>
                <w:sz w:val="1"/>
                <w:szCs w:val="1"/>
                <w:color w:val="auto"/>
              </w:rPr>
            </w:pPr>
          </w:p>
        </w:tc>
      </w:tr>
      <w:tr>
        <w:trPr>
          <w:trHeight w:val="175"/>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3940" w:type="dxa"/>
            <w:vAlign w:val="bottom"/>
            <w:tcBorders>
              <w:bottom w:val="single" w:sz="8" w:color="auto"/>
            </w:tcBorders>
          </w:tcPr>
          <w:p>
            <w:pPr>
              <w:spacing w:after="0" w:line="173" w:lineRule="exact"/>
              <w:rPr>
                <w:sz w:val="20"/>
                <w:szCs w:val="20"/>
                <w:color w:val="auto"/>
              </w:rPr>
            </w:pPr>
            <w:r>
              <w:rPr>
                <w:rFonts w:ascii="Arial" w:cs="Arial" w:eastAsia="Arial" w:hAnsi="Arial"/>
                <w:sz w:val="13"/>
                <w:szCs w:val="13"/>
                <w:b w:val="1"/>
                <w:bCs w:val="1"/>
                <w:color w:val="auto"/>
              </w:rPr>
              <w:t xml:space="preserve">ROAE </w:t>
            </w:r>
            <w:r>
              <w:rPr>
                <w:rFonts w:ascii="Arial" w:cs="Arial" w:eastAsia="Arial" w:hAnsi="Arial"/>
                <w:sz w:val="20"/>
                <w:szCs w:val="20"/>
                <w:b w:val="1"/>
                <w:bCs w:val="1"/>
                <w:color w:val="auto"/>
                <w:vertAlign w:val="superscript"/>
              </w:rPr>
              <w:t>(1)</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line="174" w:lineRule="exact"/>
              <w:rPr>
                <w:sz w:val="20"/>
                <w:szCs w:val="20"/>
                <w:color w:val="auto"/>
              </w:rPr>
            </w:pPr>
            <w:r>
              <w:rPr>
                <w:rFonts w:ascii="Arial" w:cs="Arial" w:eastAsia="Arial" w:hAnsi="Arial"/>
                <w:sz w:val="16"/>
                <w:szCs w:val="16"/>
                <w:b w:val="1"/>
                <w:bCs w:val="1"/>
                <w:color w:val="auto"/>
              </w:rPr>
              <w:t>21.3%</w:t>
            </w:r>
          </w:p>
        </w:tc>
        <w:tc>
          <w:tcPr>
            <w:tcW w:w="1140" w:type="dxa"/>
            <w:vAlign w:val="bottom"/>
            <w:tcBorders>
              <w:bottom w:val="single" w:sz="8" w:color="auto"/>
            </w:tcBorders>
            <w:gridSpan w:val="4"/>
          </w:tcPr>
          <w:p>
            <w:pPr>
              <w:jc w:val="right"/>
              <w:ind w:right="61"/>
              <w:spacing w:after="0" w:line="174" w:lineRule="exact"/>
              <w:rPr>
                <w:sz w:val="20"/>
                <w:szCs w:val="20"/>
                <w:color w:val="auto"/>
              </w:rPr>
            </w:pPr>
            <w:r>
              <w:rPr>
                <w:rFonts w:ascii="Arial" w:cs="Arial" w:eastAsia="Arial" w:hAnsi="Arial"/>
                <w:sz w:val="16"/>
                <w:szCs w:val="16"/>
                <w:b w:val="1"/>
                <w:bCs w:val="1"/>
                <w:color w:val="auto"/>
              </w:rPr>
              <w:t>25.5%</w:t>
            </w:r>
          </w:p>
        </w:tc>
        <w:tc>
          <w:tcPr>
            <w:tcW w:w="840" w:type="dxa"/>
            <w:vAlign w:val="bottom"/>
            <w:tcBorders>
              <w:bottom w:val="single" w:sz="8" w:color="auto"/>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b w:val="1"/>
                <w:bCs w:val="1"/>
                <w:color w:val="auto"/>
              </w:rPr>
              <w:t>19.8%</w:t>
            </w:r>
          </w:p>
        </w:tc>
        <w:tc>
          <w:tcPr>
            <w:tcW w:w="118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-566 pbs</w:t>
            </w:r>
          </w:p>
        </w:tc>
        <w:tc>
          <w:tcPr>
            <w:tcW w:w="88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-147 pbs</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60" w:type="dxa"/>
            <w:vAlign w:val="bottom"/>
            <w:tcBorders>
              <w:right w:val="single" w:sz="8" w:color="2AD2C9"/>
            </w:tcBorders>
            <w:shd w:val="clear" w:color="auto" w:fill="2AD2C9"/>
          </w:tcPr>
          <w:p>
            <w:pPr>
              <w:spacing w:after="0"/>
              <w:rPr>
                <w:sz w:val="13"/>
                <w:szCs w:val="13"/>
                <w:color w:val="auto"/>
              </w:rPr>
            </w:pPr>
          </w:p>
        </w:tc>
        <w:tc>
          <w:tcPr>
            <w:tcW w:w="860" w:type="dxa"/>
            <w:vAlign w:val="bottom"/>
            <w:gridSpan w:val="3"/>
            <w:vMerge w:val="restart"/>
            <w:shd w:val="clear" w:color="auto" w:fill="2AD2C9"/>
          </w:tcPr>
          <w:p>
            <w:pPr>
              <w:jc w:val="right"/>
              <w:ind w:right="320"/>
              <w:spacing w:after="0"/>
              <w:rPr>
                <w:sz w:val="20"/>
                <w:szCs w:val="20"/>
                <w:color w:val="auto"/>
              </w:rPr>
            </w:pPr>
            <w:r>
              <w:rPr>
                <w:rFonts w:ascii="Arial" w:cs="Arial" w:eastAsia="Arial" w:hAnsi="Arial"/>
                <w:sz w:val="16"/>
                <w:szCs w:val="16"/>
                <w:b w:val="1"/>
                <w:bCs w:val="1"/>
                <w:color w:val="FFFFFF"/>
              </w:rPr>
              <w:t>1Q21</w:t>
            </w:r>
          </w:p>
        </w:tc>
        <w:tc>
          <w:tcPr>
            <w:tcW w:w="60" w:type="dxa"/>
            <w:vAlign w:val="bottom"/>
            <w:shd w:val="clear" w:color="auto" w:fill="2AD2C9"/>
          </w:tcPr>
          <w:p>
            <w:pPr>
              <w:spacing w:after="0"/>
              <w:rPr>
                <w:sz w:val="13"/>
                <w:szCs w:val="13"/>
                <w:color w:val="auto"/>
              </w:rPr>
            </w:pPr>
          </w:p>
        </w:tc>
        <w:tc>
          <w:tcPr>
            <w:tcW w:w="800" w:type="dxa"/>
            <w:vAlign w:val="bottom"/>
            <w:gridSpan w:val="2"/>
            <w:shd w:val="clear" w:color="auto" w:fill="2AD2C9"/>
          </w:tcPr>
          <w:p>
            <w:pPr>
              <w:jc w:val="center"/>
              <w:spacing w:after="0" w:line="155" w:lineRule="exact"/>
              <w:rPr>
                <w:sz w:val="20"/>
                <w:szCs w:val="20"/>
                <w:color w:val="auto"/>
              </w:rPr>
            </w:pPr>
            <w:r>
              <w:rPr>
                <w:rFonts w:ascii="Arial" w:cs="Arial" w:eastAsia="Arial" w:hAnsi="Arial"/>
                <w:sz w:val="16"/>
                <w:szCs w:val="16"/>
                <w:b w:val="1"/>
                <w:bCs w:val="1"/>
                <w:color w:val="FFFFFF"/>
                <w:w w:val="99"/>
              </w:rPr>
              <w:t>As of</w:t>
            </w:r>
          </w:p>
        </w:tc>
        <w:tc>
          <w:tcPr>
            <w:tcW w:w="280" w:type="dxa"/>
            <w:vAlign w:val="bottom"/>
            <w:shd w:val="clear" w:color="auto" w:fill="2AD2C9"/>
          </w:tcPr>
          <w:p>
            <w:pPr>
              <w:spacing w:after="0"/>
              <w:rPr>
                <w:sz w:val="13"/>
                <w:szCs w:val="13"/>
                <w:color w:val="auto"/>
              </w:rPr>
            </w:pPr>
          </w:p>
        </w:tc>
        <w:tc>
          <w:tcPr>
            <w:tcW w:w="840" w:type="dxa"/>
            <w:vAlign w:val="bottom"/>
            <w:tcBorders>
              <w:right w:val="single" w:sz="8" w:color="auto"/>
            </w:tcBorders>
            <w:gridSpan w:val="2"/>
            <w:vMerge w:val="restart"/>
            <w:shd w:val="clear" w:color="auto" w:fill="2AD2C9"/>
          </w:tcPr>
          <w:p>
            <w:pPr>
              <w:jc w:val="right"/>
              <w:ind w:right="300"/>
              <w:spacing w:after="0"/>
              <w:rPr>
                <w:sz w:val="20"/>
                <w:szCs w:val="20"/>
                <w:color w:val="auto"/>
              </w:rPr>
            </w:pPr>
            <w:r>
              <w:rPr>
                <w:rFonts w:ascii="Arial" w:cs="Arial" w:eastAsia="Arial" w:hAnsi="Arial"/>
                <w:sz w:val="16"/>
                <w:szCs w:val="16"/>
                <w:b w:val="1"/>
                <w:bCs w:val="1"/>
                <w:color w:val="FFFFFF"/>
              </w:rPr>
              <w:t>1Q22</w:t>
            </w:r>
          </w:p>
        </w:tc>
        <w:tc>
          <w:tcPr>
            <w:tcW w:w="2060" w:type="dxa"/>
            <w:vAlign w:val="bottom"/>
            <w:tcBorders>
              <w:right w:val="single" w:sz="8" w:color="auto"/>
            </w:tcBorders>
            <w:gridSpan w:val="2"/>
            <w:shd w:val="clear" w:color="auto" w:fill="2AD2C9"/>
          </w:tcPr>
          <w:p>
            <w:pPr>
              <w:jc w:val="right"/>
              <w:ind w:right="58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right w:val="single" w:sz="8" w:color="2AD2C9"/>
            </w:tcBorders>
            <w:shd w:val="clear" w:color="auto" w:fill="2AD2C9"/>
          </w:tcPr>
          <w:p>
            <w:pPr>
              <w:spacing w:after="0"/>
              <w:rPr>
                <w:sz w:val="16"/>
                <w:szCs w:val="16"/>
                <w:color w:val="auto"/>
              </w:rPr>
            </w:pPr>
          </w:p>
        </w:tc>
        <w:tc>
          <w:tcPr>
            <w:tcW w:w="860" w:type="dxa"/>
            <w:vAlign w:val="bottom"/>
            <w:tcBorders>
              <w:bottom w:val="single" w:sz="8" w:color="auto"/>
            </w:tcBorders>
            <w:gridSpan w:val="3"/>
            <w:vMerge w:val="continue"/>
            <w:shd w:val="clear" w:color="auto" w:fill="2AD2C9"/>
          </w:tcPr>
          <w:p>
            <w:pPr>
              <w:spacing w:after="0"/>
              <w:rPr>
                <w:sz w:val="16"/>
                <w:szCs w:val="16"/>
                <w:color w:val="auto"/>
              </w:rPr>
            </w:pPr>
          </w:p>
        </w:tc>
        <w:tc>
          <w:tcPr>
            <w:tcW w:w="60" w:type="dxa"/>
            <w:vAlign w:val="bottom"/>
            <w:tcBorders>
              <w:bottom w:val="single" w:sz="8" w:color="auto"/>
            </w:tcBorders>
            <w:shd w:val="clear" w:color="auto" w:fill="2AD2C9"/>
          </w:tcPr>
          <w:p>
            <w:pPr>
              <w:spacing w:after="0"/>
              <w:rPr>
                <w:sz w:val="16"/>
                <w:szCs w:val="16"/>
                <w:color w:val="auto"/>
              </w:rPr>
            </w:pPr>
          </w:p>
        </w:tc>
        <w:tc>
          <w:tcPr>
            <w:tcW w:w="800" w:type="dxa"/>
            <w:vAlign w:val="bottom"/>
            <w:tcBorders>
              <w:bottom w:val="single" w:sz="8" w:color="auto"/>
            </w:tcBorders>
            <w:gridSpan w:val="2"/>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4Q21</w:t>
            </w:r>
          </w:p>
        </w:tc>
        <w:tc>
          <w:tcPr>
            <w:tcW w:w="280" w:type="dxa"/>
            <w:vAlign w:val="bottom"/>
            <w:tcBorders>
              <w:bottom w:val="single" w:sz="8" w:color="auto"/>
            </w:tcBorders>
            <w:shd w:val="clear" w:color="auto" w:fill="2AD2C9"/>
          </w:tcPr>
          <w:p>
            <w:pPr>
              <w:spacing w:after="0"/>
              <w:rPr>
                <w:sz w:val="16"/>
                <w:szCs w:val="16"/>
                <w:color w:val="auto"/>
              </w:rPr>
            </w:pPr>
          </w:p>
        </w:tc>
        <w:tc>
          <w:tcPr>
            <w:tcW w:w="840" w:type="dxa"/>
            <w:vAlign w:val="bottom"/>
            <w:tcBorders>
              <w:bottom w:val="single" w:sz="8" w:color="auto"/>
              <w:right w:val="single" w:sz="8" w:color="auto"/>
            </w:tcBorders>
            <w:gridSpan w:val="2"/>
            <w:vMerge w:val="continue"/>
            <w:shd w:val="clear" w:color="auto" w:fill="2AD2C9"/>
          </w:tcPr>
          <w:p>
            <w:pPr>
              <w:spacing w:after="0"/>
              <w:rPr>
                <w:sz w:val="16"/>
                <w:szCs w:val="16"/>
                <w:color w:val="auto"/>
              </w:rPr>
            </w:pPr>
          </w:p>
        </w:tc>
        <w:tc>
          <w:tcPr>
            <w:tcW w:w="118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QoQ</w:t>
            </w:r>
          </w:p>
        </w:tc>
        <w:tc>
          <w:tcPr>
            <w:tcW w:w="880" w:type="dxa"/>
            <w:vAlign w:val="bottom"/>
            <w:tcBorders>
              <w:bottom w:val="single" w:sz="8" w:color="auto"/>
              <w:right w:val="single" w:sz="8" w:color="auto"/>
            </w:tcBorders>
            <w:shd w:val="clear" w:color="auto" w:fill="2AD2C9"/>
          </w:tcPr>
          <w:p>
            <w:pPr>
              <w:jc w:val="right"/>
              <w:ind w:right="32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shd w:val="clear" w:color="auto" w:fill="000000"/>
          </w:tcPr>
          <w:p>
            <w:pPr>
              <w:spacing w:after="0"/>
              <w:rPr>
                <w:sz w:val="13"/>
                <w:szCs w:val="13"/>
                <w:color w:val="auto"/>
              </w:rPr>
            </w:pPr>
          </w:p>
        </w:tc>
        <w:tc>
          <w:tcPr>
            <w:tcW w:w="3940" w:type="dxa"/>
            <w:vAlign w:val="bottom"/>
          </w:tcPr>
          <w:p>
            <w:pPr>
              <w:spacing w:after="0" w:line="155" w:lineRule="exact"/>
              <w:rPr>
                <w:sz w:val="20"/>
                <w:szCs w:val="20"/>
                <w:color w:val="auto"/>
              </w:rPr>
            </w:pPr>
            <w:r>
              <w:rPr>
                <w:rFonts w:ascii="Arial" w:cs="Arial" w:eastAsia="Arial" w:hAnsi="Arial"/>
                <w:sz w:val="16"/>
                <w:szCs w:val="16"/>
                <w:color w:val="auto"/>
              </w:rPr>
              <w:t>Total assets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spacing w:after="0" w:line="155" w:lineRule="exact"/>
              <w:rPr>
                <w:sz w:val="20"/>
                <w:szCs w:val="20"/>
                <w:color w:val="auto"/>
              </w:rPr>
            </w:pPr>
            <w:r>
              <w:rPr>
                <w:rFonts w:ascii="Arial" w:cs="Arial" w:eastAsia="Arial" w:hAnsi="Arial"/>
                <w:sz w:val="16"/>
                <w:szCs w:val="16"/>
                <w:color w:val="auto"/>
              </w:rPr>
              <w:t>1,016,650</w:t>
            </w:r>
          </w:p>
        </w:tc>
        <w:tc>
          <w:tcPr>
            <w:tcW w:w="1140" w:type="dxa"/>
            <w:vAlign w:val="bottom"/>
            <w:gridSpan w:val="4"/>
          </w:tcPr>
          <w:p>
            <w:pPr>
              <w:jc w:val="right"/>
              <w:ind w:right="61"/>
              <w:spacing w:after="0" w:line="155" w:lineRule="exact"/>
              <w:rPr>
                <w:sz w:val="20"/>
                <w:szCs w:val="20"/>
                <w:color w:val="auto"/>
              </w:rPr>
            </w:pPr>
            <w:r>
              <w:rPr>
                <w:rFonts w:ascii="Arial" w:cs="Arial" w:eastAsia="Arial" w:hAnsi="Arial"/>
                <w:sz w:val="16"/>
                <w:szCs w:val="16"/>
                <w:color w:val="auto"/>
              </w:rPr>
              <w:t>839,772</w:t>
            </w:r>
          </w:p>
        </w:tc>
        <w:tc>
          <w:tcPr>
            <w:tcW w:w="840" w:type="dxa"/>
            <w:vAlign w:val="bottom"/>
            <w:tcBorders>
              <w:right w:val="single" w:sz="8" w:color="auto"/>
            </w:tcBorders>
            <w:gridSpan w:val="2"/>
          </w:tcPr>
          <w:p>
            <w:pPr>
              <w:jc w:val="right"/>
              <w:ind w:right="20"/>
              <w:spacing w:after="0" w:line="155" w:lineRule="exact"/>
              <w:rPr>
                <w:sz w:val="20"/>
                <w:szCs w:val="20"/>
                <w:color w:val="auto"/>
              </w:rPr>
            </w:pPr>
            <w:r>
              <w:rPr>
                <w:rFonts w:ascii="Arial" w:cs="Arial" w:eastAsia="Arial" w:hAnsi="Arial"/>
                <w:sz w:val="16"/>
                <w:szCs w:val="16"/>
                <w:color w:val="auto"/>
              </w:rPr>
              <w:t>872,173</w:t>
            </w:r>
          </w:p>
        </w:tc>
        <w:tc>
          <w:tcPr>
            <w:tcW w:w="1180" w:type="dxa"/>
            <w:vAlign w:val="bottom"/>
          </w:tcPr>
          <w:p>
            <w:pPr>
              <w:jc w:val="right"/>
              <w:ind w:right="101"/>
              <w:spacing w:after="0" w:line="155" w:lineRule="exact"/>
              <w:rPr>
                <w:sz w:val="20"/>
                <w:szCs w:val="20"/>
                <w:color w:val="auto"/>
              </w:rPr>
            </w:pPr>
            <w:r>
              <w:rPr>
                <w:rFonts w:ascii="Arial" w:cs="Arial" w:eastAsia="Arial" w:hAnsi="Arial"/>
                <w:sz w:val="16"/>
                <w:szCs w:val="16"/>
                <w:color w:val="auto"/>
              </w:rPr>
              <w:t>3.9%</w:t>
            </w:r>
          </w:p>
        </w:tc>
        <w:tc>
          <w:tcPr>
            <w:tcW w:w="8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Total liabilities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spacing w:after="0" w:line="174" w:lineRule="exact"/>
              <w:rPr>
                <w:sz w:val="20"/>
                <w:szCs w:val="20"/>
                <w:color w:val="auto"/>
              </w:rPr>
            </w:pPr>
            <w:r>
              <w:rPr>
                <w:rFonts w:ascii="Arial" w:cs="Arial" w:eastAsia="Arial" w:hAnsi="Arial"/>
                <w:sz w:val="16"/>
                <w:szCs w:val="16"/>
                <w:color w:val="auto"/>
              </w:rPr>
              <w:t>416,933</w:t>
            </w:r>
          </w:p>
        </w:tc>
        <w:tc>
          <w:tcPr>
            <w:tcW w:w="1140" w:type="dxa"/>
            <w:vAlign w:val="bottom"/>
            <w:gridSpan w:val="4"/>
          </w:tcPr>
          <w:p>
            <w:pPr>
              <w:jc w:val="right"/>
              <w:ind w:right="61"/>
              <w:spacing w:after="0" w:line="174" w:lineRule="exact"/>
              <w:rPr>
                <w:sz w:val="20"/>
                <w:szCs w:val="20"/>
                <w:color w:val="auto"/>
              </w:rPr>
            </w:pPr>
            <w:r>
              <w:rPr>
                <w:rFonts w:ascii="Arial" w:cs="Arial" w:eastAsia="Arial" w:hAnsi="Arial"/>
                <w:sz w:val="16"/>
                <w:szCs w:val="16"/>
                <w:color w:val="auto"/>
              </w:rPr>
              <w:t>265,185</w:t>
            </w:r>
          </w:p>
        </w:tc>
        <w:tc>
          <w:tcPr>
            <w:tcW w:w="84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460,279</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73.6%</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shareholders' equity</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599,717</w:t>
            </w:r>
          </w:p>
        </w:tc>
        <w:tc>
          <w:tcPr>
            <w:tcW w:w="114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color w:val="auto"/>
              </w:rPr>
              <w:t>574,587</w:t>
            </w:r>
          </w:p>
        </w:tc>
        <w:tc>
          <w:tcPr>
            <w:tcW w:w="8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411,894</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-28.3%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418"/>
        </w:trPr>
        <w:tc>
          <w:tcPr>
            <w:tcW w:w="5980" w:type="dxa"/>
            <w:vAlign w:val="bottom"/>
            <w:gridSpan w:val="6"/>
          </w:tcPr>
          <w:p>
            <w:pPr>
              <w:spacing w:after="0"/>
              <w:rPr>
                <w:sz w:val="20"/>
                <w:szCs w:val="20"/>
                <w:color w:val="auto"/>
              </w:rPr>
            </w:pPr>
            <w:r>
              <w:rPr>
                <w:rFonts w:ascii="Times New Roman" w:cs="Times New Roman" w:eastAsia="Times New Roman" w:hAnsi="Times New Roman"/>
                <w:sz w:val="9"/>
                <w:szCs w:val="9"/>
                <w:color w:val="auto"/>
              </w:rPr>
              <w:t>The net profitability of lace and mutual funds is being presented net of taxes, for which the retroactive change was made (it was presented gross before)</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98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(1) Net shareholders' equity includes unrealized gains from Prima's investment portfolio.</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3260" w:type="dxa"/>
            <w:vAlign w:val="bottom"/>
            <w:gridSpan w:val="9"/>
          </w:tcPr>
          <w:p>
            <w:pPr>
              <w:jc w:val="center"/>
              <w:spacing w:after="0"/>
              <w:rPr>
                <w:sz w:val="20"/>
                <w:szCs w:val="20"/>
                <w:color w:val="auto"/>
              </w:rPr>
            </w:pPr>
            <w:r>
              <w:rPr>
                <w:rFonts w:ascii="Times New Roman" w:cs="Times New Roman" w:eastAsia="Times New Roman" w:hAnsi="Times New Roman"/>
                <w:sz w:val="17"/>
                <w:szCs w:val="17"/>
                <w:b w:val="1"/>
                <w:bCs w:val="1"/>
                <w:color w:val="auto"/>
              </w:rPr>
              <w:t>Funds under management</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tcPr>
          <w:p>
            <w:pPr>
              <w:spacing w:after="0"/>
              <w:rPr>
                <w:sz w:val="15"/>
                <w:szCs w:val="15"/>
                <w:color w:val="auto"/>
              </w:rPr>
            </w:pPr>
          </w:p>
        </w:tc>
        <w:tc>
          <w:tcPr>
            <w:tcW w:w="3940" w:type="dxa"/>
            <w:vAlign w:val="bottom"/>
            <w:tcBorders>
              <w:left w:val="single" w:sz="8" w:color="auto"/>
              <w:bottom w:val="single" w:sz="8" w:color="auto"/>
            </w:tcBorders>
            <w:shd w:val="clear" w:color="auto" w:fill="2AD2C9"/>
          </w:tcPr>
          <w:p>
            <w:pPr>
              <w:spacing w:after="0" w:line="174" w:lineRule="exact"/>
              <w:rPr>
                <w:sz w:val="20"/>
                <w:szCs w:val="20"/>
                <w:color w:val="auto"/>
              </w:rPr>
            </w:pPr>
            <w:r>
              <w:rPr>
                <w:rFonts w:ascii="Arial" w:cs="Arial" w:eastAsia="Arial" w:hAnsi="Arial"/>
                <w:sz w:val="16"/>
                <w:szCs w:val="16"/>
                <w:b w:val="1"/>
                <w:bCs w:val="1"/>
                <w:color w:val="FFFFFF"/>
              </w:rPr>
              <w:t>Funds under management</w:t>
            </w:r>
          </w:p>
        </w:tc>
        <w:tc>
          <w:tcPr>
            <w:tcW w:w="700" w:type="dxa"/>
            <w:vAlign w:val="bottom"/>
            <w:tcBorders>
              <w:bottom w:val="single" w:sz="8" w:color="auto"/>
            </w:tcBorders>
            <w:shd w:val="clear" w:color="auto" w:fill="2AD2C9"/>
          </w:tcPr>
          <w:p>
            <w:pPr>
              <w:spacing w:after="0"/>
              <w:rPr>
                <w:sz w:val="15"/>
                <w:szCs w:val="15"/>
                <w:color w:val="auto"/>
              </w:rPr>
            </w:pPr>
          </w:p>
        </w:tc>
        <w:tc>
          <w:tcPr>
            <w:tcW w:w="200" w:type="dxa"/>
            <w:vAlign w:val="bottom"/>
            <w:tcBorders>
              <w:bottom w:val="single" w:sz="8" w:color="auto"/>
              <w:right w:val="single" w:sz="8" w:color="2AD2C9"/>
            </w:tcBorders>
            <w:shd w:val="clear" w:color="auto" w:fill="2AD2C9"/>
          </w:tcPr>
          <w:p>
            <w:pPr>
              <w:spacing w:after="0"/>
              <w:rPr>
                <w:sz w:val="15"/>
                <w:szCs w:val="15"/>
                <w:color w:val="auto"/>
              </w:rPr>
            </w:pPr>
          </w:p>
        </w:tc>
        <w:tc>
          <w:tcPr>
            <w:tcW w:w="100" w:type="dxa"/>
            <w:vAlign w:val="bottom"/>
            <w:tcBorders>
              <w:bottom w:val="single" w:sz="8" w:color="auto"/>
              <w:right w:val="single" w:sz="8" w:color="auto"/>
            </w:tcBorders>
            <w:shd w:val="clear" w:color="auto" w:fill="2AD2C9"/>
          </w:tcPr>
          <w:p>
            <w:pPr>
              <w:spacing w:after="0"/>
              <w:rPr>
                <w:sz w:val="15"/>
                <w:szCs w:val="15"/>
                <w:color w:val="auto"/>
              </w:rPr>
            </w:pPr>
          </w:p>
        </w:tc>
        <w:tc>
          <w:tcPr>
            <w:tcW w:w="1000" w:type="dxa"/>
            <w:vAlign w:val="bottom"/>
            <w:tcBorders>
              <w:bottom w:val="single" w:sz="8" w:color="auto"/>
            </w:tcBorders>
            <w:shd w:val="clear" w:color="auto" w:fill="2AD2C9"/>
          </w:tcPr>
          <w:p>
            <w:pPr>
              <w:jc w:val="right"/>
              <w:ind w:right="161"/>
              <w:spacing w:after="0" w:line="174" w:lineRule="exact"/>
              <w:rPr>
                <w:sz w:val="20"/>
                <w:szCs w:val="20"/>
                <w:color w:val="auto"/>
              </w:rPr>
            </w:pPr>
            <w:r>
              <w:rPr>
                <w:rFonts w:ascii="Arial" w:cs="Arial" w:eastAsia="Arial" w:hAnsi="Arial"/>
                <w:sz w:val="16"/>
                <w:szCs w:val="16"/>
                <w:b w:val="1"/>
                <w:bCs w:val="1"/>
                <w:color w:val="FFFFFF"/>
              </w:rPr>
              <w:t>Dec 21</w:t>
            </w:r>
          </w:p>
        </w:tc>
        <w:tc>
          <w:tcPr>
            <w:tcW w:w="1020" w:type="dxa"/>
            <w:vAlign w:val="bottom"/>
            <w:tcBorders>
              <w:bottom w:val="single" w:sz="8" w:color="auto"/>
              <w:right w:val="single" w:sz="8" w:color="auto"/>
            </w:tcBorders>
            <w:gridSpan w:val="4"/>
            <w:shd w:val="clear" w:color="auto" w:fill="2AD2C9"/>
          </w:tcPr>
          <w:p>
            <w:pPr>
              <w:jc w:val="right"/>
              <w:ind w:right="220"/>
              <w:spacing w:after="0" w:line="174" w:lineRule="exact"/>
              <w:rPr>
                <w:sz w:val="20"/>
                <w:szCs w:val="20"/>
                <w:color w:val="auto"/>
              </w:rPr>
            </w:pPr>
            <w:r>
              <w:rPr>
                <w:rFonts w:ascii="Arial" w:cs="Arial" w:eastAsia="Arial" w:hAnsi="Arial"/>
                <w:sz w:val="16"/>
                <w:szCs w:val="16"/>
                <w:b w:val="1"/>
                <w:bCs w:val="1"/>
                <w:color w:val="FFFFFF"/>
              </w:rPr>
              <w:t>% share</w:t>
            </w:r>
          </w:p>
        </w:tc>
        <w:tc>
          <w:tcPr>
            <w:tcW w:w="240" w:type="dxa"/>
            <w:vAlign w:val="bottom"/>
            <w:tcBorders>
              <w:bottom w:val="single" w:sz="8" w:color="auto"/>
            </w:tcBorders>
            <w:shd w:val="clear" w:color="auto" w:fill="2AD2C9"/>
          </w:tcPr>
          <w:p>
            <w:pPr>
              <w:spacing w:after="0"/>
              <w:rPr>
                <w:sz w:val="15"/>
                <w:szCs w:val="15"/>
                <w:color w:val="auto"/>
              </w:rPr>
            </w:pPr>
          </w:p>
        </w:tc>
        <w:tc>
          <w:tcPr>
            <w:tcW w:w="860" w:type="dxa"/>
            <w:vAlign w:val="bottom"/>
            <w:tcBorders>
              <w:bottom w:val="single" w:sz="8" w:color="auto"/>
            </w:tcBorders>
            <w:gridSpan w:val="3"/>
            <w:shd w:val="clear" w:color="auto" w:fill="2AD2C9"/>
          </w:tcPr>
          <w:p>
            <w:pPr>
              <w:jc w:val="right"/>
              <w:ind w:right="360"/>
              <w:spacing w:after="0" w:line="174" w:lineRule="exact"/>
              <w:rPr>
                <w:sz w:val="20"/>
                <w:szCs w:val="20"/>
                <w:color w:val="auto"/>
              </w:rPr>
            </w:pPr>
            <w:r>
              <w:rPr>
                <w:rFonts w:ascii="Arial" w:cs="Arial" w:eastAsia="Arial" w:hAnsi="Arial"/>
                <w:sz w:val="16"/>
                <w:szCs w:val="16"/>
                <w:b w:val="1"/>
                <w:bCs w:val="1"/>
                <w:color w:val="FFFFFF"/>
                <w:w w:val="94"/>
              </w:rPr>
              <w:t>Mar 22</w:t>
            </w:r>
          </w:p>
        </w:tc>
        <w:tc>
          <w:tcPr>
            <w:tcW w:w="920" w:type="dxa"/>
            <w:vAlign w:val="bottom"/>
            <w:tcBorders>
              <w:bottom w:val="single" w:sz="8" w:color="auto"/>
              <w:right w:val="single" w:sz="8" w:color="auto"/>
            </w:tcBorders>
            <w:gridSpan w:val="2"/>
            <w:shd w:val="clear" w:color="auto" w:fill="2AD2C9"/>
          </w:tcPr>
          <w:p>
            <w:pPr>
              <w:jc w:val="right"/>
              <w:ind w:right="141"/>
              <w:spacing w:after="0" w:line="174" w:lineRule="exact"/>
              <w:rPr>
                <w:sz w:val="20"/>
                <w:szCs w:val="20"/>
                <w:color w:val="auto"/>
              </w:rPr>
            </w:pPr>
            <w:r>
              <w:rPr>
                <w:rFonts w:ascii="Arial" w:cs="Arial" w:eastAsia="Arial" w:hAnsi="Arial"/>
                <w:sz w:val="16"/>
                <w:szCs w:val="16"/>
                <w:b w:val="1"/>
                <w:bCs w:val="1"/>
                <w:color w:val="FFFFFF"/>
              </w:rPr>
              <w:t>% share</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tcPr>
          <w:p>
            <w:pPr>
              <w:spacing w:after="0"/>
              <w:rPr>
                <w:sz w:val="13"/>
                <w:szCs w:val="13"/>
                <w:color w:val="auto"/>
              </w:rPr>
            </w:pPr>
          </w:p>
        </w:tc>
        <w:tc>
          <w:tcPr>
            <w:tcW w:w="3940" w:type="dxa"/>
            <w:vAlign w:val="bottom"/>
            <w:tcBorders>
              <w:left w:val="single" w:sz="8" w:color="auto"/>
            </w:tcBorders>
          </w:tcPr>
          <w:p>
            <w:pPr>
              <w:spacing w:after="0" w:line="155" w:lineRule="exact"/>
              <w:rPr>
                <w:sz w:val="20"/>
                <w:szCs w:val="20"/>
                <w:color w:val="auto"/>
              </w:rPr>
            </w:pPr>
            <w:r>
              <w:rPr>
                <w:rFonts w:ascii="Arial" w:cs="Arial" w:eastAsia="Arial" w:hAnsi="Arial"/>
                <w:sz w:val="16"/>
                <w:szCs w:val="16"/>
                <w:color w:val="auto"/>
              </w:rPr>
              <w:t>Fund 0</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color w:val="auto"/>
              </w:rPr>
              <w:t>1,277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20"/>
              <w:spacing w:after="0" w:line="155" w:lineRule="exact"/>
              <w:rPr>
                <w:sz w:val="20"/>
                <w:szCs w:val="20"/>
                <w:color w:val="auto"/>
              </w:rPr>
            </w:pPr>
            <w:r>
              <w:rPr>
                <w:rFonts w:ascii="Arial" w:cs="Arial" w:eastAsia="Arial" w:hAnsi="Arial"/>
                <w:sz w:val="16"/>
                <w:szCs w:val="16"/>
                <w:color w:val="auto"/>
              </w:rPr>
              <w:t>3.2%</w:t>
            </w:r>
          </w:p>
        </w:tc>
        <w:tc>
          <w:tcPr>
            <w:tcW w:w="240" w:type="dxa"/>
            <w:vAlign w:val="bottom"/>
          </w:tcPr>
          <w:p>
            <w:pPr>
              <w:spacing w:after="0"/>
              <w:rPr>
                <w:sz w:val="13"/>
                <w:szCs w:val="13"/>
                <w:color w:val="auto"/>
              </w:rPr>
            </w:pPr>
          </w:p>
        </w:tc>
        <w:tc>
          <w:tcPr>
            <w:tcW w:w="860" w:type="dxa"/>
            <w:vAlign w:val="bottom"/>
            <w:gridSpan w:val="3"/>
          </w:tcPr>
          <w:p>
            <w:pPr>
              <w:jc w:val="right"/>
              <w:ind w:right="120"/>
              <w:spacing w:after="0" w:line="155" w:lineRule="exact"/>
              <w:rPr>
                <w:sz w:val="20"/>
                <w:szCs w:val="20"/>
                <w:color w:val="auto"/>
              </w:rPr>
            </w:pPr>
            <w:r>
              <w:rPr>
                <w:rFonts w:ascii="Arial" w:cs="Arial" w:eastAsia="Arial" w:hAnsi="Arial"/>
                <w:sz w:val="16"/>
                <w:szCs w:val="16"/>
                <w:color w:val="auto"/>
              </w:rPr>
              <w:t>1,240</w:t>
            </w:r>
          </w:p>
        </w:tc>
        <w:tc>
          <w:tcPr>
            <w:tcW w:w="280" w:type="dxa"/>
            <w:vAlign w:val="bottom"/>
          </w:tcPr>
          <w:p>
            <w:pPr>
              <w:spacing w:after="0"/>
              <w:rPr>
                <w:sz w:val="13"/>
                <w:szCs w:val="13"/>
                <w:color w:val="auto"/>
              </w:rPr>
            </w:pPr>
          </w:p>
        </w:tc>
        <w:tc>
          <w:tcPr>
            <w:tcW w:w="6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3.1%</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3940" w:type="dxa"/>
            <w:vAlign w:val="bottom"/>
            <w:tcBorders>
              <w:left w:val="single" w:sz="8" w:color="auto"/>
            </w:tcBorders>
          </w:tcPr>
          <w:p>
            <w:pPr>
              <w:spacing w:after="0" w:line="174" w:lineRule="exact"/>
              <w:rPr>
                <w:sz w:val="20"/>
                <w:szCs w:val="20"/>
                <w:color w:val="auto"/>
              </w:rPr>
            </w:pPr>
            <w:r>
              <w:rPr>
                <w:rFonts w:ascii="Arial" w:cs="Arial" w:eastAsia="Arial" w:hAnsi="Arial"/>
                <w:sz w:val="16"/>
                <w:szCs w:val="16"/>
                <w:color w:val="auto"/>
              </w:rPr>
              <w:t>Fund 1</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Arial" w:cs="Arial" w:eastAsia="Arial" w:hAnsi="Arial"/>
                <w:sz w:val="16"/>
                <w:szCs w:val="16"/>
                <w:color w:val="auto"/>
              </w:rPr>
              <w:t>6,286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15.7%</w:t>
            </w:r>
          </w:p>
        </w:tc>
        <w:tc>
          <w:tcPr>
            <w:tcW w:w="240" w:type="dxa"/>
            <w:vAlign w:val="bottom"/>
          </w:tcPr>
          <w:p>
            <w:pPr>
              <w:spacing w:after="0"/>
              <w:rPr>
                <w:sz w:val="15"/>
                <w:szCs w:val="15"/>
                <w:color w:val="auto"/>
              </w:rPr>
            </w:pPr>
          </w:p>
        </w:tc>
        <w:tc>
          <w:tcPr>
            <w:tcW w:w="860" w:type="dxa"/>
            <w:vAlign w:val="bottom"/>
            <w:gridSpan w:val="3"/>
          </w:tcPr>
          <w:p>
            <w:pPr>
              <w:jc w:val="right"/>
              <w:ind w:right="120"/>
              <w:spacing w:after="0" w:line="174" w:lineRule="exact"/>
              <w:rPr>
                <w:sz w:val="20"/>
                <w:szCs w:val="20"/>
                <w:color w:val="auto"/>
              </w:rPr>
            </w:pPr>
            <w:r>
              <w:rPr>
                <w:rFonts w:ascii="Arial" w:cs="Arial" w:eastAsia="Arial" w:hAnsi="Arial"/>
                <w:sz w:val="16"/>
                <w:szCs w:val="16"/>
                <w:color w:val="auto"/>
              </w:rPr>
              <w:t>5,960</w:t>
            </w:r>
          </w:p>
        </w:tc>
        <w:tc>
          <w:tcPr>
            <w:tcW w:w="280" w:type="dxa"/>
            <w:vAlign w:val="bottom"/>
          </w:tcPr>
          <w:p>
            <w:pPr>
              <w:spacing w:after="0"/>
              <w:rPr>
                <w:sz w:val="15"/>
                <w:szCs w:val="15"/>
                <w:color w:val="auto"/>
              </w:rPr>
            </w:pP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15.1%</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3940" w:type="dxa"/>
            <w:vAlign w:val="bottom"/>
            <w:tcBorders>
              <w:left w:val="single" w:sz="8" w:color="auto"/>
            </w:tcBorders>
          </w:tcPr>
          <w:p>
            <w:pPr>
              <w:spacing w:after="0" w:line="174" w:lineRule="exact"/>
              <w:rPr>
                <w:sz w:val="20"/>
                <w:szCs w:val="20"/>
                <w:color w:val="auto"/>
              </w:rPr>
            </w:pPr>
            <w:r>
              <w:rPr>
                <w:rFonts w:ascii="Arial" w:cs="Arial" w:eastAsia="Arial" w:hAnsi="Arial"/>
                <w:sz w:val="16"/>
                <w:szCs w:val="16"/>
                <w:color w:val="auto"/>
              </w:rPr>
              <w:t>Fund 2</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000" w:type="dxa"/>
            <w:vAlign w:val="bottom"/>
          </w:tcPr>
          <w:p>
            <w:pPr>
              <w:jc w:val="right"/>
              <w:spacing w:after="0" w:line="174" w:lineRule="exact"/>
              <w:rPr>
                <w:sz w:val="20"/>
                <w:szCs w:val="20"/>
                <w:color w:val="auto"/>
              </w:rPr>
            </w:pPr>
            <w:r>
              <w:rPr>
                <w:rFonts w:ascii="Arial" w:cs="Arial" w:eastAsia="Arial" w:hAnsi="Arial"/>
                <w:sz w:val="16"/>
                <w:szCs w:val="16"/>
                <w:color w:val="auto"/>
              </w:rPr>
              <w:t>27,836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69.4%</w:t>
            </w:r>
          </w:p>
        </w:tc>
        <w:tc>
          <w:tcPr>
            <w:tcW w:w="240" w:type="dxa"/>
            <w:vAlign w:val="bottom"/>
          </w:tcPr>
          <w:p>
            <w:pPr>
              <w:spacing w:after="0"/>
              <w:rPr>
                <w:sz w:val="15"/>
                <w:szCs w:val="15"/>
                <w:color w:val="auto"/>
              </w:rPr>
            </w:pPr>
          </w:p>
        </w:tc>
        <w:tc>
          <w:tcPr>
            <w:tcW w:w="860" w:type="dxa"/>
            <w:vAlign w:val="bottom"/>
            <w:gridSpan w:val="3"/>
          </w:tcPr>
          <w:p>
            <w:pPr>
              <w:jc w:val="right"/>
              <w:ind w:right="120"/>
              <w:spacing w:after="0" w:line="174" w:lineRule="exact"/>
              <w:rPr>
                <w:sz w:val="20"/>
                <w:szCs w:val="20"/>
                <w:color w:val="auto"/>
              </w:rPr>
            </w:pPr>
            <w:r>
              <w:rPr>
                <w:rFonts w:ascii="Arial" w:cs="Arial" w:eastAsia="Arial" w:hAnsi="Arial"/>
                <w:sz w:val="16"/>
                <w:szCs w:val="16"/>
                <w:color w:val="auto"/>
              </w:rPr>
              <w:t>27,387</w:t>
            </w:r>
          </w:p>
        </w:tc>
        <w:tc>
          <w:tcPr>
            <w:tcW w:w="280" w:type="dxa"/>
            <w:vAlign w:val="bottom"/>
          </w:tcPr>
          <w:p>
            <w:pPr>
              <w:spacing w:after="0"/>
              <w:rPr>
                <w:sz w:val="15"/>
                <w:szCs w:val="15"/>
                <w:color w:val="auto"/>
              </w:rPr>
            </w:pPr>
          </w:p>
        </w:tc>
        <w:tc>
          <w:tcPr>
            <w:tcW w:w="64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69.3%</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394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color w:val="auto"/>
              </w:rPr>
              <w:t>Fund 3</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4,924</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auto"/>
            </w:tcBorders>
          </w:tcPr>
          <w:p>
            <w:pPr>
              <w:spacing w:after="0"/>
              <w:rPr>
                <w:sz w:val="15"/>
                <w:szCs w:val="15"/>
                <w:color w:val="auto"/>
              </w:rPr>
            </w:pPr>
          </w:p>
        </w:tc>
        <w:tc>
          <w:tcPr>
            <w:tcW w:w="3940" w:type="dxa"/>
            <w:vAlign w:val="bottom"/>
            <w:tcBorders>
              <w:left w:val="single" w:sz="8" w:color="auto"/>
              <w:bottom w:val="single" w:sz="8" w:color="auto"/>
            </w:tcBorders>
          </w:tcPr>
          <w:p>
            <w:pPr>
              <w:spacing w:after="0" w:line="174" w:lineRule="exact"/>
              <w:rPr>
                <w:sz w:val="20"/>
                <w:szCs w:val="20"/>
                <w:color w:val="auto"/>
              </w:rPr>
            </w:pPr>
            <w:r>
              <w:rPr>
                <w:rFonts w:ascii="Arial" w:cs="Arial" w:eastAsia="Arial" w:hAnsi="Arial"/>
                <w:sz w:val="16"/>
                <w:szCs w:val="16"/>
                <w:color w:val="auto"/>
              </w:rPr>
              <w:t>Total S/ Millions</w:t>
            </w: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40,125</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ind w:right="120"/>
              <w:spacing w:after="0" w:line="174" w:lineRule="exact"/>
              <w:rPr>
                <w:sz w:val="20"/>
                <w:szCs w:val="20"/>
                <w:color w:val="auto"/>
              </w:rPr>
            </w:pPr>
            <w:r>
              <w:rPr>
                <w:rFonts w:ascii="Arial" w:cs="Arial" w:eastAsia="Arial" w:hAnsi="Arial"/>
                <w:sz w:val="16"/>
                <w:szCs w:val="16"/>
                <w:color w:val="auto"/>
              </w:rPr>
              <w:t>39,510</w:t>
            </w: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100%</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9"/>
                <w:szCs w:val="9"/>
                <w:i w:val="1"/>
                <w:iCs w:val="1"/>
                <w:color w:val="auto"/>
              </w:rPr>
              <w:t>Source: SBS.</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4120" w:type="dxa"/>
            <w:vAlign w:val="bottom"/>
            <w:gridSpan w:val="12"/>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Nominal profitability over the last 12 months</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right w:val="single" w:sz="8" w:color="2AD2C9"/>
            </w:tcBorders>
            <w:shd w:val="clear" w:color="auto" w:fill="2AD2C9"/>
          </w:tcPr>
          <w:p>
            <w:pPr>
              <w:spacing w:after="0"/>
              <w:rPr>
                <w:sz w:val="15"/>
                <w:szCs w:val="15"/>
                <w:color w:val="auto"/>
              </w:rPr>
            </w:pPr>
          </w:p>
        </w:tc>
        <w:tc>
          <w:tcPr>
            <w:tcW w:w="1400" w:type="dxa"/>
            <w:vAlign w:val="bottom"/>
            <w:tcBorders>
              <w:bottom w:val="single" w:sz="8" w:color="auto"/>
              <w:right w:val="single" w:sz="8" w:color="auto"/>
            </w:tcBorders>
            <w:gridSpan w:val="3"/>
            <w:shd w:val="clear" w:color="auto" w:fill="2AD2C9"/>
          </w:tcPr>
          <w:p>
            <w:pPr>
              <w:jc w:val="center"/>
              <w:ind w:right="120"/>
              <w:spacing w:after="0" w:line="174" w:lineRule="exact"/>
              <w:rPr>
                <w:sz w:val="20"/>
                <w:szCs w:val="20"/>
                <w:color w:val="auto"/>
              </w:rPr>
            </w:pPr>
            <w:r>
              <w:rPr>
                <w:rFonts w:ascii="Arial" w:cs="Arial" w:eastAsia="Arial" w:hAnsi="Arial"/>
                <w:sz w:val="16"/>
                <w:szCs w:val="16"/>
                <w:b w:val="1"/>
                <w:bCs w:val="1"/>
                <w:color w:val="FFFFFF"/>
                <w:w w:val="99"/>
              </w:rPr>
              <w:t>Dec 21 / Dec 20</w:t>
            </w:r>
          </w:p>
        </w:tc>
        <w:tc>
          <w:tcPr>
            <w:tcW w:w="1520" w:type="dxa"/>
            <w:vAlign w:val="bottom"/>
            <w:tcBorders>
              <w:bottom w:val="single" w:sz="8" w:color="auto"/>
              <w:right w:val="single" w:sz="8" w:color="auto"/>
            </w:tcBorders>
            <w:gridSpan w:val="5"/>
            <w:shd w:val="clear" w:color="auto" w:fill="2AD2C9"/>
          </w:tcPr>
          <w:p>
            <w:pPr>
              <w:jc w:val="right"/>
              <w:ind w:right="121"/>
              <w:spacing w:after="0" w:line="174" w:lineRule="exact"/>
              <w:rPr>
                <w:sz w:val="20"/>
                <w:szCs w:val="20"/>
                <w:color w:val="auto"/>
              </w:rPr>
            </w:pPr>
            <w:r>
              <w:rPr>
                <w:rFonts w:ascii="Arial" w:cs="Arial" w:eastAsia="Arial" w:hAnsi="Arial"/>
                <w:sz w:val="16"/>
                <w:szCs w:val="16"/>
                <w:b w:val="1"/>
                <w:bCs w:val="1"/>
                <w:color w:val="FFFFFF"/>
              </w:rPr>
              <w:t>Mar 22 / Mar 21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0" w:type="dxa"/>
            <w:vAlign w:val="bottom"/>
            <w:tcBorders>
              <w:right w:val="single" w:sz="8" w:color="auto"/>
            </w:tcBorders>
            <w:shd w:val="clear" w:color="auto" w:fill="000000"/>
          </w:tcPr>
          <w:p>
            <w:pPr>
              <w:spacing w:after="0"/>
              <w:rPr>
                <w:sz w:val="13"/>
                <w:szCs w:val="13"/>
                <w:color w:val="auto"/>
              </w:rPr>
            </w:pPr>
          </w:p>
        </w:tc>
        <w:tc>
          <w:tcPr>
            <w:tcW w:w="3940" w:type="dxa"/>
            <w:vAlign w:val="bottom"/>
          </w:tcPr>
          <w:p>
            <w:pPr>
              <w:spacing w:after="0" w:line="155" w:lineRule="exact"/>
              <w:rPr>
                <w:sz w:val="20"/>
                <w:szCs w:val="20"/>
                <w:color w:val="auto"/>
              </w:rPr>
            </w:pPr>
            <w:r>
              <w:rPr>
                <w:rFonts w:ascii="Arial" w:cs="Arial" w:eastAsia="Arial" w:hAnsi="Arial"/>
                <w:sz w:val="16"/>
                <w:szCs w:val="16"/>
                <w:color w:val="auto"/>
              </w:rPr>
              <w:t>Fund 0</w:t>
            </w:r>
          </w:p>
        </w:tc>
        <w:tc>
          <w:tcPr>
            <w:tcW w:w="70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20"/>
              <w:spacing w:after="0" w:line="155" w:lineRule="exact"/>
              <w:rPr>
                <w:sz w:val="20"/>
                <w:szCs w:val="20"/>
                <w:color w:val="auto"/>
              </w:rPr>
            </w:pPr>
            <w:r>
              <w:rPr>
                <w:rFonts w:ascii="Arial" w:cs="Arial" w:eastAsia="Arial" w:hAnsi="Arial"/>
                <w:sz w:val="16"/>
                <w:szCs w:val="16"/>
                <w:color w:val="auto"/>
                <w:w w:val="98"/>
              </w:rPr>
              <w:t>0.7%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Borders>
              <w:right w:val="single" w:sz="8" w:color="auto"/>
            </w:tcBorders>
            <w:gridSpan w:val="2"/>
          </w:tcPr>
          <w:p>
            <w:pPr>
              <w:jc w:val="right"/>
              <w:spacing w:after="0" w:line="155" w:lineRule="exact"/>
              <w:rPr>
                <w:sz w:val="20"/>
                <w:szCs w:val="20"/>
                <w:color w:val="auto"/>
              </w:rPr>
            </w:pPr>
            <w:r>
              <w:rPr>
                <w:rFonts w:ascii="Arial" w:cs="Arial" w:eastAsia="Arial" w:hAnsi="Arial"/>
                <w:sz w:val="16"/>
                <w:szCs w:val="16"/>
                <w:color w:val="auto"/>
              </w:rPr>
              <w:t>1.2%</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Fund 1</w:t>
            </w:r>
          </w:p>
        </w:tc>
        <w:tc>
          <w:tcPr>
            <w:tcW w:w="7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gridSpan w:val="4"/>
          </w:tcPr>
          <w:p>
            <w:pPr>
              <w:jc w:val="right"/>
              <w:ind w:right="20"/>
              <w:spacing w:after="0" w:line="174" w:lineRule="exact"/>
              <w:rPr>
                <w:sz w:val="20"/>
                <w:szCs w:val="20"/>
                <w:color w:val="auto"/>
              </w:rPr>
            </w:pPr>
            <w:r>
              <w:rPr>
                <w:rFonts w:ascii="Arial" w:cs="Arial" w:eastAsia="Arial" w:hAnsi="Arial"/>
                <w:sz w:val="16"/>
                <w:szCs w:val="16"/>
                <w:color w:val="auto"/>
              </w:rPr>
              <w:t>-2.2%</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6"/>
                <w:szCs w:val="16"/>
                <w:color w:val="auto"/>
              </w:rPr>
              <w:t>-4.0%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Borders>
              <w:right w:val="single" w:sz="8" w:color="auto"/>
            </w:tcBorders>
            <w:shd w:val="clear" w:color="auto" w:fill="000000"/>
          </w:tcPr>
          <w:p>
            <w:pPr>
              <w:spacing w:after="0"/>
              <w:rPr>
                <w:sz w:val="15"/>
                <w:szCs w:val="15"/>
                <w:color w:val="auto"/>
              </w:rPr>
            </w:pPr>
          </w:p>
        </w:tc>
        <w:tc>
          <w:tcPr>
            <w:tcW w:w="3940" w:type="dxa"/>
            <w:vAlign w:val="bottom"/>
          </w:tcPr>
          <w:p>
            <w:pPr>
              <w:spacing w:after="0" w:line="174" w:lineRule="exact"/>
              <w:rPr>
                <w:sz w:val="20"/>
                <w:szCs w:val="20"/>
                <w:color w:val="auto"/>
              </w:rPr>
            </w:pPr>
            <w:r>
              <w:rPr>
                <w:rFonts w:ascii="Arial" w:cs="Arial" w:eastAsia="Arial" w:hAnsi="Arial"/>
                <w:sz w:val="16"/>
                <w:szCs w:val="16"/>
                <w:color w:val="auto"/>
              </w:rPr>
              <w:t>Fund 2</w:t>
            </w:r>
          </w:p>
        </w:tc>
        <w:tc>
          <w:tcPr>
            <w:tcW w:w="70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Borders>
              <w:right w:val="single" w:sz="8" w:color="auto"/>
            </w:tcBorders>
            <w:gridSpan w:val="2"/>
          </w:tcPr>
          <w:p>
            <w:pPr>
              <w:jc w:val="right"/>
              <w:ind w:right="20"/>
              <w:spacing w:after="0" w:line="174" w:lineRule="exact"/>
              <w:rPr>
                <w:sz w:val="20"/>
                <w:szCs w:val="20"/>
                <w:color w:val="auto"/>
              </w:rPr>
            </w:pPr>
            <w:r>
              <w:rPr>
                <w:rFonts w:ascii="Arial" w:cs="Arial" w:eastAsia="Arial" w:hAnsi="Arial"/>
                <w:sz w:val="16"/>
                <w:szCs w:val="16"/>
                <w:color w:val="auto"/>
                <w:w w:val="98"/>
              </w:rPr>
              <w:t>6.4%</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right w:val="single" w:sz="8" w:color="auto"/>
            </w:tcBorders>
            <w:gridSpan w:val="2"/>
          </w:tcPr>
          <w:p>
            <w:pPr>
              <w:jc w:val="right"/>
              <w:spacing w:after="0" w:line="174" w:lineRule="exact"/>
              <w:rPr>
                <w:sz w:val="20"/>
                <w:szCs w:val="20"/>
                <w:color w:val="auto"/>
              </w:rPr>
            </w:pPr>
            <w:r>
              <w:rPr>
                <w:rFonts w:ascii="Arial" w:cs="Arial" w:eastAsia="Arial" w:hAnsi="Arial"/>
                <w:sz w:val="16"/>
                <w:szCs w:val="16"/>
                <w:color w:val="auto"/>
              </w:rPr>
              <w:t>1.1%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Fund 3</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18.9%</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AFP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59625" cy="4673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9625" cy="46736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p>
      <w:pPr>
        <w:spacing w:after="0" w:line="146"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FFFFFF"/>
        </w:rPr>
        <w:t>Fee based on flow</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Mixed fee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Flow</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Balance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FFFFFF"/>
        </w:rPr>
        <w:t>1.60% Applied to the affiliates' monthly remuneration.</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0.18% Applied to the affiliates' monthly remuneration since June 2017. Feb 17- may 17 =0.87%.</w:t>
      </w:r>
    </w:p>
    <w:p>
      <w:pPr>
        <w:spacing w:after="0" w:line="2" w:lineRule="exact"/>
        <w:rPr>
          <w:sz w:val="20"/>
          <w:szCs w:val="20"/>
          <w:color w:val="auto"/>
        </w:rPr>
      </w:pPr>
    </w:p>
    <w:p>
      <w:pPr>
        <w:ind w:left="360" w:right="200" w:hanging="348"/>
        <w:spacing w:after="0" w:line="188" w:lineRule="auto"/>
        <w:rPr>
          <w:sz w:val="20"/>
          <w:szCs w:val="20"/>
          <w:color w:val="auto"/>
        </w:rPr>
      </w:pPr>
      <w:r>
        <w:rPr>
          <w:rFonts w:ascii="Arial" w:cs="Arial" w:eastAsia="Arial" w:hAnsi="Arial"/>
          <w:sz w:val="20"/>
          <w:szCs w:val="20"/>
          <w:color w:val="auto"/>
          <w:vertAlign w:val="subscript"/>
        </w:rPr>
        <w:t>1.25%</w:t>
      </w:r>
      <w:r>
        <w:rPr>
          <w:rFonts w:ascii="Arial" w:cs="Arial" w:eastAsia="Arial" w:hAnsi="Arial"/>
          <w:sz w:val="10"/>
          <w:szCs w:val="10"/>
          <w:color w:val="auto"/>
        </w:rPr>
        <w:t xml:space="preserve"> Applies annualy to the new balance since February 2013 for new affiliates to the system and beginning on June 2013 for old affiliates who have chosen this commission scheme.</w:t>
      </w:r>
    </w:p>
    <w:p>
      <w:pPr>
        <w:spacing w:after="0" w:line="200" w:lineRule="exact"/>
        <w:rPr>
          <w:sz w:val="20"/>
          <w:szCs w:val="20"/>
          <w:color w:val="auto"/>
        </w:rPr>
      </w:pPr>
    </w:p>
    <w:p>
      <w:pPr>
        <w:sectPr>
          <w:pgSz w:w="11900" w:h="16838" w:orient="portrait"/>
          <w:cols w:equalWidth="0" w:num="2">
            <w:col w:w="2700" w:space="720"/>
            <w:col w:w="7860"/>
          </w:cols>
          <w:pgMar w:left="300" w:top="207" w:right="319" w:bottom="1440" w:gutter="0" w:footer="0" w:header="0"/>
          <w:type w:val="continuous"/>
        </w:sectPr>
      </w:pPr>
    </w:p>
    <w:p>
      <w:pPr>
        <w:spacing w:after="0" w:line="137"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type w:val="continuous"/>
        </w:sectPr>
      </w:pPr>
    </w:p>
    <w:bookmarkStart w:id="65" w:name="page66"/>
    <w:bookmarkEnd w:id="65"/>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Main indicators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5200" w:type="dxa"/>
            <w:vAlign w:val="bottom"/>
            <w:tcBorders>
              <w:top w:val="single" w:sz="8" w:color="auto"/>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6"/>
                <w:szCs w:val="16"/>
                <w:b w:val="1"/>
                <w:bCs w:val="1"/>
                <w:color w:val="FFFFFF"/>
              </w:rPr>
              <w:t>Main indicators and market share</w:t>
            </w:r>
          </w:p>
        </w:tc>
        <w:tc>
          <w:tcPr>
            <w:tcW w:w="1080" w:type="dxa"/>
            <w:vAlign w:val="bottom"/>
            <w:tcBorders>
              <w:top w:val="single" w:sz="8" w:color="auto"/>
            </w:tcBorders>
            <w:shd w:val="clear" w:color="auto" w:fill="2AD2C9"/>
          </w:tcPr>
          <w:p>
            <w:pPr>
              <w:ind w:left="320"/>
              <w:spacing w:after="0" w:line="176" w:lineRule="exact"/>
              <w:rPr>
                <w:sz w:val="20"/>
                <w:szCs w:val="20"/>
                <w:color w:val="auto"/>
              </w:rPr>
            </w:pPr>
            <w:r>
              <w:rPr>
                <w:rFonts w:ascii="Arial" w:cs="Arial" w:eastAsia="Arial" w:hAnsi="Arial"/>
                <w:sz w:val="16"/>
                <w:szCs w:val="16"/>
                <w:b w:val="1"/>
                <w:bCs w:val="1"/>
                <w:color w:val="FFFFFF"/>
              </w:rPr>
              <w:t>Prima</w:t>
            </w:r>
          </w:p>
        </w:tc>
        <w:tc>
          <w:tcPr>
            <w:tcW w:w="1060" w:type="dxa"/>
            <w:vAlign w:val="bottom"/>
            <w:tcBorders>
              <w:top w:val="single" w:sz="8" w:color="auto"/>
            </w:tcBorders>
            <w:shd w:val="clear" w:color="auto" w:fill="2AD2C9"/>
          </w:tcPr>
          <w:p>
            <w:pPr>
              <w:jc w:val="right"/>
              <w:ind w:right="361"/>
              <w:spacing w:after="0" w:line="176" w:lineRule="exact"/>
              <w:rPr>
                <w:sz w:val="20"/>
                <w:szCs w:val="20"/>
                <w:color w:val="auto"/>
              </w:rPr>
            </w:pPr>
            <w:r>
              <w:rPr>
                <w:rFonts w:ascii="Arial" w:cs="Arial" w:eastAsia="Arial" w:hAnsi="Arial"/>
                <w:sz w:val="16"/>
                <w:szCs w:val="16"/>
                <w:b w:val="1"/>
                <w:bCs w:val="1"/>
                <w:color w:val="FFFFFF"/>
              </w:rPr>
              <w:t>System</w:t>
            </w:r>
          </w:p>
        </w:tc>
        <w:tc>
          <w:tcPr>
            <w:tcW w:w="920" w:type="dxa"/>
            <w:vAlign w:val="bottom"/>
            <w:tcBorders>
              <w:top w:val="single" w:sz="8" w:color="auto"/>
              <w:right w:val="single" w:sz="8" w:color="auto"/>
            </w:tcBorders>
            <w:shd w:val="clear" w:color="auto" w:fill="2AD2C9"/>
          </w:tcPr>
          <w:p>
            <w:pPr>
              <w:jc w:val="right"/>
              <w:ind w:right="121"/>
              <w:spacing w:after="0" w:line="176" w:lineRule="exact"/>
              <w:rPr>
                <w:sz w:val="20"/>
                <w:szCs w:val="20"/>
                <w:color w:val="auto"/>
              </w:rPr>
            </w:pPr>
            <w:r>
              <w:rPr>
                <w:rFonts w:ascii="Arial" w:cs="Arial" w:eastAsia="Arial" w:hAnsi="Arial"/>
                <w:sz w:val="16"/>
                <w:szCs w:val="16"/>
                <w:b w:val="1"/>
                <w:bCs w:val="1"/>
                <w:color w:val="FFFFFF"/>
              </w:rPr>
              <w:t>% share</w:t>
            </w:r>
          </w:p>
        </w:tc>
        <w:tc>
          <w:tcPr>
            <w:tcW w:w="1060" w:type="dxa"/>
            <w:vAlign w:val="bottom"/>
            <w:tcBorders>
              <w:top w:val="single" w:sz="8" w:color="auto"/>
            </w:tcBorders>
            <w:shd w:val="clear" w:color="auto" w:fill="2AD2C9"/>
          </w:tcPr>
          <w:p>
            <w:pPr>
              <w:ind w:left="300"/>
              <w:spacing w:after="0" w:line="176" w:lineRule="exact"/>
              <w:rPr>
                <w:sz w:val="20"/>
                <w:szCs w:val="20"/>
                <w:color w:val="auto"/>
              </w:rPr>
            </w:pPr>
            <w:r>
              <w:rPr>
                <w:rFonts w:ascii="Arial" w:cs="Arial" w:eastAsia="Arial" w:hAnsi="Arial"/>
                <w:sz w:val="16"/>
                <w:szCs w:val="16"/>
                <w:b w:val="1"/>
                <w:bCs w:val="1"/>
                <w:color w:val="FFFFFF"/>
              </w:rPr>
              <w:t>Prima</w:t>
            </w:r>
          </w:p>
        </w:tc>
        <w:tc>
          <w:tcPr>
            <w:tcW w:w="980" w:type="dxa"/>
            <w:vAlign w:val="bottom"/>
            <w:tcBorders>
              <w:top w:val="single" w:sz="8" w:color="auto"/>
            </w:tcBorders>
            <w:shd w:val="clear" w:color="auto" w:fill="2AD2C9"/>
          </w:tcPr>
          <w:p>
            <w:pPr>
              <w:jc w:val="right"/>
              <w:ind w:right="281"/>
              <w:spacing w:after="0" w:line="176" w:lineRule="exact"/>
              <w:rPr>
                <w:sz w:val="20"/>
                <w:szCs w:val="20"/>
                <w:color w:val="auto"/>
              </w:rPr>
            </w:pPr>
            <w:r>
              <w:rPr>
                <w:rFonts w:ascii="Arial" w:cs="Arial" w:eastAsia="Arial" w:hAnsi="Arial"/>
                <w:sz w:val="16"/>
                <w:szCs w:val="16"/>
                <w:b w:val="1"/>
                <w:bCs w:val="1"/>
                <w:color w:val="FFFFFF"/>
              </w:rPr>
              <w:t>System</w:t>
            </w:r>
          </w:p>
        </w:tc>
        <w:tc>
          <w:tcPr>
            <w:tcW w:w="980" w:type="dxa"/>
            <w:vAlign w:val="bottom"/>
            <w:tcBorders>
              <w:top w:val="single" w:sz="8" w:color="auto"/>
              <w:right w:val="single" w:sz="8" w:color="auto"/>
            </w:tcBorders>
            <w:shd w:val="clear" w:color="auto" w:fill="2AD2C9"/>
          </w:tcPr>
          <w:p>
            <w:pPr>
              <w:jc w:val="right"/>
              <w:ind w:right="241"/>
              <w:spacing w:after="0" w:line="176" w:lineRule="exact"/>
              <w:rPr>
                <w:sz w:val="20"/>
                <w:szCs w:val="20"/>
                <w:color w:val="auto"/>
              </w:rPr>
            </w:pPr>
            <w:r>
              <w:rPr>
                <w:rFonts w:ascii="Arial" w:cs="Arial" w:eastAsia="Arial" w:hAnsi="Arial"/>
                <w:sz w:val="16"/>
                <w:szCs w:val="16"/>
                <w:b w:val="1"/>
                <w:bCs w:val="1"/>
                <w:color w:val="FFFFFF"/>
              </w:rPr>
              <w:t>% Share</w:t>
            </w:r>
          </w:p>
        </w:tc>
        <w:tc>
          <w:tcPr>
            <w:tcW w:w="0" w:type="dxa"/>
            <w:vAlign w:val="bottom"/>
          </w:tcPr>
          <w:p>
            <w:pPr>
              <w:spacing w:after="0"/>
              <w:rPr>
                <w:sz w:val="1"/>
                <w:szCs w:val="1"/>
                <w:color w:val="auto"/>
              </w:rPr>
            </w:pPr>
          </w:p>
        </w:tc>
      </w:tr>
      <w:tr>
        <w:trPr>
          <w:trHeight w:val="131"/>
        </w:trPr>
        <w:tc>
          <w:tcPr>
            <w:tcW w:w="5200" w:type="dxa"/>
            <w:vAlign w:val="bottom"/>
            <w:tcBorders>
              <w:left w:val="single" w:sz="8" w:color="auto"/>
              <w:right w:val="single" w:sz="8" w:color="auto"/>
            </w:tcBorders>
            <w:vMerge w:val="continue"/>
            <w:shd w:val="clear" w:color="auto" w:fill="2AD2C9"/>
          </w:tcPr>
          <w:p>
            <w:pPr>
              <w:spacing w:after="0"/>
              <w:rPr>
                <w:sz w:val="11"/>
                <w:szCs w:val="11"/>
                <w:color w:val="auto"/>
              </w:rPr>
            </w:pPr>
          </w:p>
        </w:tc>
        <w:tc>
          <w:tcPr>
            <w:tcW w:w="1080" w:type="dxa"/>
            <w:vAlign w:val="bottom"/>
            <w:vMerge w:val="restart"/>
            <w:shd w:val="clear" w:color="auto" w:fill="2AD2C9"/>
          </w:tcPr>
          <w:p>
            <w:pPr>
              <w:ind w:left="320"/>
              <w:spacing w:after="0"/>
              <w:rPr>
                <w:sz w:val="20"/>
                <w:szCs w:val="20"/>
                <w:color w:val="auto"/>
              </w:rPr>
            </w:pPr>
            <w:r>
              <w:rPr>
                <w:rFonts w:ascii="Arial" w:cs="Arial" w:eastAsia="Arial" w:hAnsi="Arial"/>
                <w:sz w:val="16"/>
                <w:szCs w:val="16"/>
                <w:b w:val="1"/>
                <w:bCs w:val="1"/>
                <w:color w:val="FFFFFF"/>
              </w:rPr>
              <w:t>4Q21</w:t>
            </w:r>
          </w:p>
        </w:tc>
        <w:tc>
          <w:tcPr>
            <w:tcW w:w="1060" w:type="dxa"/>
            <w:vAlign w:val="bottom"/>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4Q21</w:t>
            </w:r>
          </w:p>
        </w:tc>
        <w:tc>
          <w:tcPr>
            <w:tcW w:w="920" w:type="dxa"/>
            <w:vAlign w:val="bottom"/>
            <w:tcBorders>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4Q21</w:t>
            </w:r>
          </w:p>
        </w:tc>
        <w:tc>
          <w:tcPr>
            <w:tcW w:w="1060" w:type="dxa"/>
            <w:vAlign w:val="bottom"/>
            <w:vMerge w:val="restart"/>
            <w:shd w:val="clear" w:color="auto" w:fill="2AD2C9"/>
          </w:tcPr>
          <w:p>
            <w:pPr>
              <w:ind w:left="300"/>
              <w:spacing w:after="0"/>
              <w:rPr>
                <w:sz w:val="20"/>
                <w:szCs w:val="20"/>
                <w:color w:val="auto"/>
              </w:rPr>
            </w:pPr>
            <w:r>
              <w:rPr>
                <w:rFonts w:ascii="Arial" w:cs="Arial" w:eastAsia="Arial" w:hAnsi="Arial"/>
                <w:sz w:val="16"/>
                <w:szCs w:val="16"/>
                <w:b w:val="1"/>
                <w:bCs w:val="1"/>
                <w:color w:val="FFFFFF"/>
              </w:rPr>
              <w:t>1Q22</w:t>
            </w:r>
          </w:p>
        </w:tc>
        <w:tc>
          <w:tcPr>
            <w:tcW w:w="980" w:type="dxa"/>
            <w:vAlign w:val="bottom"/>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980" w:type="dxa"/>
            <w:vAlign w:val="bottom"/>
            <w:tcBorders>
              <w:right w:val="single" w:sz="8" w:color="auto"/>
            </w:tcBorders>
            <w:vMerge w:val="restart"/>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1Q22</w:t>
            </w:r>
          </w:p>
        </w:tc>
        <w:tc>
          <w:tcPr>
            <w:tcW w:w="0" w:type="dxa"/>
            <w:vAlign w:val="bottom"/>
          </w:tcPr>
          <w:p>
            <w:pPr>
              <w:spacing w:after="0"/>
              <w:rPr>
                <w:sz w:val="1"/>
                <w:szCs w:val="1"/>
                <w:color w:val="auto"/>
              </w:rPr>
            </w:pPr>
          </w:p>
        </w:tc>
      </w:tr>
      <w:tr>
        <w:trPr>
          <w:trHeight w:val="63"/>
        </w:trPr>
        <w:tc>
          <w:tcPr>
            <w:tcW w:w="5200" w:type="dxa"/>
            <w:vAlign w:val="bottom"/>
            <w:tcBorders>
              <w:left w:val="single" w:sz="8" w:color="auto"/>
              <w:bottom w:val="single" w:sz="8" w:color="auto"/>
              <w:right w:val="single" w:sz="8" w:color="auto"/>
            </w:tcBorders>
            <w:shd w:val="clear" w:color="auto" w:fill="2AD2C9"/>
          </w:tcPr>
          <w:p>
            <w:pPr>
              <w:spacing w:after="0"/>
              <w:rPr>
                <w:sz w:val="5"/>
                <w:szCs w:val="5"/>
                <w:color w:val="auto"/>
              </w:rPr>
            </w:pPr>
          </w:p>
        </w:tc>
        <w:tc>
          <w:tcPr>
            <w:tcW w:w="1080" w:type="dxa"/>
            <w:vAlign w:val="bottom"/>
            <w:tcBorders>
              <w:bottom w:val="single" w:sz="8" w:color="auto"/>
            </w:tcBorders>
            <w:vMerge w:val="continue"/>
            <w:shd w:val="clear" w:color="auto" w:fill="2AD2C9"/>
          </w:tcPr>
          <w:p>
            <w:pPr>
              <w:spacing w:after="0"/>
              <w:rPr>
                <w:sz w:val="5"/>
                <w:szCs w:val="5"/>
                <w:color w:val="auto"/>
              </w:rPr>
            </w:pPr>
          </w:p>
        </w:tc>
        <w:tc>
          <w:tcPr>
            <w:tcW w:w="1060" w:type="dxa"/>
            <w:vAlign w:val="bottom"/>
            <w:tcBorders>
              <w:bottom w:val="single" w:sz="8" w:color="auto"/>
            </w:tcBorders>
            <w:vMerge w:val="continue"/>
            <w:shd w:val="clear" w:color="auto" w:fill="2AD2C9"/>
          </w:tcPr>
          <w:p>
            <w:pPr>
              <w:spacing w:after="0"/>
              <w:rPr>
                <w:sz w:val="5"/>
                <w:szCs w:val="5"/>
                <w:color w:val="auto"/>
              </w:rPr>
            </w:pPr>
          </w:p>
        </w:tc>
        <w:tc>
          <w:tcPr>
            <w:tcW w:w="92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1060" w:type="dxa"/>
            <w:vAlign w:val="bottom"/>
            <w:tcBorders>
              <w:bottom w:val="single" w:sz="8" w:color="auto"/>
            </w:tcBorders>
            <w:vMerge w:val="continue"/>
            <w:shd w:val="clear" w:color="auto" w:fill="2AD2C9"/>
          </w:tcPr>
          <w:p>
            <w:pPr>
              <w:spacing w:after="0"/>
              <w:rPr>
                <w:sz w:val="5"/>
                <w:szCs w:val="5"/>
                <w:color w:val="auto"/>
              </w:rPr>
            </w:pPr>
          </w:p>
        </w:tc>
        <w:tc>
          <w:tcPr>
            <w:tcW w:w="980" w:type="dxa"/>
            <w:vAlign w:val="bottom"/>
            <w:tcBorders>
              <w:bottom w:val="single" w:sz="8" w:color="auto"/>
            </w:tcBorders>
            <w:vMerge w:val="continue"/>
            <w:shd w:val="clear" w:color="auto" w:fill="2AD2C9"/>
          </w:tcPr>
          <w:p>
            <w:pPr>
              <w:spacing w:after="0"/>
              <w:rPr>
                <w:sz w:val="5"/>
                <w:szCs w:val="5"/>
                <w:color w:val="auto"/>
              </w:rPr>
            </w:pPr>
          </w:p>
        </w:tc>
        <w:tc>
          <w:tcPr>
            <w:tcW w:w="980" w:type="dxa"/>
            <w:vAlign w:val="bottom"/>
            <w:tcBorders>
              <w:bottom w:val="single" w:sz="8" w:color="auto"/>
              <w:right w:val="single" w:sz="8" w:color="auto"/>
            </w:tcBorders>
            <w:vMerge w:val="continue"/>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5200" w:type="dxa"/>
            <w:vAlign w:val="bottom"/>
            <w:tcBorders>
              <w:left w:val="single" w:sz="8" w:color="auto"/>
              <w:right w:val="single" w:sz="8" w:color="auto"/>
            </w:tcBorders>
          </w:tcPr>
          <w:p>
            <w:pPr>
              <w:ind w:left="20"/>
              <w:spacing w:after="0" w:line="150" w:lineRule="exact"/>
              <w:rPr>
                <w:sz w:val="20"/>
                <w:szCs w:val="20"/>
                <w:color w:val="auto"/>
              </w:rPr>
            </w:pPr>
            <w:r>
              <w:rPr>
                <w:rFonts w:ascii="Arial" w:cs="Arial" w:eastAsia="Arial" w:hAnsi="Arial"/>
                <w:sz w:val="16"/>
                <w:szCs w:val="16"/>
                <w:color w:val="auto"/>
              </w:rPr>
              <w:t>Affiliates</w:t>
            </w:r>
          </w:p>
        </w:tc>
        <w:tc>
          <w:tcPr>
            <w:tcW w:w="1080" w:type="dxa"/>
            <w:vAlign w:val="bottom"/>
          </w:tcPr>
          <w:p>
            <w:pPr>
              <w:jc w:val="right"/>
              <w:spacing w:after="0" w:line="150" w:lineRule="exact"/>
              <w:rPr>
                <w:sz w:val="20"/>
                <w:szCs w:val="20"/>
                <w:color w:val="auto"/>
              </w:rPr>
            </w:pPr>
            <w:r>
              <w:rPr>
                <w:rFonts w:ascii="Arial" w:cs="Arial" w:eastAsia="Arial" w:hAnsi="Arial"/>
                <w:sz w:val="16"/>
                <w:szCs w:val="16"/>
                <w:color w:val="auto"/>
              </w:rPr>
              <w:t>2,349,596</w:t>
            </w:r>
          </w:p>
        </w:tc>
        <w:tc>
          <w:tcPr>
            <w:tcW w:w="1060" w:type="dxa"/>
            <w:vAlign w:val="bottom"/>
          </w:tcPr>
          <w:p>
            <w:pPr>
              <w:jc w:val="right"/>
              <w:ind w:right="21"/>
              <w:spacing w:after="0" w:line="150" w:lineRule="exact"/>
              <w:rPr>
                <w:sz w:val="20"/>
                <w:szCs w:val="20"/>
                <w:color w:val="auto"/>
              </w:rPr>
            </w:pPr>
            <w:r>
              <w:rPr>
                <w:rFonts w:ascii="Arial" w:cs="Arial" w:eastAsia="Arial" w:hAnsi="Arial"/>
                <w:sz w:val="16"/>
                <w:szCs w:val="16"/>
                <w:color w:val="auto"/>
              </w:rPr>
              <w:t>8,251,977</w:t>
            </w:r>
          </w:p>
        </w:tc>
        <w:tc>
          <w:tcPr>
            <w:tcW w:w="92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28.5%</w:t>
            </w:r>
          </w:p>
        </w:tc>
        <w:tc>
          <w:tcPr>
            <w:tcW w:w="1060" w:type="dxa"/>
            <w:vAlign w:val="bottom"/>
          </w:tcPr>
          <w:p>
            <w:pPr>
              <w:jc w:val="right"/>
              <w:spacing w:after="0" w:line="150" w:lineRule="exact"/>
              <w:rPr>
                <w:sz w:val="20"/>
                <w:szCs w:val="20"/>
                <w:color w:val="auto"/>
              </w:rPr>
            </w:pPr>
            <w:r>
              <w:rPr>
                <w:rFonts w:ascii="Arial" w:cs="Arial" w:eastAsia="Arial" w:hAnsi="Arial"/>
                <w:sz w:val="16"/>
                <w:szCs w:val="16"/>
                <w:color w:val="auto"/>
              </w:rPr>
              <w:t>2,349,153</w:t>
            </w:r>
          </w:p>
        </w:tc>
        <w:tc>
          <w:tcPr>
            <w:tcW w:w="980" w:type="dxa"/>
            <w:vAlign w:val="bottom"/>
          </w:tcPr>
          <w:p>
            <w:pPr>
              <w:jc w:val="right"/>
              <w:spacing w:after="0" w:line="150" w:lineRule="exact"/>
              <w:rPr>
                <w:sz w:val="20"/>
                <w:szCs w:val="20"/>
                <w:color w:val="auto"/>
              </w:rPr>
            </w:pPr>
            <w:r>
              <w:rPr>
                <w:rFonts w:ascii="Arial" w:cs="Arial" w:eastAsia="Arial" w:hAnsi="Arial"/>
                <w:sz w:val="16"/>
                <w:szCs w:val="16"/>
                <w:color w:val="auto"/>
              </w:rPr>
              <w:t>8,387,918</w:t>
            </w:r>
          </w:p>
        </w:tc>
        <w:tc>
          <w:tcPr>
            <w:tcW w:w="9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78"/>
        </w:trPr>
        <w:tc>
          <w:tcPr>
            <w:tcW w:w="52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New affiliations </w:t>
            </w:r>
            <w:r>
              <w:rPr>
                <w:rFonts w:ascii="Arial" w:cs="Arial" w:eastAsia="Arial" w:hAnsi="Arial"/>
                <w:sz w:val="20"/>
                <w:szCs w:val="20"/>
                <w:color w:val="auto"/>
                <w:vertAlign w:val="superscript"/>
              </w:rPr>
              <w:t>(1)</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line="178" w:lineRule="exact"/>
              <w:rPr>
                <w:sz w:val="20"/>
                <w:szCs w:val="20"/>
                <w:color w:val="auto"/>
              </w:rPr>
            </w:pPr>
            <w:r>
              <w:rPr>
                <w:rFonts w:ascii="Arial" w:cs="Arial" w:eastAsia="Arial" w:hAnsi="Arial"/>
                <w:sz w:val="16"/>
                <w:szCs w:val="16"/>
                <w:color w:val="auto"/>
              </w:rPr>
              <w:t>138,417</w:t>
            </w:r>
          </w:p>
        </w:tc>
        <w:tc>
          <w:tcPr>
            <w:tcW w:w="9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0.0%</w:t>
            </w:r>
          </w:p>
        </w:tc>
        <w:tc>
          <w:tcPr>
            <w:tcW w:w="106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93,252</w:t>
            </w:r>
          </w:p>
        </w:tc>
        <w:tc>
          <w:tcPr>
            <w:tcW w:w="9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Funds under management (S/ Millions)</w:t>
            </w:r>
          </w:p>
        </w:tc>
        <w:tc>
          <w:tcPr>
            <w:tcW w:w="1080" w:type="dxa"/>
            <w:vAlign w:val="bottom"/>
          </w:tcPr>
          <w:p>
            <w:pPr>
              <w:jc w:val="right"/>
              <w:spacing w:after="0" w:line="174" w:lineRule="exact"/>
              <w:rPr>
                <w:sz w:val="20"/>
                <w:szCs w:val="20"/>
                <w:color w:val="auto"/>
              </w:rPr>
            </w:pPr>
            <w:r>
              <w:rPr>
                <w:rFonts w:ascii="Arial" w:cs="Arial" w:eastAsia="Arial" w:hAnsi="Arial"/>
                <w:sz w:val="16"/>
                <w:szCs w:val="16"/>
                <w:color w:val="auto"/>
              </w:rPr>
              <w:t>40,125</w:t>
            </w:r>
          </w:p>
        </w:tc>
        <w:tc>
          <w:tcPr>
            <w:tcW w:w="10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133,310</w:t>
            </w:r>
          </w:p>
        </w:tc>
        <w:tc>
          <w:tcPr>
            <w:tcW w:w="9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30.1%</w:t>
            </w: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39,510</w:t>
            </w:r>
          </w:p>
        </w:tc>
        <w:tc>
          <w:tcPr>
            <w:tcW w:w="980" w:type="dxa"/>
            <w:vAlign w:val="bottom"/>
          </w:tcPr>
          <w:p>
            <w:pPr>
              <w:jc w:val="right"/>
              <w:spacing w:after="0" w:line="174" w:lineRule="exact"/>
              <w:rPr>
                <w:sz w:val="20"/>
                <w:szCs w:val="20"/>
                <w:color w:val="auto"/>
              </w:rPr>
            </w:pPr>
            <w:r>
              <w:rPr>
                <w:rFonts w:ascii="Arial" w:cs="Arial" w:eastAsia="Arial" w:hAnsi="Arial"/>
                <w:sz w:val="16"/>
                <w:szCs w:val="16"/>
                <w:color w:val="auto"/>
              </w:rPr>
              <w:t>132,214</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69"/>
        </w:trPr>
        <w:tc>
          <w:tcPr>
            <w:tcW w:w="520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6"/>
                <w:szCs w:val="16"/>
                <w:color w:val="auto"/>
              </w:rPr>
              <w:t>Collections (S/ Millions)</w:t>
            </w:r>
          </w:p>
        </w:tc>
        <w:tc>
          <w:tcPr>
            <w:tcW w:w="1080" w:type="dxa"/>
            <w:vAlign w:val="bottom"/>
          </w:tcPr>
          <w:p>
            <w:pPr>
              <w:jc w:val="right"/>
              <w:spacing w:after="0" w:line="169" w:lineRule="exact"/>
              <w:rPr>
                <w:sz w:val="20"/>
                <w:szCs w:val="20"/>
                <w:color w:val="auto"/>
              </w:rPr>
            </w:pPr>
            <w:r>
              <w:rPr>
                <w:rFonts w:ascii="Arial" w:cs="Arial" w:eastAsia="Arial" w:hAnsi="Arial"/>
                <w:sz w:val="16"/>
                <w:szCs w:val="16"/>
                <w:color w:val="auto"/>
              </w:rPr>
              <w:t>1073</w:t>
            </w:r>
          </w:p>
        </w:tc>
        <w:tc>
          <w:tcPr>
            <w:tcW w:w="1060" w:type="dxa"/>
            <w:vAlign w:val="bottom"/>
          </w:tcPr>
          <w:p>
            <w:pPr>
              <w:jc w:val="right"/>
              <w:ind w:right="21"/>
              <w:spacing w:after="0" w:line="169" w:lineRule="exact"/>
              <w:rPr>
                <w:sz w:val="20"/>
                <w:szCs w:val="20"/>
                <w:color w:val="auto"/>
              </w:rPr>
            </w:pPr>
            <w:r>
              <w:rPr>
                <w:rFonts w:ascii="Arial" w:cs="Arial" w:eastAsia="Arial" w:hAnsi="Arial"/>
                <w:sz w:val="16"/>
                <w:szCs w:val="16"/>
                <w:color w:val="auto"/>
              </w:rPr>
              <w:t>3,647</w:t>
            </w:r>
          </w:p>
        </w:tc>
        <w:tc>
          <w:tcPr>
            <w:tcW w:w="92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29.4%</w:t>
            </w:r>
          </w:p>
        </w:tc>
        <w:tc>
          <w:tcPr>
            <w:tcW w:w="1060" w:type="dxa"/>
            <w:vAlign w:val="bottom"/>
          </w:tcPr>
          <w:p>
            <w:pPr>
              <w:jc w:val="right"/>
              <w:spacing w:after="0" w:line="169" w:lineRule="exact"/>
              <w:rPr>
                <w:sz w:val="20"/>
                <w:szCs w:val="20"/>
                <w:color w:val="auto"/>
              </w:rPr>
            </w:pPr>
            <w:r>
              <w:rPr>
                <w:rFonts w:ascii="Arial" w:cs="Arial" w:eastAsia="Arial" w:hAnsi="Arial"/>
                <w:sz w:val="16"/>
                <w:szCs w:val="16"/>
                <w:color w:val="auto"/>
              </w:rPr>
              <w:t>1030</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3,536</w:t>
            </w:r>
          </w:p>
        </w:tc>
        <w:tc>
          <w:tcPr>
            <w:tcW w:w="9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Voluntary contributions (S/ Millions) </w:t>
            </w:r>
            <w:r>
              <w:rPr>
                <w:rFonts w:ascii="Arial" w:cs="Arial" w:eastAsia="Arial" w:hAnsi="Arial"/>
                <w:sz w:val="20"/>
                <w:szCs w:val="20"/>
                <w:color w:val="auto"/>
                <w:vertAlign w:val="superscript"/>
              </w:rPr>
              <w:t>(3)</w:t>
            </w:r>
          </w:p>
        </w:tc>
        <w:tc>
          <w:tcPr>
            <w:tcW w:w="1080" w:type="dxa"/>
            <w:vAlign w:val="bottom"/>
          </w:tcPr>
          <w:p>
            <w:pPr>
              <w:jc w:val="right"/>
              <w:spacing w:after="0" w:line="174" w:lineRule="exact"/>
              <w:rPr>
                <w:sz w:val="20"/>
                <w:szCs w:val="20"/>
                <w:color w:val="auto"/>
              </w:rPr>
            </w:pPr>
            <w:r>
              <w:rPr>
                <w:rFonts w:ascii="Arial" w:cs="Arial" w:eastAsia="Arial" w:hAnsi="Arial"/>
                <w:sz w:val="16"/>
                <w:szCs w:val="16"/>
                <w:color w:val="auto"/>
              </w:rPr>
              <w:t>1,043</w:t>
            </w:r>
          </w:p>
        </w:tc>
        <w:tc>
          <w:tcPr>
            <w:tcW w:w="1060" w:type="dxa"/>
            <w:vAlign w:val="bottom"/>
          </w:tcPr>
          <w:p>
            <w:pPr>
              <w:jc w:val="right"/>
              <w:ind w:right="21"/>
              <w:spacing w:after="0" w:line="174" w:lineRule="exact"/>
              <w:rPr>
                <w:sz w:val="20"/>
                <w:szCs w:val="20"/>
                <w:color w:val="auto"/>
              </w:rPr>
            </w:pPr>
            <w:r>
              <w:rPr>
                <w:rFonts w:ascii="Arial" w:cs="Arial" w:eastAsia="Arial" w:hAnsi="Arial"/>
                <w:sz w:val="16"/>
                <w:szCs w:val="16"/>
                <w:color w:val="auto"/>
              </w:rPr>
              <w:t>2,721</w:t>
            </w:r>
          </w:p>
        </w:tc>
        <w:tc>
          <w:tcPr>
            <w:tcW w:w="92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38.3%</w:t>
            </w:r>
          </w:p>
        </w:tc>
        <w:tc>
          <w:tcPr>
            <w:tcW w:w="1060" w:type="dxa"/>
            <w:vAlign w:val="bottom"/>
          </w:tcPr>
          <w:p>
            <w:pPr>
              <w:jc w:val="right"/>
              <w:spacing w:after="0" w:line="174" w:lineRule="exact"/>
              <w:rPr>
                <w:sz w:val="20"/>
                <w:szCs w:val="20"/>
                <w:color w:val="auto"/>
              </w:rPr>
            </w:pPr>
            <w:r>
              <w:rPr>
                <w:rFonts w:ascii="Arial" w:cs="Arial" w:eastAsia="Arial" w:hAnsi="Arial"/>
                <w:sz w:val="16"/>
                <w:szCs w:val="16"/>
                <w:color w:val="auto"/>
              </w:rPr>
              <w:t>980</w:t>
            </w:r>
          </w:p>
        </w:tc>
        <w:tc>
          <w:tcPr>
            <w:tcW w:w="980" w:type="dxa"/>
            <w:vAlign w:val="bottom"/>
          </w:tcPr>
          <w:p>
            <w:pPr>
              <w:jc w:val="right"/>
              <w:spacing w:after="0" w:line="174" w:lineRule="exact"/>
              <w:rPr>
                <w:sz w:val="20"/>
                <w:szCs w:val="20"/>
                <w:color w:val="auto"/>
              </w:rPr>
            </w:pPr>
            <w:r>
              <w:rPr>
                <w:rFonts w:ascii="Arial" w:cs="Arial" w:eastAsia="Arial" w:hAnsi="Arial"/>
                <w:sz w:val="16"/>
                <w:szCs w:val="16"/>
                <w:color w:val="auto"/>
              </w:rPr>
              <w:t>2,600</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98"/>
        </w:trPr>
        <w:tc>
          <w:tcPr>
            <w:tcW w:w="520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RAM (S/ Millions) </w:t>
            </w:r>
            <w:r>
              <w:rPr>
                <w:rFonts w:ascii="Arial" w:cs="Arial" w:eastAsia="Arial" w:hAnsi="Arial"/>
                <w:sz w:val="22"/>
                <w:szCs w:val="22"/>
                <w:color w:val="auto"/>
                <w:vertAlign w:val="superscript"/>
              </w:rPr>
              <w:t>(2)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4,380</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4,571</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9"/>
          <w:szCs w:val="9"/>
          <w:color w:val="auto"/>
        </w:rPr>
        <w:t>Source: SBS</w:t>
      </w:r>
    </w:p>
    <w:p>
      <w:pPr>
        <w:spacing w:after="0" w:line="8" w:lineRule="exact"/>
        <w:rPr>
          <w:sz w:val="20"/>
          <w:szCs w:val="20"/>
          <w:color w:val="auto"/>
        </w:rPr>
      </w:pPr>
    </w:p>
    <w:p>
      <w:pPr>
        <w:ind w:left="140" w:hanging="133"/>
        <w:spacing w:after="0"/>
        <w:tabs>
          <w:tab w:leader="none" w:pos="14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As of June 2019, another AFP has the exclusivity of affiliations.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Prima AFP estimate: Average of aggregated income for flow during the last 4 months, excluding special collections and voluntary contribution fees.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3"/>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Figure 4Q21 differ from previously reported.</w:t>
      </w: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66" w:name="page67"/>
    <w:bookmarkEnd w:id="66"/>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12.5.8. Grupo Pacifico</w:t>
            </w: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4500" w:type="dxa"/>
            <w:vAlign w:val="bottom"/>
          </w:tcPr>
          <w:p>
            <w:pPr>
              <w:spacing w:after="0"/>
              <w:rPr>
                <w:sz w:val="24"/>
                <w:szCs w:val="24"/>
                <w:color w:val="auto"/>
              </w:rPr>
            </w:pPr>
          </w:p>
        </w:tc>
        <w:tc>
          <w:tcPr>
            <w:tcW w:w="2700" w:type="dxa"/>
            <w:vAlign w:val="bottom"/>
            <w:gridSpan w:val="2"/>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GRUPO PACIFICO*</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700" w:type="dxa"/>
            <w:vAlign w:val="bottom"/>
            <w:gridSpan w:val="2"/>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(S/ in thousands )</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280" w:type="dxa"/>
            <w:vAlign w:val="bottom"/>
            <w:vMerge w:val="restart"/>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Mar 21</w:t>
            </w:r>
          </w:p>
        </w:tc>
        <w:tc>
          <w:tcPr>
            <w:tcW w:w="1160" w:type="dxa"/>
            <w:vAlign w:val="bottom"/>
            <w:shd w:val="clear" w:color="auto" w:fill="2AD2C9"/>
          </w:tcPr>
          <w:p>
            <w:pPr>
              <w:jc w:val="center"/>
              <w:ind w:right="241"/>
              <w:spacing w:after="0" w:line="155" w:lineRule="exact"/>
              <w:rPr>
                <w:sz w:val="20"/>
                <w:szCs w:val="20"/>
                <w:color w:val="auto"/>
              </w:rPr>
            </w:pPr>
            <w:r>
              <w:rPr>
                <w:rFonts w:ascii="Arial" w:cs="Arial" w:eastAsia="Arial" w:hAnsi="Arial"/>
                <w:sz w:val="16"/>
                <w:szCs w:val="16"/>
                <w:b w:val="1"/>
                <w:bCs w:val="1"/>
                <w:color w:val="FFFFFF"/>
                <w:w w:val="99"/>
              </w:rPr>
              <w:t>As of</w:t>
            </w:r>
          </w:p>
        </w:tc>
        <w:tc>
          <w:tcPr>
            <w:tcW w:w="980" w:type="dxa"/>
            <w:vAlign w:val="bottom"/>
            <w:tcBorders>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Mar 22</w:t>
            </w:r>
          </w:p>
        </w:tc>
        <w:tc>
          <w:tcPr>
            <w:tcW w:w="1940" w:type="dxa"/>
            <w:vAlign w:val="bottom"/>
            <w:tcBorders>
              <w:right w:val="single" w:sz="8" w:color="auto"/>
            </w:tcBorders>
            <w:gridSpan w:val="2"/>
            <w:shd w:val="clear" w:color="auto" w:fill="2AD2C9"/>
          </w:tcPr>
          <w:p>
            <w:pPr>
              <w:jc w:val="right"/>
              <w:ind w:right="52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50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center"/>
              <w:ind w:right="221"/>
              <w:spacing w:after="0"/>
              <w:rPr>
                <w:sz w:val="20"/>
                <w:szCs w:val="20"/>
                <w:color w:val="auto"/>
              </w:rPr>
            </w:pPr>
            <w:r>
              <w:rPr>
                <w:rFonts w:ascii="Arial" w:cs="Arial" w:eastAsia="Arial" w:hAnsi="Arial"/>
                <w:sz w:val="16"/>
                <w:szCs w:val="16"/>
                <w:b w:val="1"/>
                <w:bCs w:val="1"/>
                <w:color w:val="FFFFFF"/>
                <w:w w:val="96"/>
              </w:rPr>
              <w:t>Dec 21</w:t>
            </w:r>
          </w:p>
        </w:tc>
        <w:tc>
          <w:tcPr>
            <w:tcW w:w="9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060" w:type="dxa"/>
            <w:vAlign w:val="bottom"/>
            <w:tcBorders>
              <w:bottom w:val="single" w:sz="8" w:color="auto"/>
            </w:tcBorders>
            <w:shd w:val="clear" w:color="auto" w:fill="2AD2C9"/>
          </w:tcPr>
          <w:p>
            <w:pPr>
              <w:jc w:val="right"/>
              <w:ind w:right="361"/>
              <w:spacing w:after="0"/>
              <w:rPr>
                <w:sz w:val="20"/>
                <w:szCs w:val="20"/>
                <w:color w:val="auto"/>
              </w:rPr>
            </w:pPr>
            <w:r>
              <w:rPr>
                <w:rFonts w:ascii="Arial" w:cs="Arial" w:eastAsia="Arial" w:hAnsi="Arial"/>
                <w:sz w:val="16"/>
                <w:szCs w:val="16"/>
                <w:b w:val="1"/>
                <w:bCs w:val="1"/>
                <w:color w:val="FFFFFF"/>
              </w:rPr>
              <w:t>QoQ</w:t>
            </w:r>
          </w:p>
        </w:tc>
        <w:tc>
          <w:tcPr>
            <w:tcW w:w="880" w:type="dxa"/>
            <w:vAlign w:val="bottom"/>
            <w:tcBorders>
              <w:bottom w:val="single" w:sz="8" w:color="auto"/>
              <w:right w:val="single" w:sz="8" w:color="auto"/>
            </w:tcBorders>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0"/>
        </w:trPr>
        <w:tc>
          <w:tcPr>
            <w:tcW w:w="4500" w:type="dxa"/>
            <w:vAlign w:val="bottom"/>
            <w:tcBorders>
              <w:left w:val="single" w:sz="8" w:color="auto"/>
            </w:tcBorders>
          </w:tcPr>
          <w:p>
            <w:pPr>
              <w:ind w:left="20"/>
              <w:spacing w:after="0" w:line="150" w:lineRule="exact"/>
              <w:rPr>
                <w:sz w:val="20"/>
                <w:szCs w:val="20"/>
                <w:color w:val="auto"/>
              </w:rPr>
            </w:pPr>
            <w:r>
              <w:rPr>
                <w:rFonts w:ascii="Arial" w:cs="Arial" w:eastAsia="Arial" w:hAnsi="Arial"/>
                <w:sz w:val="16"/>
                <w:szCs w:val="16"/>
                <w:color w:val="auto"/>
              </w:rPr>
              <w:t>Total assets</w:t>
            </w:r>
          </w:p>
        </w:tc>
        <w:tc>
          <w:tcPr>
            <w:tcW w:w="1420" w:type="dxa"/>
            <w:vAlign w:val="bottom"/>
            <w:tcBorders>
              <w:right w:val="single" w:sz="8" w:color="auto"/>
            </w:tcBorders>
          </w:tcPr>
          <w:p>
            <w:pPr>
              <w:spacing w:after="0"/>
              <w:rPr>
                <w:sz w:val="13"/>
                <w:szCs w:val="13"/>
                <w:color w:val="auto"/>
              </w:rPr>
            </w:pPr>
          </w:p>
        </w:tc>
        <w:tc>
          <w:tcPr>
            <w:tcW w:w="1280" w:type="dxa"/>
            <w:vAlign w:val="bottom"/>
          </w:tcPr>
          <w:p>
            <w:pPr>
              <w:jc w:val="right"/>
              <w:ind w:right="61"/>
              <w:spacing w:after="0" w:line="150" w:lineRule="exact"/>
              <w:rPr>
                <w:sz w:val="20"/>
                <w:szCs w:val="20"/>
                <w:color w:val="auto"/>
              </w:rPr>
            </w:pPr>
            <w:r>
              <w:rPr>
                <w:rFonts w:ascii="Arial" w:cs="Arial" w:eastAsia="Arial" w:hAnsi="Arial"/>
                <w:sz w:val="16"/>
                <w:szCs w:val="16"/>
                <w:color w:val="auto"/>
              </w:rPr>
              <w:t>15,743,014</w:t>
            </w:r>
          </w:p>
        </w:tc>
        <w:tc>
          <w:tcPr>
            <w:tcW w:w="1160" w:type="dxa"/>
            <w:vAlign w:val="bottom"/>
          </w:tcPr>
          <w:p>
            <w:pPr>
              <w:jc w:val="right"/>
              <w:ind w:right="81"/>
              <w:spacing w:after="0" w:line="150" w:lineRule="exact"/>
              <w:rPr>
                <w:sz w:val="20"/>
                <w:szCs w:val="20"/>
                <w:color w:val="auto"/>
              </w:rPr>
            </w:pPr>
            <w:r>
              <w:rPr>
                <w:rFonts w:ascii="Arial" w:cs="Arial" w:eastAsia="Arial" w:hAnsi="Arial"/>
                <w:sz w:val="16"/>
                <w:szCs w:val="16"/>
                <w:color w:val="auto"/>
              </w:rPr>
              <w:t>16,487,225</w:t>
            </w:r>
          </w:p>
        </w:tc>
        <w:tc>
          <w:tcPr>
            <w:tcW w:w="9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15,630,799</w:t>
            </w:r>
          </w:p>
        </w:tc>
        <w:tc>
          <w:tcPr>
            <w:tcW w:w="1060" w:type="dxa"/>
            <w:vAlign w:val="bottom"/>
          </w:tcPr>
          <w:p>
            <w:pPr>
              <w:jc w:val="right"/>
              <w:ind w:right="81"/>
              <w:spacing w:after="0" w:line="150" w:lineRule="exact"/>
              <w:rPr>
                <w:sz w:val="20"/>
                <w:szCs w:val="20"/>
                <w:color w:val="auto"/>
              </w:rPr>
            </w:pPr>
            <w:r>
              <w:rPr>
                <w:rFonts w:ascii="Arial" w:cs="Arial" w:eastAsia="Arial" w:hAnsi="Arial"/>
                <w:sz w:val="16"/>
                <w:szCs w:val="16"/>
                <w:color w:val="auto"/>
              </w:rPr>
              <w:t>-5.2%</w:t>
            </w:r>
          </w:p>
        </w:tc>
        <w:tc>
          <w:tcPr>
            <w:tcW w:w="880" w:type="dxa"/>
            <w:vAlign w:val="bottom"/>
            <w:tcBorders>
              <w:right w:val="single" w:sz="8" w:color="auto"/>
            </w:tcBorders>
          </w:tcPr>
          <w:p>
            <w:pPr>
              <w:jc w:val="right"/>
              <w:spacing w:after="0" w:line="150"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78"/>
        </w:trPr>
        <w:tc>
          <w:tcPr>
            <w:tcW w:w="450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0"/>
                <w:szCs w:val="20"/>
                <w:color w:val="auto"/>
                <w:vertAlign w:val="superscript"/>
              </w:rPr>
              <w:t>(6)</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8" w:lineRule="exact"/>
              <w:rPr>
                <w:sz w:val="20"/>
                <w:szCs w:val="20"/>
                <w:color w:val="auto"/>
              </w:rPr>
            </w:pPr>
            <w:r>
              <w:rPr>
                <w:rFonts w:ascii="Arial" w:cs="Arial" w:eastAsia="Arial" w:hAnsi="Arial"/>
                <w:sz w:val="16"/>
                <w:szCs w:val="16"/>
                <w:color w:val="auto"/>
              </w:rPr>
              <w:t>12,210,160</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12,491,114</w:t>
            </w:r>
          </w:p>
        </w:tc>
        <w:tc>
          <w:tcPr>
            <w:tcW w:w="9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11,951,579</w:t>
            </w:r>
          </w:p>
        </w:tc>
        <w:tc>
          <w:tcPr>
            <w:tcW w:w="10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-4.3%</w:t>
            </w:r>
          </w:p>
        </w:tc>
        <w:tc>
          <w:tcPr>
            <w:tcW w:w="8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Technical reserves</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11,826,778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12,543,226</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11,962,492</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-4.6%</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4"/>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Net equity</w:t>
            </w:r>
          </w:p>
        </w:tc>
        <w:tc>
          <w:tcPr>
            <w:tcW w:w="142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2,374,371</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2,280,033</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2,205,194</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4"/>
        </w:trPr>
        <w:tc>
          <w:tcPr>
            <w:tcW w:w="4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280" w:type="dxa"/>
            <w:vAlign w:val="bottom"/>
            <w:vMerge w:val="restart"/>
            <w:shd w:val="clear" w:color="auto" w:fill="2AD2C9"/>
          </w:tcPr>
          <w:p>
            <w:pPr>
              <w:jc w:val="right"/>
              <w:ind w:right="441"/>
              <w:spacing w:after="0"/>
              <w:rPr>
                <w:sz w:val="20"/>
                <w:szCs w:val="20"/>
                <w:color w:val="auto"/>
              </w:rPr>
            </w:pPr>
            <w:r>
              <w:rPr>
                <w:rFonts w:ascii="Arial" w:cs="Arial" w:eastAsia="Arial" w:hAnsi="Arial"/>
                <w:sz w:val="16"/>
                <w:szCs w:val="16"/>
                <w:b w:val="1"/>
                <w:bCs w:val="1"/>
                <w:color w:val="FFFFFF"/>
              </w:rPr>
              <w:t>1Q21</w:t>
            </w:r>
          </w:p>
        </w:tc>
        <w:tc>
          <w:tcPr>
            <w:tcW w:w="1160" w:type="dxa"/>
            <w:vAlign w:val="bottom"/>
            <w:shd w:val="clear" w:color="auto" w:fill="2AD2C9"/>
          </w:tcPr>
          <w:p>
            <w:pPr>
              <w:jc w:val="center"/>
              <w:ind w:right="241"/>
              <w:spacing w:after="0" w:line="155" w:lineRule="exact"/>
              <w:rPr>
                <w:sz w:val="20"/>
                <w:szCs w:val="20"/>
                <w:color w:val="auto"/>
              </w:rPr>
            </w:pPr>
            <w:r>
              <w:rPr>
                <w:rFonts w:ascii="Arial" w:cs="Arial" w:eastAsia="Arial" w:hAnsi="Arial"/>
                <w:sz w:val="16"/>
                <w:szCs w:val="16"/>
                <w:b w:val="1"/>
                <w:bCs w:val="1"/>
                <w:color w:val="FFFFFF"/>
                <w:w w:val="96"/>
              </w:rPr>
              <w:t>Quarter</w:t>
            </w:r>
          </w:p>
        </w:tc>
        <w:tc>
          <w:tcPr>
            <w:tcW w:w="980" w:type="dxa"/>
            <w:vAlign w:val="bottom"/>
            <w:tcBorders>
              <w:right w:val="single" w:sz="8" w:color="auto"/>
            </w:tcBorders>
            <w:vMerge w:val="restart"/>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1Q22</w:t>
            </w:r>
          </w:p>
        </w:tc>
        <w:tc>
          <w:tcPr>
            <w:tcW w:w="1940" w:type="dxa"/>
            <w:vAlign w:val="bottom"/>
            <w:tcBorders>
              <w:right w:val="single" w:sz="8" w:color="auto"/>
            </w:tcBorders>
            <w:gridSpan w:val="2"/>
            <w:shd w:val="clear" w:color="auto" w:fill="2AD2C9"/>
          </w:tcPr>
          <w:p>
            <w:pPr>
              <w:jc w:val="right"/>
              <w:ind w:right="521"/>
              <w:spacing w:after="0" w:line="155"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450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tcBorders>
            <w:vMerge w:val="continue"/>
            <w:shd w:val="clear" w:color="auto" w:fill="2AD2C9"/>
          </w:tcPr>
          <w:p>
            <w:pPr>
              <w:spacing w:after="0"/>
              <w:rPr>
                <w:sz w:val="16"/>
                <w:szCs w:val="16"/>
                <w:color w:val="auto"/>
              </w:rPr>
            </w:pPr>
          </w:p>
        </w:tc>
        <w:tc>
          <w:tcPr>
            <w:tcW w:w="1160" w:type="dxa"/>
            <w:vAlign w:val="bottom"/>
            <w:tcBorders>
              <w:bottom w:val="single" w:sz="8" w:color="auto"/>
            </w:tcBorders>
            <w:shd w:val="clear" w:color="auto" w:fill="2AD2C9"/>
          </w:tcPr>
          <w:p>
            <w:pPr>
              <w:jc w:val="center"/>
              <w:ind w:right="221"/>
              <w:spacing w:after="0"/>
              <w:rPr>
                <w:sz w:val="20"/>
                <w:szCs w:val="20"/>
                <w:color w:val="auto"/>
              </w:rPr>
            </w:pPr>
            <w:r>
              <w:rPr>
                <w:rFonts w:ascii="Arial" w:cs="Arial" w:eastAsia="Arial" w:hAnsi="Arial"/>
                <w:sz w:val="16"/>
                <w:szCs w:val="16"/>
                <w:b w:val="1"/>
                <w:bCs w:val="1"/>
                <w:color w:val="FFFFFF"/>
                <w:w w:val="96"/>
              </w:rPr>
              <w:t>4Q21</w:t>
            </w:r>
          </w:p>
        </w:tc>
        <w:tc>
          <w:tcPr>
            <w:tcW w:w="9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060" w:type="dxa"/>
            <w:vAlign w:val="bottom"/>
            <w:tcBorders>
              <w:bottom w:val="single" w:sz="8" w:color="auto"/>
            </w:tcBorders>
            <w:shd w:val="clear" w:color="auto" w:fill="2AD2C9"/>
          </w:tcPr>
          <w:p>
            <w:pPr>
              <w:jc w:val="right"/>
              <w:ind w:right="361"/>
              <w:spacing w:after="0"/>
              <w:rPr>
                <w:sz w:val="20"/>
                <w:szCs w:val="20"/>
                <w:color w:val="auto"/>
              </w:rPr>
            </w:pPr>
            <w:r>
              <w:rPr>
                <w:rFonts w:ascii="Arial" w:cs="Arial" w:eastAsia="Arial" w:hAnsi="Arial"/>
                <w:sz w:val="16"/>
                <w:szCs w:val="16"/>
                <w:b w:val="1"/>
                <w:bCs w:val="1"/>
                <w:color w:val="FFFFFF"/>
              </w:rPr>
              <w:t>QoQ</w:t>
            </w:r>
          </w:p>
        </w:tc>
        <w:tc>
          <w:tcPr>
            <w:tcW w:w="880" w:type="dxa"/>
            <w:vAlign w:val="bottom"/>
            <w:tcBorders>
              <w:bottom w:val="single" w:sz="8" w:color="auto"/>
              <w:right w:val="single" w:sz="8" w:color="auto"/>
            </w:tcBorders>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4500" w:type="dxa"/>
            <w:vAlign w:val="bottom"/>
            <w:tcBorders>
              <w:left w:val="single" w:sz="8" w:color="auto"/>
            </w:tcBorders>
          </w:tcPr>
          <w:p>
            <w:pPr>
              <w:ind w:left="20"/>
              <w:spacing w:after="0" w:line="155" w:lineRule="exact"/>
              <w:rPr>
                <w:sz w:val="20"/>
                <w:szCs w:val="20"/>
                <w:color w:val="auto"/>
              </w:rPr>
            </w:pPr>
            <w:r>
              <w:rPr>
                <w:rFonts w:ascii="Arial" w:cs="Arial" w:eastAsia="Arial" w:hAnsi="Arial"/>
                <w:sz w:val="16"/>
                <w:szCs w:val="16"/>
                <w:color w:val="auto"/>
              </w:rPr>
              <w:t>Net earned premiums</w:t>
            </w:r>
          </w:p>
        </w:tc>
        <w:tc>
          <w:tcPr>
            <w:tcW w:w="1420" w:type="dxa"/>
            <w:vAlign w:val="bottom"/>
            <w:tcBorders>
              <w:right w:val="single" w:sz="8" w:color="auto"/>
            </w:tcBorders>
          </w:tcPr>
          <w:p>
            <w:pPr>
              <w:spacing w:after="0"/>
              <w:rPr>
                <w:sz w:val="13"/>
                <w:szCs w:val="13"/>
                <w:color w:val="auto"/>
              </w:rPr>
            </w:pPr>
          </w:p>
        </w:tc>
        <w:tc>
          <w:tcPr>
            <w:tcW w:w="1280" w:type="dxa"/>
            <w:vAlign w:val="bottom"/>
          </w:tcPr>
          <w:p>
            <w:pPr>
              <w:jc w:val="right"/>
              <w:ind w:right="61"/>
              <w:spacing w:after="0" w:line="155" w:lineRule="exact"/>
              <w:rPr>
                <w:sz w:val="20"/>
                <w:szCs w:val="20"/>
                <w:color w:val="auto"/>
              </w:rPr>
            </w:pPr>
            <w:r>
              <w:rPr>
                <w:rFonts w:ascii="Arial" w:cs="Arial" w:eastAsia="Arial" w:hAnsi="Arial"/>
                <w:sz w:val="16"/>
                <w:szCs w:val="16"/>
                <w:color w:val="auto"/>
              </w:rPr>
              <w:t>651,510</w:t>
            </w:r>
          </w:p>
        </w:tc>
        <w:tc>
          <w:tcPr>
            <w:tcW w:w="11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714,026</w:t>
            </w:r>
          </w:p>
        </w:tc>
        <w:tc>
          <w:tcPr>
            <w:tcW w:w="9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692,774</w:t>
            </w:r>
          </w:p>
        </w:tc>
        <w:tc>
          <w:tcPr>
            <w:tcW w:w="10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-3.0%</w:t>
            </w:r>
          </w:p>
        </w:tc>
        <w:tc>
          <w:tcPr>
            <w:tcW w:w="8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Net claims</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(627,791)</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(509,279)</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(478,506)</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-6.0%</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Net fees</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(142,700)</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(165,647)</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(149,160)</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-10.0%</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Net underwriting expenses</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(30,218)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(18,792)</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(30,608)</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62.9%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Underwriting result</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b w:val="1"/>
                <w:bCs w:val="1"/>
                <w:color w:val="auto"/>
              </w:rPr>
              <w:t>(149,198)</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20,309</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34,499</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b w:val="1"/>
                <w:bCs w:val="1"/>
                <w:color w:val="auto"/>
              </w:rPr>
              <w:t>69.9%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-123.1%</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Medical services gross margin</w:t>
            </w:r>
          </w:p>
        </w:tc>
        <w:tc>
          <w:tcPr>
            <w:tcW w:w="1420" w:type="dxa"/>
            <w:vAlign w:val="bottom"/>
            <w:tcBorders>
              <w:right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Net financial income</w:t>
            </w:r>
          </w:p>
        </w:tc>
        <w:tc>
          <w:tcPr>
            <w:tcW w:w="1420" w:type="dxa"/>
            <w:vAlign w:val="bottom"/>
            <w:tcBorders>
              <w:right w:val="single" w:sz="8" w:color="auto"/>
            </w:tcBorders>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149,457</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163,616</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148,315</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6"/>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Total expenses</w:t>
            </w:r>
          </w:p>
        </w:tc>
        <w:tc>
          <w:tcPr>
            <w:tcW w:w="1420" w:type="dxa"/>
            <w:vAlign w:val="bottom"/>
            <w:tcBorders>
              <w:right w:val="single" w:sz="8" w:color="auto"/>
            </w:tcBorders>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(108,836)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(131,029)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(121,720)</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-7.1%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99"/>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1420" w:type="dxa"/>
            <w:vAlign w:val="bottom"/>
            <w:tcBorders>
              <w:right w:val="single" w:sz="8" w:color="auto"/>
            </w:tcBorders>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3,241</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17,650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12,339</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-30.1%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Traslations results</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566</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(1,559)</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(5,416)</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n.a</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EPS business deduction</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23,377</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8,785</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14,653</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66.8%</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Medical Assistance insurance deduction</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(13,906)</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(13,965)</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(7,691)</w:t>
            </w:r>
          </w:p>
        </w:tc>
        <w:tc>
          <w:tcPr>
            <w:tcW w:w="1060" w:type="dxa"/>
            <w:vAlign w:val="bottom"/>
          </w:tcPr>
          <w:p>
            <w:pPr>
              <w:jc w:val="right"/>
              <w:ind w:right="81"/>
              <w:spacing w:after="0"/>
              <w:rPr>
                <w:sz w:val="20"/>
                <w:szCs w:val="20"/>
                <w:color w:val="auto"/>
              </w:rPr>
            </w:pPr>
            <w:r>
              <w:rPr>
                <w:rFonts w:ascii="Arial" w:cs="Arial" w:eastAsia="Arial" w:hAnsi="Arial"/>
                <w:sz w:val="14"/>
                <w:szCs w:val="14"/>
                <w:color w:val="auto"/>
              </w:rPr>
              <w:t>-44.9%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210"/>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Income tax</w:t>
            </w:r>
          </w:p>
        </w:tc>
        <w:tc>
          <w:tcPr>
            <w:tcW w:w="1420" w:type="dxa"/>
            <w:vAlign w:val="bottom"/>
            <w:tcBorders>
              <w:right w:val="single" w:sz="8" w:color="auto"/>
            </w:tcBorders>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(1,399)</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(1,486)</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(2,684)</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80.7%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99"/>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minority interest</w:t>
            </w:r>
          </w:p>
        </w:tc>
        <w:tc>
          <w:tcPr>
            <w:tcW w:w="1420" w:type="dxa"/>
            <w:vAlign w:val="bottom"/>
            <w:tcBorders>
              <w:right w:val="single" w:sz="8" w:color="auto"/>
            </w:tcBorders>
          </w:tcPr>
          <w:p>
            <w:pPr>
              <w:spacing w:after="0"/>
              <w:rPr>
                <w:sz w:val="24"/>
                <w:szCs w:val="24"/>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(96,698)</w:t>
            </w:r>
          </w:p>
        </w:tc>
        <w:tc>
          <w:tcPr>
            <w:tcW w:w="1160" w:type="dxa"/>
            <w:vAlign w:val="bottom"/>
          </w:tcPr>
          <w:p>
            <w:pPr>
              <w:jc w:val="right"/>
              <w:ind w:right="81"/>
              <w:spacing w:after="0"/>
              <w:rPr>
                <w:sz w:val="20"/>
                <w:szCs w:val="20"/>
                <w:color w:val="auto"/>
              </w:rPr>
            </w:pPr>
            <w:r>
              <w:rPr>
                <w:rFonts w:ascii="Arial" w:cs="Arial" w:eastAsia="Arial" w:hAnsi="Arial"/>
                <w:sz w:val="16"/>
                <w:szCs w:val="16"/>
                <w:b w:val="1"/>
                <w:bCs w:val="1"/>
                <w:color w:val="auto"/>
              </w:rPr>
              <w:t>62,321</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72,294</w:t>
            </w:r>
          </w:p>
        </w:tc>
        <w:tc>
          <w:tcPr>
            <w:tcW w:w="1060" w:type="dxa"/>
            <w:vAlign w:val="bottom"/>
          </w:tcPr>
          <w:p>
            <w:pPr>
              <w:jc w:val="right"/>
              <w:ind w:right="81"/>
              <w:spacing w:after="0"/>
              <w:rPr>
                <w:sz w:val="20"/>
                <w:szCs w:val="20"/>
                <w:color w:val="auto"/>
              </w:rPr>
            </w:pPr>
            <w:r>
              <w:rPr>
                <w:rFonts w:ascii="Arial" w:cs="Arial" w:eastAsia="Arial" w:hAnsi="Arial"/>
                <w:sz w:val="16"/>
                <w:szCs w:val="16"/>
                <w:b w:val="1"/>
                <w:bCs w:val="1"/>
                <w:color w:val="auto"/>
              </w:rPr>
              <w:t>16.0%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-174.8%</w:t>
            </w:r>
          </w:p>
        </w:tc>
        <w:tc>
          <w:tcPr>
            <w:tcW w:w="0" w:type="dxa"/>
            <w:vAlign w:val="bottom"/>
          </w:tcPr>
          <w:p>
            <w:pPr>
              <w:spacing w:after="0"/>
              <w:rPr>
                <w:sz w:val="1"/>
                <w:szCs w:val="1"/>
                <w:color w:val="auto"/>
              </w:rPr>
            </w:pPr>
          </w:p>
        </w:tc>
      </w:tr>
      <w:tr>
        <w:trPr>
          <w:trHeight w:val="210"/>
        </w:trPr>
        <w:tc>
          <w:tcPr>
            <w:tcW w:w="450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420" w:type="dxa"/>
            <w:vAlign w:val="bottom"/>
            <w:tcBorders>
              <w:right w:val="single" w:sz="8" w:color="auto"/>
            </w:tcBorders>
          </w:tcPr>
          <w:p>
            <w:pPr>
              <w:spacing w:after="0"/>
              <w:rPr>
                <w:sz w:val="18"/>
                <w:szCs w:val="18"/>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(1,730)</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(760)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(1,348)</w:t>
            </w: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77.2%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20"/>
        </w:trPr>
        <w:tc>
          <w:tcPr>
            <w:tcW w:w="45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42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(98,428)</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61,560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70,946</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-172.1%</w:t>
            </w:r>
          </w:p>
        </w:tc>
        <w:tc>
          <w:tcPr>
            <w:tcW w:w="0" w:type="dxa"/>
            <w:vAlign w:val="bottom"/>
          </w:tcPr>
          <w:p>
            <w:pPr>
              <w:spacing w:after="0"/>
              <w:rPr>
                <w:sz w:val="1"/>
                <w:szCs w:val="1"/>
                <w:color w:val="auto"/>
              </w:rPr>
            </w:pPr>
          </w:p>
        </w:tc>
      </w:tr>
      <w:tr>
        <w:trPr>
          <w:trHeight w:val="164"/>
        </w:trPr>
        <w:tc>
          <w:tcPr>
            <w:tcW w:w="45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500" w:type="dxa"/>
            <w:vAlign w:val="bottom"/>
            <w:tcBorders>
              <w:lef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Ratios</w:t>
            </w:r>
          </w:p>
        </w:tc>
        <w:tc>
          <w:tcPr>
            <w:tcW w:w="1420" w:type="dxa"/>
            <w:vAlign w:val="bottom"/>
            <w:tcBorders>
              <w:right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6"/>
                <w:szCs w:val="16"/>
                <w:color w:val="auto"/>
              </w:rPr>
              <w:t>Ceded</w:t>
            </w:r>
          </w:p>
        </w:tc>
        <w:tc>
          <w:tcPr>
            <w:tcW w:w="1420" w:type="dxa"/>
            <w:vAlign w:val="bottom"/>
            <w:tcBorders>
              <w:right w:val="single" w:sz="8" w:color="auto"/>
            </w:tcBorders>
          </w:tcPr>
          <w:p>
            <w:pPr>
              <w:spacing w:after="0"/>
              <w:rPr>
                <w:sz w:val="14"/>
                <w:szCs w:val="14"/>
                <w:color w:val="auto"/>
              </w:rPr>
            </w:pPr>
          </w:p>
        </w:tc>
        <w:tc>
          <w:tcPr>
            <w:tcW w:w="1280" w:type="dxa"/>
            <w:vAlign w:val="bottom"/>
          </w:tcPr>
          <w:p>
            <w:pPr>
              <w:jc w:val="right"/>
              <w:ind w:right="61"/>
              <w:spacing w:after="0" w:line="169" w:lineRule="exact"/>
              <w:rPr>
                <w:sz w:val="20"/>
                <w:szCs w:val="20"/>
                <w:color w:val="auto"/>
              </w:rPr>
            </w:pPr>
            <w:r>
              <w:rPr>
                <w:rFonts w:ascii="Arial" w:cs="Arial" w:eastAsia="Arial" w:hAnsi="Arial"/>
                <w:sz w:val="16"/>
                <w:szCs w:val="16"/>
                <w:color w:val="auto"/>
              </w:rPr>
              <w:t>18.2%</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21.4%</w:t>
            </w:r>
          </w:p>
        </w:tc>
        <w:tc>
          <w:tcPr>
            <w:tcW w:w="9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21.5%</w:t>
            </w:r>
          </w:p>
        </w:tc>
        <w:tc>
          <w:tcPr>
            <w:tcW w:w="10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10 pbs</w:t>
            </w:r>
          </w:p>
        </w:tc>
        <w:tc>
          <w:tcPr>
            <w:tcW w:w="8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330 pbs</w:t>
            </w:r>
          </w:p>
        </w:tc>
        <w:tc>
          <w:tcPr>
            <w:tcW w:w="0" w:type="dxa"/>
            <w:vAlign w:val="bottom"/>
          </w:tcPr>
          <w:p>
            <w:pPr>
              <w:spacing w:after="0"/>
              <w:rPr>
                <w:sz w:val="1"/>
                <w:szCs w:val="1"/>
                <w:color w:val="auto"/>
              </w:rPr>
            </w:pPr>
          </w:p>
        </w:tc>
      </w:tr>
      <w:tr>
        <w:trPr>
          <w:trHeight w:val="178"/>
        </w:trPr>
        <w:tc>
          <w:tcPr>
            <w:tcW w:w="450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0"/>
                <w:szCs w:val="20"/>
                <w:color w:val="auto"/>
                <w:vertAlign w:val="superscript"/>
              </w:rPr>
              <w:t>(1)</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8" w:lineRule="exact"/>
              <w:rPr>
                <w:sz w:val="20"/>
                <w:szCs w:val="20"/>
                <w:color w:val="auto"/>
              </w:rPr>
            </w:pPr>
            <w:r>
              <w:rPr>
                <w:rFonts w:ascii="Arial" w:cs="Arial" w:eastAsia="Arial" w:hAnsi="Arial"/>
                <w:sz w:val="16"/>
                <w:szCs w:val="16"/>
                <w:color w:val="auto"/>
              </w:rPr>
              <w:t>96.4%</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71.3%</w:t>
            </w:r>
          </w:p>
        </w:tc>
        <w:tc>
          <w:tcPr>
            <w:tcW w:w="9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69.1%</w:t>
            </w:r>
          </w:p>
        </w:tc>
        <w:tc>
          <w:tcPr>
            <w:tcW w:w="10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-220 pbs</w:t>
            </w:r>
          </w:p>
        </w:tc>
        <w:tc>
          <w:tcPr>
            <w:tcW w:w="8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-2730 pbs</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4" w:lineRule="exact"/>
              <w:rPr>
                <w:sz w:val="20"/>
                <w:szCs w:val="20"/>
                <w:color w:val="auto"/>
              </w:rPr>
            </w:pPr>
            <w:r>
              <w:rPr>
                <w:rFonts w:ascii="Arial" w:cs="Arial" w:eastAsia="Arial" w:hAnsi="Arial"/>
                <w:sz w:val="16"/>
                <w:szCs w:val="16"/>
                <w:color w:val="auto"/>
              </w:rPr>
              <w:t>Fees + underwriting expenses, net / net earned premiums</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26.5%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25.8%</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25.9%</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10 pbs</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-60 pbs</w:t>
            </w: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6"/>
                <w:szCs w:val="16"/>
                <w:color w:val="auto"/>
              </w:rPr>
              <w:t>Operating expenses / net earned premiums</w:t>
            </w:r>
          </w:p>
        </w:tc>
        <w:tc>
          <w:tcPr>
            <w:tcW w:w="1420" w:type="dxa"/>
            <w:vAlign w:val="bottom"/>
            <w:tcBorders>
              <w:right w:val="single" w:sz="8" w:color="auto"/>
            </w:tcBorders>
          </w:tcPr>
          <w:p>
            <w:pPr>
              <w:spacing w:after="0"/>
              <w:rPr>
                <w:sz w:val="14"/>
                <w:szCs w:val="14"/>
                <w:color w:val="auto"/>
              </w:rPr>
            </w:pPr>
          </w:p>
        </w:tc>
        <w:tc>
          <w:tcPr>
            <w:tcW w:w="1280" w:type="dxa"/>
            <w:vAlign w:val="bottom"/>
          </w:tcPr>
          <w:p>
            <w:pPr>
              <w:jc w:val="right"/>
              <w:ind w:right="61"/>
              <w:spacing w:after="0" w:line="169" w:lineRule="exact"/>
              <w:rPr>
                <w:sz w:val="20"/>
                <w:szCs w:val="20"/>
                <w:color w:val="auto"/>
              </w:rPr>
            </w:pPr>
            <w:r>
              <w:rPr>
                <w:rFonts w:ascii="Arial" w:cs="Arial" w:eastAsia="Arial" w:hAnsi="Arial"/>
                <w:sz w:val="16"/>
                <w:szCs w:val="16"/>
                <w:color w:val="auto"/>
              </w:rPr>
              <w:t>16.7%</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18.4%</w:t>
            </w:r>
          </w:p>
        </w:tc>
        <w:tc>
          <w:tcPr>
            <w:tcW w:w="9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17.6%</w:t>
            </w:r>
          </w:p>
        </w:tc>
        <w:tc>
          <w:tcPr>
            <w:tcW w:w="10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-80 pbs</w:t>
            </w:r>
          </w:p>
        </w:tc>
        <w:tc>
          <w:tcPr>
            <w:tcW w:w="8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90 pbs</w:t>
            </w:r>
          </w:p>
        </w:tc>
        <w:tc>
          <w:tcPr>
            <w:tcW w:w="0" w:type="dxa"/>
            <w:vAlign w:val="bottom"/>
          </w:tcPr>
          <w:p>
            <w:pPr>
              <w:spacing w:after="0"/>
              <w:rPr>
                <w:sz w:val="1"/>
                <w:szCs w:val="1"/>
                <w:color w:val="auto"/>
              </w:rPr>
            </w:pPr>
          </w:p>
        </w:tc>
      </w:tr>
      <w:tr>
        <w:trPr>
          <w:trHeight w:val="178"/>
        </w:trPr>
        <w:tc>
          <w:tcPr>
            <w:tcW w:w="450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20"/>
                <w:szCs w:val="20"/>
                <w:color w:val="auto"/>
                <w:vertAlign w:val="subscript"/>
              </w:rPr>
              <w:t>ROAE</w:t>
            </w:r>
            <w:r>
              <w:rPr>
                <w:rFonts w:ascii="Arial" w:cs="Arial" w:eastAsia="Arial" w:hAnsi="Arial"/>
                <w:sz w:val="10"/>
                <w:szCs w:val="10"/>
                <w:color w:val="auto"/>
              </w:rPr>
              <w:t xml:space="preserve"> (2)(3)</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8" w:lineRule="exact"/>
              <w:rPr>
                <w:sz w:val="20"/>
                <w:szCs w:val="20"/>
                <w:color w:val="auto"/>
              </w:rPr>
            </w:pPr>
            <w:r>
              <w:rPr>
                <w:rFonts w:ascii="Arial" w:cs="Arial" w:eastAsia="Arial" w:hAnsi="Arial"/>
                <w:sz w:val="16"/>
                <w:szCs w:val="16"/>
                <w:color w:val="auto"/>
              </w:rPr>
              <w:t>-14.5%</w:t>
            </w:r>
          </w:p>
        </w:tc>
        <w:tc>
          <w:tcPr>
            <w:tcW w:w="11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11.9%</w:t>
            </w:r>
          </w:p>
        </w:tc>
        <w:tc>
          <w:tcPr>
            <w:tcW w:w="9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12.9%</w:t>
            </w:r>
          </w:p>
        </w:tc>
        <w:tc>
          <w:tcPr>
            <w:tcW w:w="1060" w:type="dxa"/>
            <w:vAlign w:val="bottom"/>
          </w:tcPr>
          <w:p>
            <w:pPr>
              <w:jc w:val="right"/>
              <w:ind w:right="81"/>
              <w:spacing w:after="0" w:line="178" w:lineRule="exact"/>
              <w:rPr>
                <w:sz w:val="20"/>
                <w:szCs w:val="20"/>
                <w:color w:val="auto"/>
              </w:rPr>
            </w:pPr>
            <w:r>
              <w:rPr>
                <w:rFonts w:ascii="Arial" w:cs="Arial" w:eastAsia="Arial" w:hAnsi="Arial"/>
                <w:sz w:val="16"/>
                <w:szCs w:val="16"/>
                <w:color w:val="auto"/>
              </w:rPr>
              <w:t>100 pbs</w:t>
            </w:r>
          </w:p>
        </w:tc>
        <w:tc>
          <w:tcPr>
            <w:tcW w:w="8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2740 pbs</w:t>
            </w:r>
          </w:p>
        </w:tc>
        <w:tc>
          <w:tcPr>
            <w:tcW w:w="0" w:type="dxa"/>
            <w:vAlign w:val="bottom"/>
          </w:tcPr>
          <w:p>
            <w:pPr>
              <w:spacing w:after="0"/>
              <w:rPr>
                <w:sz w:val="1"/>
                <w:szCs w:val="1"/>
                <w:color w:val="auto"/>
              </w:rPr>
            </w:pPr>
          </w:p>
        </w:tc>
      </w:tr>
      <w:tr>
        <w:trPr>
          <w:trHeight w:val="169"/>
        </w:trPr>
        <w:tc>
          <w:tcPr>
            <w:tcW w:w="4500" w:type="dxa"/>
            <w:vAlign w:val="bottom"/>
            <w:tcBorders>
              <w:left w:val="single" w:sz="8" w:color="auto"/>
            </w:tcBorders>
          </w:tcPr>
          <w:p>
            <w:pPr>
              <w:ind w:left="20"/>
              <w:spacing w:after="0" w:line="169" w:lineRule="exact"/>
              <w:rPr>
                <w:sz w:val="20"/>
                <w:szCs w:val="20"/>
                <w:color w:val="auto"/>
              </w:rPr>
            </w:pPr>
            <w:r>
              <w:rPr>
                <w:rFonts w:ascii="Arial" w:cs="Arial" w:eastAsia="Arial" w:hAnsi="Arial"/>
                <w:sz w:val="16"/>
                <w:szCs w:val="16"/>
                <w:color w:val="auto"/>
              </w:rPr>
              <w:t>Return on written premiums</w:t>
            </w:r>
          </w:p>
        </w:tc>
        <w:tc>
          <w:tcPr>
            <w:tcW w:w="1420" w:type="dxa"/>
            <w:vAlign w:val="bottom"/>
            <w:tcBorders>
              <w:right w:val="single" w:sz="8" w:color="auto"/>
            </w:tcBorders>
          </w:tcPr>
          <w:p>
            <w:pPr>
              <w:spacing w:after="0"/>
              <w:rPr>
                <w:sz w:val="14"/>
                <w:szCs w:val="14"/>
                <w:color w:val="auto"/>
              </w:rPr>
            </w:pPr>
          </w:p>
        </w:tc>
        <w:tc>
          <w:tcPr>
            <w:tcW w:w="1280" w:type="dxa"/>
            <w:vAlign w:val="bottom"/>
          </w:tcPr>
          <w:p>
            <w:pPr>
              <w:jc w:val="right"/>
              <w:ind w:right="61"/>
              <w:spacing w:after="0" w:line="169" w:lineRule="exact"/>
              <w:rPr>
                <w:sz w:val="20"/>
                <w:szCs w:val="20"/>
                <w:color w:val="auto"/>
              </w:rPr>
            </w:pPr>
            <w:r>
              <w:rPr>
                <w:rFonts w:ascii="Arial" w:cs="Arial" w:eastAsia="Arial" w:hAnsi="Arial"/>
                <w:sz w:val="16"/>
                <w:szCs w:val="16"/>
                <w:color w:val="auto"/>
              </w:rPr>
              <w:t>-9.8%</w:t>
            </w:r>
          </w:p>
        </w:tc>
        <w:tc>
          <w:tcPr>
            <w:tcW w:w="11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4.8%</w:t>
            </w:r>
          </w:p>
        </w:tc>
        <w:tc>
          <w:tcPr>
            <w:tcW w:w="9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6.0%</w:t>
            </w:r>
          </w:p>
        </w:tc>
        <w:tc>
          <w:tcPr>
            <w:tcW w:w="10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120 pbs</w:t>
            </w:r>
          </w:p>
        </w:tc>
        <w:tc>
          <w:tcPr>
            <w:tcW w:w="8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1580 pbs</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Combined ratio of Life </w:t>
            </w:r>
            <w:r>
              <w:rPr>
                <w:rFonts w:ascii="Arial" w:cs="Arial" w:eastAsia="Arial" w:hAnsi="Arial"/>
                <w:sz w:val="20"/>
                <w:szCs w:val="20"/>
                <w:color w:val="auto"/>
                <w:vertAlign w:val="superscript"/>
              </w:rPr>
              <w:t>(4)</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133.4%</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96.7%</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89.6%</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-710 pbs</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-4380 pbs</w:t>
            </w:r>
          </w:p>
        </w:tc>
        <w:tc>
          <w:tcPr>
            <w:tcW w:w="0" w:type="dxa"/>
            <w:vAlign w:val="bottom"/>
          </w:tcPr>
          <w:p>
            <w:pPr>
              <w:spacing w:after="0"/>
              <w:rPr>
                <w:sz w:val="1"/>
                <w:szCs w:val="1"/>
                <w:color w:val="auto"/>
              </w:rPr>
            </w:pPr>
          </w:p>
        </w:tc>
      </w:tr>
      <w:tr>
        <w:trPr>
          <w:trHeight w:val="173"/>
        </w:trPr>
        <w:tc>
          <w:tcPr>
            <w:tcW w:w="4500" w:type="dxa"/>
            <w:vAlign w:val="bottom"/>
            <w:tcBorders>
              <w:lef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0"/>
                <w:szCs w:val="20"/>
                <w:color w:val="auto"/>
                <w:vertAlign w:val="superscript"/>
              </w:rPr>
              <w:t>(5)</w:t>
            </w:r>
          </w:p>
        </w:tc>
        <w:tc>
          <w:tcPr>
            <w:tcW w:w="1420" w:type="dxa"/>
            <w:vAlign w:val="bottom"/>
            <w:tcBorders>
              <w:right w:val="single" w:sz="8" w:color="auto"/>
            </w:tcBorders>
          </w:tcPr>
          <w:p>
            <w:pPr>
              <w:spacing w:after="0"/>
              <w:rPr>
                <w:sz w:val="15"/>
                <w:szCs w:val="15"/>
                <w:color w:val="auto"/>
              </w:rPr>
            </w:pPr>
          </w:p>
        </w:tc>
        <w:tc>
          <w:tcPr>
            <w:tcW w:w="1280" w:type="dxa"/>
            <w:vAlign w:val="bottom"/>
          </w:tcPr>
          <w:p>
            <w:pPr>
              <w:jc w:val="right"/>
              <w:ind w:right="61"/>
              <w:spacing w:after="0" w:line="174" w:lineRule="exact"/>
              <w:rPr>
                <w:sz w:val="20"/>
                <w:szCs w:val="20"/>
                <w:color w:val="auto"/>
              </w:rPr>
            </w:pPr>
            <w:r>
              <w:rPr>
                <w:rFonts w:ascii="Arial" w:cs="Arial" w:eastAsia="Arial" w:hAnsi="Arial"/>
                <w:sz w:val="16"/>
                <w:szCs w:val="16"/>
                <w:color w:val="auto"/>
              </w:rPr>
              <w:t>85.5%</w:t>
            </w:r>
          </w:p>
        </w:tc>
        <w:tc>
          <w:tcPr>
            <w:tcW w:w="11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86.5%</w:t>
            </w:r>
          </w:p>
        </w:tc>
        <w:tc>
          <w:tcPr>
            <w:tcW w:w="9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94.4%</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790 pbs</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890 pbs</w:t>
            </w:r>
          </w:p>
        </w:tc>
        <w:tc>
          <w:tcPr>
            <w:tcW w:w="0" w:type="dxa"/>
            <w:vAlign w:val="bottom"/>
          </w:tcPr>
          <w:p>
            <w:pPr>
              <w:spacing w:after="0"/>
              <w:rPr>
                <w:sz w:val="1"/>
                <w:szCs w:val="1"/>
                <w:color w:val="auto"/>
              </w:rPr>
            </w:pPr>
          </w:p>
        </w:tc>
      </w:tr>
      <w:tr>
        <w:trPr>
          <w:trHeight w:val="198"/>
        </w:trPr>
        <w:tc>
          <w:tcPr>
            <w:tcW w:w="4500" w:type="dxa"/>
            <w:vAlign w:val="bottom"/>
            <w:tcBorders>
              <w:left w:val="single" w:sz="8" w:color="auto"/>
              <w:bottom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Equity requirement ratio </w:t>
            </w:r>
            <w:r>
              <w:rPr>
                <w:rFonts w:ascii="Arial" w:cs="Arial" w:eastAsia="Arial" w:hAnsi="Arial"/>
                <w:sz w:val="22"/>
                <w:szCs w:val="22"/>
                <w:color w:val="auto"/>
                <w:vertAlign w:val="superscript"/>
              </w:rPr>
              <w:t>(7)</w:t>
            </w:r>
          </w:p>
        </w:tc>
        <w:tc>
          <w:tcPr>
            <w:tcW w:w="14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1.25</w:t>
            </w:r>
          </w:p>
        </w:tc>
        <w:tc>
          <w:tcPr>
            <w:tcW w:w="11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1.18</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600 pbs</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-100 pbs</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*Financial statements without consolidation adjustments.</w:t>
      </w:r>
    </w:p>
    <w:p>
      <w:pPr>
        <w:spacing w:after="0" w:line="124" w:lineRule="exact"/>
        <w:rPr>
          <w:sz w:val="20"/>
          <w:szCs w:val="20"/>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Excluding investments in real estate.</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Net claims / Net earned premiums.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unrealized gains.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Annualized and average are determined as the average of period beginning and period ending.</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(Net claims / Net earned premiums) + Reserves / Net earned premiums) + [(Acquisition cost + total expenses) / Net earned premiums] - (Net Financial Income without real state sales, securities sales, impairment loss and fluctuation / Net earned premiums).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(Net claims / Net earned premiums) + [(Acquisition cost + total expenses) / Net earned premiums].</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4"/>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Support to cover credit risk, market risk and operational risk.</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07"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1Q15 and on, Grupo Pacifico’s financial statements reflect the agreement with Banmedica (in equal parts) of the businesses of:</w:t>
      </w:r>
    </w:p>
    <w:p>
      <w:pPr>
        <w:spacing w:after="0" w:line="207" w:lineRule="exact"/>
        <w:rPr>
          <w:sz w:val="20"/>
          <w:szCs w:val="20"/>
          <w:color w:val="auto"/>
        </w:rPr>
      </w:pPr>
    </w:p>
    <w:p>
      <w:pPr>
        <w:ind w:left="520" w:hanging="253"/>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private health insurance managed by Grupo Pacifico and included in its Financial Statements in each of the accounting lines;</w:t>
      </w:r>
    </w:p>
    <w:p>
      <w:pPr>
        <w:spacing w:after="0" w:line="196" w:lineRule="exact"/>
        <w:rPr>
          <w:rFonts w:ascii="Arial" w:cs="Arial" w:eastAsia="Arial" w:hAnsi="Arial"/>
          <w:sz w:val="14"/>
          <w:szCs w:val="14"/>
          <w:color w:val="auto"/>
        </w:rPr>
      </w:pPr>
    </w:p>
    <w:p>
      <w:pPr>
        <w:ind w:left="520" w:hanging="253"/>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corporate health insurance (dependent workers); and</w:t>
      </w:r>
    </w:p>
    <w:p>
      <w:pPr>
        <w:spacing w:after="0" w:line="196" w:lineRule="exact"/>
        <w:rPr>
          <w:rFonts w:ascii="Arial" w:cs="Arial" w:eastAsia="Arial" w:hAnsi="Arial"/>
          <w:sz w:val="14"/>
          <w:szCs w:val="14"/>
          <w:color w:val="auto"/>
        </w:rPr>
      </w:pPr>
    </w:p>
    <w:p>
      <w:pPr>
        <w:ind w:left="520" w:hanging="253"/>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medical services.</w:t>
      </w:r>
    </w:p>
    <w:p>
      <w:pPr>
        <w:spacing w:after="0" w:line="196"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0"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As explained before, corporate health insurance and medical services businesses are consolidated by Banmedica. The following table reflects the consolidated results from which Grupo Pacifico receives the 50% net income.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health insurance and Medical services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in thousands )</w:t>
      </w:r>
    </w:p>
    <w:p>
      <w:pPr>
        <w:spacing w:after="0" w:line="176" w:lineRule="exact"/>
        <w:rPr>
          <w:sz w:val="20"/>
          <w:szCs w:val="20"/>
          <w:color w:val="auto"/>
        </w:rPr>
      </w:pPr>
    </w:p>
    <w:tbl>
      <w:tblPr>
        <w:tblLayout w:type="fixed"/>
        <w:tblInd w:w="1150" w:type="dxa"/>
        <w:tblCellMar>
          <w:top w:w="0" w:type="dxa"/>
          <w:left w:w="0" w:type="dxa"/>
          <w:bottom w:w="0" w:type="dxa"/>
          <w:right w:w="0" w:type="dxa"/>
        </w:tblCellMar>
      </w:tblPr>
      <w:tr>
        <w:trPr>
          <w:trHeight w:val="176"/>
        </w:trPr>
        <w:tc>
          <w:tcPr>
            <w:tcW w:w="3960" w:type="dxa"/>
            <w:vAlign w:val="bottom"/>
            <w:tcBorders>
              <w:right w:val="single" w:sz="8" w:color="auto"/>
            </w:tcBorders>
          </w:tcPr>
          <w:p>
            <w:pPr>
              <w:spacing w:after="0"/>
              <w:rPr>
                <w:sz w:val="15"/>
                <w:szCs w:val="15"/>
                <w:color w:val="auto"/>
              </w:rPr>
            </w:pPr>
          </w:p>
        </w:tc>
        <w:tc>
          <w:tcPr>
            <w:tcW w:w="1100" w:type="dxa"/>
            <w:vAlign w:val="bottom"/>
            <w:tcBorders>
              <w:top w:val="single" w:sz="8" w:color="auto"/>
            </w:tcBorders>
            <w:vMerge w:val="restart"/>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40" w:type="dxa"/>
            <w:vAlign w:val="bottom"/>
            <w:tcBorders>
              <w:top w:val="single" w:sz="8" w:color="auto"/>
            </w:tcBorders>
            <w:shd w:val="clear" w:color="auto" w:fill="2AD2C9"/>
          </w:tcPr>
          <w:p>
            <w:pPr>
              <w:jc w:val="right"/>
              <w:ind w:right="281"/>
              <w:spacing w:after="0" w:line="176"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vMerge w:val="restart"/>
            <w:shd w:val="clear" w:color="auto" w:fill="2AD2C9"/>
          </w:tcPr>
          <w:p>
            <w:pPr>
              <w:jc w:val="right"/>
              <w:ind w:right="261"/>
              <w:spacing w:after="0"/>
              <w:rPr>
                <w:sz w:val="20"/>
                <w:szCs w:val="20"/>
                <w:color w:val="auto"/>
              </w:rPr>
            </w:pPr>
            <w:r>
              <w:rPr>
                <w:rFonts w:ascii="Arial" w:cs="Arial" w:eastAsia="Arial" w:hAnsi="Arial"/>
                <w:sz w:val="16"/>
                <w:szCs w:val="16"/>
                <w:b w:val="1"/>
                <w:bCs w:val="1"/>
                <w:color w:val="FFFFFF"/>
              </w:rPr>
              <w:t>1Q22</w:t>
            </w:r>
          </w:p>
        </w:tc>
        <w:tc>
          <w:tcPr>
            <w:tcW w:w="2040" w:type="dxa"/>
            <w:vAlign w:val="bottom"/>
            <w:tcBorders>
              <w:top w:val="single" w:sz="8" w:color="auto"/>
              <w:right w:val="single" w:sz="8" w:color="auto"/>
            </w:tcBorders>
            <w:gridSpan w:val="2"/>
            <w:shd w:val="clear" w:color="auto" w:fill="2AD2C9"/>
          </w:tcPr>
          <w:p>
            <w:pPr>
              <w:jc w:val="right"/>
              <w:ind w:right="581"/>
              <w:spacing w:after="0" w:line="176"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94"/>
        </w:trPr>
        <w:tc>
          <w:tcPr>
            <w:tcW w:w="396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vMerge w:val="continue"/>
            <w:shd w:val="clear" w:color="auto" w:fill="2AD2C9"/>
          </w:tcPr>
          <w:p>
            <w:pPr>
              <w:spacing w:after="0"/>
              <w:rPr>
                <w:sz w:val="16"/>
                <w:szCs w:val="16"/>
                <w:color w:val="auto"/>
              </w:rPr>
            </w:pPr>
          </w:p>
        </w:tc>
        <w:tc>
          <w:tcPr>
            <w:tcW w:w="1040" w:type="dxa"/>
            <w:vAlign w:val="bottom"/>
            <w:tcBorders>
              <w:bottom w:val="single" w:sz="8" w:color="auto"/>
            </w:tcBorders>
            <w:shd w:val="clear" w:color="auto" w:fill="2AD2C9"/>
          </w:tcPr>
          <w:p>
            <w:pPr>
              <w:jc w:val="right"/>
              <w:ind w:right="381"/>
              <w:spacing w:after="0"/>
              <w:rPr>
                <w:sz w:val="20"/>
                <w:szCs w:val="20"/>
                <w:color w:val="auto"/>
              </w:rPr>
            </w:pPr>
            <w:r>
              <w:rPr>
                <w:rFonts w:ascii="Arial" w:cs="Arial" w:eastAsia="Arial" w:hAnsi="Arial"/>
                <w:sz w:val="16"/>
                <w:szCs w:val="16"/>
                <w:b w:val="1"/>
                <w:bCs w:val="1"/>
                <w:color w:val="FFFFFF"/>
              </w:rPr>
              <w:t>4Q21</w:t>
            </w:r>
          </w:p>
        </w:tc>
        <w:tc>
          <w:tcPr>
            <w:tcW w:w="8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180" w:type="dxa"/>
            <w:vAlign w:val="bottom"/>
            <w:tcBorders>
              <w:bottom w:val="single" w:sz="8" w:color="auto"/>
            </w:tcBorders>
            <w:shd w:val="clear" w:color="auto" w:fill="2AD2C9"/>
          </w:tcPr>
          <w:p>
            <w:pPr>
              <w:jc w:val="right"/>
              <w:ind w:right="441"/>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54"/>
        </w:trPr>
        <w:tc>
          <w:tcPr>
            <w:tcW w:w="396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Results</w:t>
            </w: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Net earned premiums</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277,944</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303,539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314,362</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3.6%</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Net claims</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(215,638)</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(271,100)</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(276,082)</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1.8%</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Net fees</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(12,309)</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(13,613)</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(13,671)</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0.4%</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Net underwriting expenses</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(2,877)</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(2,282)</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(3,263)</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43.0%</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8"/>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Underwriting result</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47,120</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16,544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21,346</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29.0%</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-54.7%</w:t>
            </w:r>
          </w:p>
        </w:tc>
        <w:tc>
          <w:tcPr>
            <w:tcW w:w="0" w:type="dxa"/>
            <w:vAlign w:val="bottom"/>
          </w:tcPr>
          <w:p>
            <w:pPr>
              <w:spacing w:after="0"/>
              <w:rPr>
                <w:sz w:val="1"/>
                <w:szCs w:val="1"/>
                <w:color w:val="auto"/>
              </w:rPr>
            </w:pPr>
          </w:p>
        </w:tc>
      </w:tr>
      <w:tr>
        <w:trPr>
          <w:trHeight w:val="291"/>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financial income</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1,188</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1,351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1,883</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39.4%</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Total expenses</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(20,709)</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(25,499)</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(18,870)</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-26.0%</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Other income</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-417</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3,940</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1,226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-68.9%</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-393.9%</w:t>
            </w:r>
          </w:p>
        </w:tc>
        <w:tc>
          <w:tcPr>
            <w:tcW w:w="0" w:type="dxa"/>
            <w:vAlign w:val="bottom"/>
          </w:tcPr>
          <w:p>
            <w:pPr>
              <w:spacing w:after="0"/>
              <w:rPr>
                <w:sz w:val="1"/>
                <w:szCs w:val="1"/>
                <w:color w:val="auto"/>
              </w:rPr>
            </w:pPr>
          </w:p>
        </w:tc>
      </w:tr>
      <w:tr>
        <w:trPr>
          <w:trHeight w:val="173"/>
        </w:trPr>
        <w:tc>
          <w:tcPr>
            <w:tcW w:w="396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Traslations results</w:t>
            </w:r>
          </w:p>
        </w:tc>
        <w:tc>
          <w:tcPr>
            <w:tcW w:w="1100" w:type="dxa"/>
            <w:vAlign w:val="bottom"/>
          </w:tcPr>
          <w:p>
            <w:pPr>
              <w:jc w:val="right"/>
              <w:ind w:right="41"/>
              <w:spacing w:after="0" w:line="174" w:lineRule="exact"/>
              <w:rPr>
                <w:sz w:val="20"/>
                <w:szCs w:val="20"/>
                <w:color w:val="auto"/>
              </w:rPr>
            </w:pPr>
            <w:r>
              <w:rPr>
                <w:rFonts w:ascii="Arial" w:cs="Arial" w:eastAsia="Arial" w:hAnsi="Arial"/>
                <w:sz w:val="16"/>
                <w:szCs w:val="16"/>
                <w:color w:val="auto"/>
              </w:rPr>
              <w:t>1,385</w:t>
            </w:r>
          </w:p>
        </w:tc>
        <w:tc>
          <w:tcPr>
            <w:tcW w:w="1040" w:type="dxa"/>
            <w:vAlign w:val="bottom"/>
          </w:tcPr>
          <w:p>
            <w:pPr>
              <w:jc w:val="right"/>
              <w:ind w:right="61"/>
              <w:spacing w:after="0" w:line="174" w:lineRule="exact"/>
              <w:rPr>
                <w:sz w:val="20"/>
                <w:szCs w:val="20"/>
                <w:color w:val="auto"/>
              </w:rPr>
            </w:pPr>
            <w:r>
              <w:rPr>
                <w:rFonts w:ascii="Arial" w:cs="Arial" w:eastAsia="Arial" w:hAnsi="Arial"/>
                <w:sz w:val="16"/>
                <w:szCs w:val="16"/>
                <w:color w:val="auto"/>
              </w:rPr>
              <w:t>(2,818)</w:t>
            </w:r>
          </w:p>
        </w:tc>
        <w:tc>
          <w:tcPr>
            <w:tcW w:w="88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(4,397)</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56.0%</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210"/>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Income tax</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(8,645)</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(118)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180" w:type="dxa"/>
            <w:vAlign w:val="bottom"/>
          </w:tcPr>
          <w:p>
            <w:pPr>
              <w:jc w:val="right"/>
              <w:ind w:right="101"/>
              <w:spacing w:after="0"/>
              <w:rPr>
                <w:sz w:val="20"/>
                <w:szCs w:val="20"/>
                <w:color w:val="auto"/>
              </w:rPr>
            </w:pPr>
            <w:r>
              <w:rPr>
                <w:rFonts w:ascii="Arial" w:cs="Arial" w:eastAsia="Arial" w:hAnsi="Arial"/>
                <w:sz w:val="16"/>
                <w:szCs w:val="16"/>
                <w:color w:val="auto"/>
              </w:rPr>
              <w:t>258.1%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344"/>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before Medical services</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19,921</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-6,601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763</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n.a</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-96.2%</w:t>
            </w:r>
          </w:p>
        </w:tc>
        <w:tc>
          <w:tcPr>
            <w:tcW w:w="0" w:type="dxa"/>
            <w:vAlign w:val="bottom"/>
          </w:tcPr>
          <w:p>
            <w:pPr>
              <w:spacing w:after="0"/>
              <w:rPr>
                <w:sz w:val="1"/>
                <w:szCs w:val="1"/>
                <w:color w:val="auto"/>
              </w:rPr>
            </w:pPr>
          </w:p>
        </w:tc>
      </w:tr>
      <w:tr>
        <w:trPr>
          <w:trHeight w:val="336"/>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of Medical services</w:t>
            </w: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26,750</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24,088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28,460</w:t>
            </w:r>
          </w:p>
        </w:tc>
        <w:tc>
          <w:tcPr>
            <w:tcW w:w="1180" w:type="dxa"/>
            <w:vAlign w:val="bottom"/>
          </w:tcPr>
          <w:p>
            <w:pPr>
              <w:jc w:val="right"/>
              <w:ind w:right="101"/>
              <w:spacing w:after="0"/>
              <w:rPr>
                <w:sz w:val="20"/>
                <w:szCs w:val="20"/>
                <w:color w:val="auto"/>
              </w:rPr>
            </w:pPr>
            <w:r>
              <w:rPr>
                <w:rFonts w:ascii="Arial" w:cs="Arial" w:eastAsia="Arial" w:hAnsi="Arial"/>
                <w:sz w:val="16"/>
                <w:szCs w:val="16"/>
                <w:b w:val="1"/>
                <w:bCs w:val="1"/>
                <w:color w:val="auto"/>
              </w:rPr>
              <w:t>18.1%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312"/>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46,671</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17,487</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29,222</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67.1%</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12.5.9. Investment Banking &amp; Wealth Management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Investment Banking &amp; Wealth Management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 thousands, IFRS)</w:t>
      </w:r>
    </w:p>
    <w:p>
      <w:pPr>
        <w:spacing w:after="0" w:line="176" w:lineRule="exact"/>
        <w:rPr>
          <w:sz w:val="20"/>
          <w:szCs w:val="20"/>
          <w:color w:val="auto"/>
        </w:rPr>
      </w:pPr>
    </w:p>
    <w:tbl>
      <w:tblPr>
        <w:tblLayout w:type="fixed"/>
        <w:tblInd w:w="590" w:type="dxa"/>
        <w:tblCellMar>
          <w:top w:w="0" w:type="dxa"/>
          <w:left w:w="0" w:type="dxa"/>
          <w:bottom w:w="0" w:type="dxa"/>
          <w:right w:w="0" w:type="dxa"/>
        </w:tblCellMar>
      </w:tblPr>
      <w:tr>
        <w:trPr>
          <w:trHeight w:val="176"/>
        </w:trPr>
        <w:tc>
          <w:tcPr>
            <w:tcW w:w="5080" w:type="dxa"/>
            <w:vAlign w:val="bottom"/>
            <w:tcBorders>
              <w:top w:val="single" w:sz="8" w:color="auto"/>
              <w:left w:val="single" w:sz="8" w:color="auto"/>
              <w:right w:val="single" w:sz="8" w:color="auto"/>
            </w:tcBorders>
            <w:shd w:val="clear" w:color="auto" w:fill="2AD2C9"/>
          </w:tcPr>
          <w:p>
            <w:pPr>
              <w:ind w:left="20"/>
              <w:spacing w:after="0" w:line="176" w:lineRule="exact"/>
              <w:rPr>
                <w:sz w:val="20"/>
                <w:szCs w:val="20"/>
                <w:color w:val="auto"/>
              </w:rPr>
            </w:pPr>
            <w:r>
              <w:rPr>
                <w:rFonts w:ascii="Arial" w:cs="Arial" w:eastAsia="Arial" w:hAnsi="Arial"/>
                <w:sz w:val="16"/>
                <w:szCs w:val="16"/>
                <w:b w:val="1"/>
                <w:bCs w:val="1"/>
                <w:color w:val="FFFFFF"/>
              </w:rPr>
              <w:t>Investment Banking and Wealth Management</w:t>
            </w:r>
          </w:p>
        </w:tc>
        <w:tc>
          <w:tcPr>
            <w:tcW w:w="1100" w:type="dxa"/>
            <w:vAlign w:val="bottom"/>
            <w:tcBorders>
              <w:top w:val="single" w:sz="8" w:color="auto"/>
            </w:tcBorders>
            <w:shd w:val="clear" w:color="auto" w:fill="2AD2C9"/>
          </w:tcPr>
          <w:p>
            <w:pPr>
              <w:spacing w:after="0"/>
              <w:rPr>
                <w:sz w:val="15"/>
                <w:szCs w:val="15"/>
                <w:color w:val="auto"/>
              </w:rPr>
            </w:pPr>
          </w:p>
        </w:tc>
        <w:tc>
          <w:tcPr>
            <w:tcW w:w="1060" w:type="dxa"/>
            <w:vAlign w:val="bottom"/>
            <w:tcBorders>
              <w:top w:val="single" w:sz="8" w:color="auto"/>
            </w:tcBorders>
            <w:shd w:val="clear" w:color="auto" w:fill="2AD2C9"/>
          </w:tcPr>
          <w:p>
            <w:pPr>
              <w:jc w:val="right"/>
              <w:ind w:right="301"/>
              <w:spacing w:after="0" w:line="176" w:lineRule="exact"/>
              <w:rPr>
                <w:sz w:val="20"/>
                <w:szCs w:val="20"/>
                <w:color w:val="auto"/>
              </w:rPr>
            </w:pPr>
            <w:r>
              <w:rPr>
                <w:rFonts w:ascii="Arial" w:cs="Arial" w:eastAsia="Arial" w:hAnsi="Arial"/>
                <w:sz w:val="16"/>
                <w:szCs w:val="16"/>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5"/>
                <w:szCs w:val="15"/>
                <w:color w:val="auto"/>
              </w:rPr>
            </w:pPr>
          </w:p>
        </w:tc>
        <w:tc>
          <w:tcPr>
            <w:tcW w:w="2040" w:type="dxa"/>
            <w:vAlign w:val="bottom"/>
            <w:tcBorders>
              <w:top w:val="single" w:sz="8" w:color="auto"/>
              <w:right w:val="single" w:sz="8" w:color="auto"/>
            </w:tcBorders>
            <w:gridSpan w:val="2"/>
            <w:shd w:val="clear" w:color="auto" w:fill="2AD2C9"/>
          </w:tcPr>
          <w:p>
            <w:pPr>
              <w:jc w:val="right"/>
              <w:ind w:right="581"/>
              <w:spacing w:after="0" w:line="176" w:lineRule="exact"/>
              <w:rPr>
                <w:sz w:val="20"/>
                <w:szCs w:val="20"/>
                <w:color w:val="auto"/>
              </w:rPr>
            </w:pPr>
            <w:r>
              <w:rPr>
                <w:rFonts w:ascii="Arial" w:cs="Arial" w:eastAsia="Arial" w:hAnsi="Arial"/>
                <w:sz w:val="16"/>
                <w:szCs w:val="16"/>
                <w:b w:val="1"/>
                <w:bCs w:val="1"/>
                <w:color w:val="FFFFFF"/>
              </w:rPr>
              <w:t>% change</w:t>
            </w:r>
          </w:p>
        </w:tc>
      </w:tr>
      <w:tr>
        <w:trPr>
          <w:trHeight w:val="194"/>
        </w:trPr>
        <w:tc>
          <w:tcPr>
            <w:tcW w:w="5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1100" w:type="dxa"/>
            <w:vAlign w:val="bottom"/>
            <w:tcBorders>
              <w:bottom w:val="single" w:sz="8" w:color="auto"/>
            </w:tcBorders>
            <w:shd w:val="clear" w:color="auto" w:fill="2AD2C9"/>
          </w:tcPr>
          <w:p>
            <w:pPr>
              <w:jc w:val="right"/>
              <w:ind w:right="341"/>
              <w:spacing w:after="0"/>
              <w:rPr>
                <w:sz w:val="20"/>
                <w:szCs w:val="20"/>
                <w:color w:val="auto"/>
              </w:rPr>
            </w:pPr>
            <w:r>
              <w:rPr>
                <w:rFonts w:ascii="Arial" w:cs="Arial" w:eastAsia="Arial" w:hAnsi="Arial"/>
                <w:sz w:val="16"/>
                <w:szCs w:val="16"/>
                <w:b w:val="1"/>
                <w:bCs w:val="1"/>
                <w:color w:val="FFFFFF"/>
              </w:rPr>
              <w:t>1Q21</w:t>
            </w:r>
          </w:p>
        </w:tc>
        <w:tc>
          <w:tcPr>
            <w:tcW w:w="1060" w:type="dxa"/>
            <w:vAlign w:val="bottom"/>
            <w:tcBorders>
              <w:bottom w:val="single" w:sz="8" w:color="auto"/>
            </w:tcBorders>
            <w:shd w:val="clear" w:color="auto" w:fill="2AD2C9"/>
          </w:tcPr>
          <w:p>
            <w:pPr>
              <w:jc w:val="right"/>
              <w:ind w:right="401"/>
              <w:spacing w:after="0"/>
              <w:rPr>
                <w:sz w:val="20"/>
                <w:szCs w:val="20"/>
                <w:color w:val="auto"/>
              </w:rPr>
            </w:pPr>
            <w:r>
              <w:rPr>
                <w:rFonts w:ascii="Arial" w:cs="Arial" w:eastAsia="Arial" w:hAnsi="Arial"/>
                <w:sz w:val="16"/>
                <w:szCs w:val="16"/>
                <w:b w:val="1"/>
                <w:bCs w:val="1"/>
                <w:color w:val="FFFFFF"/>
              </w:rPr>
              <w:t>4Q21</w:t>
            </w:r>
          </w:p>
        </w:tc>
        <w:tc>
          <w:tcPr>
            <w:tcW w:w="860" w:type="dxa"/>
            <w:vAlign w:val="bottom"/>
            <w:tcBorders>
              <w:bottom w:val="single" w:sz="8" w:color="auto"/>
              <w:right w:val="single" w:sz="8" w:color="auto"/>
            </w:tcBorders>
            <w:shd w:val="clear" w:color="auto" w:fill="2AD2C9"/>
          </w:tcPr>
          <w:p>
            <w:pPr>
              <w:jc w:val="right"/>
              <w:ind w:right="241"/>
              <w:spacing w:after="0"/>
              <w:rPr>
                <w:sz w:val="20"/>
                <w:szCs w:val="20"/>
                <w:color w:val="auto"/>
              </w:rPr>
            </w:pPr>
            <w:r>
              <w:rPr>
                <w:rFonts w:ascii="Arial" w:cs="Arial" w:eastAsia="Arial" w:hAnsi="Arial"/>
                <w:sz w:val="16"/>
                <w:szCs w:val="16"/>
                <w:b w:val="1"/>
                <w:bCs w:val="1"/>
                <w:color w:val="FFFFFF"/>
              </w:rPr>
              <w:t>1Q22</w:t>
            </w:r>
          </w:p>
        </w:tc>
        <w:tc>
          <w:tcPr>
            <w:tcW w:w="1180" w:type="dxa"/>
            <w:vAlign w:val="bottom"/>
            <w:tcBorders>
              <w:bottom w:val="single" w:sz="8" w:color="auto"/>
            </w:tcBorders>
            <w:shd w:val="clear" w:color="auto" w:fill="2AD2C9"/>
          </w:tcPr>
          <w:p>
            <w:pPr>
              <w:jc w:val="right"/>
              <w:ind w:right="421"/>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bottom w:val="single" w:sz="8" w:color="auto"/>
              <w:right w:val="single" w:sz="8" w:color="auto"/>
            </w:tcBorders>
            <w:shd w:val="clear" w:color="auto" w:fill="2AD2C9"/>
          </w:tcPr>
          <w:p>
            <w:pPr>
              <w:jc w:val="right"/>
              <w:ind w:right="301"/>
              <w:spacing w:after="0"/>
              <w:rPr>
                <w:sz w:val="20"/>
                <w:szCs w:val="20"/>
                <w:color w:val="auto"/>
              </w:rPr>
            </w:pPr>
            <w:r>
              <w:rPr>
                <w:rFonts w:ascii="Arial" w:cs="Arial" w:eastAsia="Arial" w:hAnsi="Arial"/>
                <w:sz w:val="16"/>
                <w:szCs w:val="16"/>
                <w:b w:val="1"/>
                <w:bCs w:val="1"/>
                <w:color w:val="FFFFFF"/>
              </w:rPr>
              <w:t>YoY</w:t>
            </w:r>
          </w:p>
        </w:tc>
      </w:tr>
      <w:tr>
        <w:trPr>
          <w:trHeight w:val="154"/>
        </w:trPr>
        <w:tc>
          <w:tcPr>
            <w:tcW w:w="508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Net interest income</w:t>
            </w:r>
          </w:p>
        </w:tc>
        <w:tc>
          <w:tcPr>
            <w:tcW w:w="1100" w:type="dxa"/>
            <w:vAlign w:val="bottom"/>
          </w:tcPr>
          <w:p>
            <w:pPr>
              <w:jc w:val="right"/>
              <w:ind w:right="21"/>
              <w:spacing w:after="0" w:line="155" w:lineRule="exact"/>
              <w:rPr>
                <w:sz w:val="20"/>
                <w:szCs w:val="20"/>
                <w:color w:val="auto"/>
              </w:rPr>
            </w:pPr>
            <w:r>
              <w:rPr>
                <w:rFonts w:ascii="Arial" w:cs="Arial" w:eastAsia="Arial" w:hAnsi="Arial"/>
                <w:sz w:val="16"/>
                <w:szCs w:val="16"/>
                <w:color w:val="auto"/>
              </w:rPr>
              <w:t>23,087</w:t>
            </w:r>
          </w:p>
        </w:tc>
        <w:tc>
          <w:tcPr>
            <w:tcW w:w="10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14,681</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19,340</w:t>
            </w:r>
          </w:p>
        </w:tc>
        <w:tc>
          <w:tcPr>
            <w:tcW w:w="1180" w:type="dxa"/>
            <w:vAlign w:val="bottom"/>
          </w:tcPr>
          <w:p>
            <w:pPr>
              <w:jc w:val="right"/>
              <w:ind w:right="101"/>
              <w:spacing w:after="0" w:line="155" w:lineRule="exact"/>
              <w:rPr>
                <w:sz w:val="20"/>
                <w:szCs w:val="20"/>
                <w:color w:val="auto"/>
              </w:rPr>
            </w:pPr>
            <w:r>
              <w:rPr>
                <w:rFonts w:ascii="Arial" w:cs="Arial" w:eastAsia="Arial" w:hAnsi="Arial"/>
                <w:sz w:val="16"/>
                <w:szCs w:val="16"/>
                <w:color w:val="auto"/>
              </w:rPr>
              <w:t>31.7%</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-16.2%</w:t>
            </w:r>
          </w:p>
        </w:tc>
      </w:tr>
      <w:tr>
        <w:trPr>
          <w:trHeight w:val="173"/>
        </w:trPr>
        <w:tc>
          <w:tcPr>
            <w:tcW w:w="5080" w:type="dxa"/>
            <w:vAlign w:val="bottom"/>
            <w:tcBorders>
              <w:left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color w:val="auto"/>
              </w:rPr>
              <w:t>Non-financial income</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178,065</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184,296</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179,997</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-2.3%</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1.1%</w:t>
            </w:r>
          </w:p>
        </w:tc>
      </w:tr>
      <w:tr>
        <w:trPr>
          <w:trHeight w:val="173"/>
        </w:trPr>
        <w:tc>
          <w:tcPr>
            <w:tcW w:w="508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Fee income</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147,594</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155,193</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137,586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-11.3%</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-6.8%</w:t>
            </w:r>
          </w:p>
        </w:tc>
      </w:tr>
      <w:tr>
        <w:trPr>
          <w:trHeight w:val="173"/>
        </w:trPr>
        <w:tc>
          <w:tcPr>
            <w:tcW w:w="508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foreign exchange transactions</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12,288</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15,822</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10,646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-32.7%</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-13.4%</w:t>
            </w:r>
          </w:p>
        </w:tc>
      </w:tr>
      <w:tr>
        <w:trPr>
          <w:trHeight w:val="173"/>
        </w:trPr>
        <w:tc>
          <w:tcPr>
            <w:tcW w:w="508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Net gain on sales of securities</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-44,052</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-6,334</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10,696</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n.a</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r>
      <w:tr>
        <w:trPr>
          <w:trHeight w:val="173"/>
        </w:trPr>
        <w:tc>
          <w:tcPr>
            <w:tcW w:w="508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Derivative Result</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56,265</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-435</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10,841</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n.a</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-80.7%</w:t>
            </w:r>
          </w:p>
        </w:tc>
      </w:tr>
      <w:tr>
        <w:trPr>
          <w:trHeight w:val="173"/>
        </w:trPr>
        <w:tc>
          <w:tcPr>
            <w:tcW w:w="5080" w:type="dxa"/>
            <w:vAlign w:val="bottom"/>
            <w:tcBorders>
              <w:left w:val="single" w:sz="8" w:color="auto"/>
              <w:right w:val="single" w:sz="8" w:color="auto"/>
            </w:tcBorders>
          </w:tcPr>
          <w:p>
            <w:pPr>
              <w:ind w:left="140"/>
              <w:spacing w:after="0" w:line="174" w:lineRule="exact"/>
              <w:rPr>
                <w:sz w:val="20"/>
                <w:szCs w:val="20"/>
                <w:color w:val="auto"/>
              </w:rPr>
            </w:pPr>
            <w:r>
              <w:rPr>
                <w:rFonts w:ascii="Arial" w:cs="Arial" w:eastAsia="Arial" w:hAnsi="Arial"/>
                <w:sz w:val="16"/>
                <w:szCs w:val="16"/>
                <w:color w:val="auto"/>
              </w:rPr>
              <w:t>Result from exposure to the exchange rate</w:t>
            </w:r>
          </w:p>
        </w:tc>
        <w:tc>
          <w:tcPr>
            <w:tcW w:w="1100" w:type="dxa"/>
            <w:vAlign w:val="bottom"/>
          </w:tcPr>
          <w:p>
            <w:pPr>
              <w:jc w:val="right"/>
              <w:ind w:right="21"/>
              <w:spacing w:after="0" w:line="174" w:lineRule="exact"/>
              <w:rPr>
                <w:sz w:val="20"/>
                <w:szCs w:val="20"/>
                <w:color w:val="auto"/>
              </w:rPr>
            </w:pPr>
            <w:r>
              <w:rPr>
                <w:rFonts w:ascii="Arial" w:cs="Arial" w:eastAsia="Arial" w:hAnsi="Arial"/>
                <w:sz w:val="16"/>
                <w:szCs w:val="16"/>
                <w:color w:val="auto"/>
              </w:rPr>
              <w:t>-1,001</w:t>
            </w:r>
          </w:p>
        </w:tc>
        <w:tc>
          <w:tcPr>
            <w:tcW w:w="1060" w:type="dxa"/>
            <w:vAlign w:val="bottom"/>
          </w:tcPr>
          <w:p>
            <w:pPr>
              <w:jc w:val="right"/>
              <w:ind w:right="81"/>
              <w:spacing w:after="0" w:line="174" w:lineRule="exact"/>
              <w:rPr>
                <w:sz w:val="20"/>
                <w:szCs w:val="20"/>
                <w:color w:val="auto"/>
              </w:rPr>
            </w:pPr>
            <w:r>
              <w:rPr>
                <w:rFonts w:ascii="Arial" w:cs="Arial" w:eastAsia="Arial" w:hAnsi="Arial"/>
                <w:sz w:val="16"/>
                <w:szCs w:val="16"/>
                <w:color w:val="auto"/>
              </w:rPr>
              <w:t>763</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2,227</w:t>
            </w:r>
          </w:p>
        </w:tc>
        <w:tc>
          <w:tcPr>
            <w:tcW w:w="1180" w:type="dxa"/>
            <w:vAlign w:val="bottom"/>
          </w:tcPr>
          <w:p>
            <w:pPr>
              <w:jc w:val="right"/>
              <w:ind w:right="101"/>
              <w:spacing w:after="0" w:line="174" w:lineRule="exact"/>
              <w:rPr>
                <w:sz w:val="20"/>
                <w:szCs w:val="20"/>
                <w:color w:val="auto"/>
              </w:rPr>
            </w:pPr>
            <w:r>
              <w:rPr>
                <w:rFonts w:ascii="Arial" w:cs="Arial" w:eastAsia="Arial" w:hAnsi="Arial"/>
                <w:sz w:val="16"/>
                <w:szCs w:val="16"/>
                <w:color w:val="auto"/>
              </w:rPr>
              <w:t>191.9%</w:t>
            </w:r>
          </w:p>
        </w:tc>
        <w:tc>
          <w:tcPr>
            <w:tcW w:w="860" w:type="dxa"/>
            <w:vAlign w:val="bottom"/>
            <w:tcBorders>
              <w:right w:val="single" w:sz="8" w:color="auto"/>
            </w:tcBorders>
          </w:tcPr>
          <w:p>
            <w:pPr>
              <w:jc w:val="right"/>
              <w:spacing w:after="0" w:line="174" w:lineRule="exact"/>
              <w:rPr>
                <w:sz w:val="20"/>
                <w:szCs w:val="20"/>
                <w:color w:val="auto"/>
              </w:rPr>
            </w:pPr>
            <w:r>
              <w:rPr>
                <w:rFonts w:ascii="Arial" w:cs="Arial" w:eastAsia="Arial" w:hAnsi="Arial"/>
                <w:sz w:val="16"/>
                <w:szCs w:val="16"/>
                <w:color w:val="auto"/>
              </w:rPr>
              <w:t>n.a</w:t>
            </w:r>
          </w:p>
        </w:tc>
      </w:tr>
      <w:tr>
        <w:trPr>
          <w:trHeight w:val="169"/>
        </w:trPr>
        <w:tc>
          <w:tcPr>
            <w:tcW w:w="508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6"/>
                <w:szCs w:val="16"/>
                <w:color w:val="auto"/>
              </w:rPr>
              <w:t>Other income</w:t>
            </w:r>
          </w:p>
        </w:tc>
        <w:tc>
          <w:tcPr>
            <w:tcW w:w="1100" w:type="dxa"/>
            <w:vAlign w:val="bottom"/>
          </w:tcPr>
          <w:p>
            <w:pPr>
              <w:jc w:val="right"/>
              <w:ind w:right="21"/>
              <w:spacing w:after="0" w:line="169" w:lineRule="exact"/>
              <w:rPr>
                <w:sz w:val="20"/>
                <w:szCs w:val="20"/>
                <w:color w:val="auto"/>
              </w:rPr>
            </w:pPr>
            <w:r>
              <w:rPr>
                <w:rFonts w:ascii="Arial" w:cs="Arial" w:eastAsia="Arial" w:hAnsi="Arial"/>
                <w:sz w:val="16"/>
                <w:szCs w:val="16"/>
                <w:color w:val="auto"/>
              </w:rPr>
              <w:t>6,971</w:t>
            </w:r>
          </w:p>
        </w:tc>
        <w:tc>
          <w:tcPr>
            <w:tcW w:w="1060" w:type="dxa"/>
            <w:vAlign w:val="bottom"/>
          </w:tcPr>
          <w:p>
            <w:pPr>
              <w:jc w:val="right"/>
              <w:ind w:right="81"/>
              <w:spacing w:after="0" w:line="169" w:lineRule="exact"/>
              <w:rPr>
                <w:sz w:val="20"/>
                <w:szCs w:val="20"/>
                <w:color w:val="auto"/>
              </w:rPr>
            </w:pPr>
            <w:r>
              <w:rPr>
                <w:rFonts w:ascii="Arial" w:cs="Arial" w:eastAsia="Arial" w:hAnsi="Arial"/>
                <w:sz w:val="16"/>
                <w:szCs w:val="16"/>
                <w:color w:val="auto"/>
              </w:rPr>
              <w:t>19,287</w:t>
            </w:r>
          </w:p>
        </w:tc>
        <w:tc>
          <w:tcPr>
            <w:tcW w:w="8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8,001</w:t>
            </w:r>
          </w:p>
        </w:tc>
        <w:tc>
          <w:tcPr>
            <w:tcW w:w="1180" w:type="dxa"/>
            <w:vAlign w:val="bottom"/>
          </w:tcPr>
          <w:p>
            <w:pPr>
              <w:jc w:val="right"/>
              <w:ind w:right="101"/>
              <w:spacing w:after="0" w:line="169" w:lineRule="exact"/>
              <w:rPr>
                <w:sz w:val="20"/>
                <w:szCs w:val="20"/>
                <w:color w:val="auto"/>
              </w:rPr>
            </w:pPr>
            <w:r>
              <w:rPr>
                <w:rFonts w:ascii="Arial" w:cs="Arial" w:eastAsia="Arial" w:hAnsi="Arial"/>
                <w:sz w:val="16"/>
                <w:szCs w:val="16"/>
                <w:color w:val="auto"/>
              </w:rPr>
              <w:t>-58.5%</w:t>
            </w:r>
          </w:p>
        </w:tc>
        <w:tc>
          <w:tcPr>
            <w:tcW w:w="86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14.8%</w:t>
            </w:r>
          </w:p>
        </w:tc>
      </w:tr>
      <w:tr>
        <w:trPr>
          <w:trHeight w:val="198"/>
        </w:trPr>
        <w:tc>
          <w:tcPr>
            <w:tcW w:w="5080" w:type="dxa"/>
            <w:vAlign w:val="bottom"/>
            <w:tcBorders>
              <w:left w:val="single" w:sz="8" w:color="auto"/>
              <w:bottom w:val="single" w:sz="8" w:color="auto"/>
              <w:right w:val="single" w:sz="8" w:color="auto"/>
            </w:tcBorders>
          </w:tcPr>
          <w:p>
            <w:pPr>
              <w:ind w:left="20"/>
              <w:spacing w:after="0" w:line="197"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2"/>
                <w:szCs w:val="22"/>
                <w:color w:val="auto"/>
                <w:vertAlign w:val="superscript"/>
              </w:rPr>
              <w:t>(1)</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-156,685</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-189,766</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-162,258</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-14.5%</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75"/>
        </w:trPr>
        <w:tc>
          <w:tcPr>
            <w:tcW w:w="508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Operating income</w:t>
            </w:r>
          </w:p>
        </w:tc>
        <w:tc>
          <w:tcPr>
            <w:tcW w:w="1100" w:type="dxa"/>
            <w:vAlign w:val="bottom"/>
            <w:tcBorders>
              <w:bottom w:val="single" w:sz="8" w:color="auto"/>
            </w:tcBorders>
          </w:tcPr>
          <w:p>
            <w:pPr>
              <w:jc w:val="right"/>
              <w:ind w:right="21"/>
              <w:spacing w:after="0" w:line="174" w:lineRule="exact"/>
              <w:rPr>
                <w:sz w:val="20"/>
                <w:szCs w:val="20"/>
                <w:color w:val="auto"/>
              </w:rPr>
            </w:pPr>
            <w:r>
              <w:rPr>
                <w:rFonts w:ascii="Arial" w:cs="Arial" w:eastAsia="Arial" w:hAnsi="Arial"/>
                <w:sz w:val="16"/>
                <w:szCs w:val="16"/>
                <w:b w:val="1"/>
                <w:bCs w:val="1"/>
                <w:color w:val="auto"/>
              </w:rPr>
              <w:t>44,467</w:t>
            </w:r>
          </w:p>
        </w:tc>
        <w:tc>
          <w:tcPr>
            <w:tcW w:w="10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9,211</w:t>
            </w:r>
          </w:p>
        </w:tc>
        <w:tc>
          <w:tcPr>
            <w:tcW w:w="8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37,079</w:t>
            </w:r>
          </w:p>
        </w:tc>
        <w:tc>
          <w:tcPr>
            <w:tcW w:w="118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302.6%</w:t>
            </w:r>
          </w:p>
        </w:tc>
        <w:tc>
          <w:tcPr>
            <w:tcW w:w="8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-16.6%</w:t>
            </w:r>
          </w:p>
        </w:tc>
      </w:tr>
      <w:tr>
        <w:trPr>
          <w:trHeight w:val="154"/>
        </w:trPr>
        <w:tc>
          <w:tcPr>
            <w:tcW w:w="508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Income taxes</w:t>
            </w:r>
          </w:p>
        </w:tc>
        <w:tc>
          <w:tcPr>
            <w:tcW w:w="1100" w:type="dxa"/>
            <w:vAlign w:val="bottom"/>
          </w:tcPr>
          <w:p>
            <w:pPr>
              <w:jc w:val="right"/>
              <w:ind w:right="21"/>
              <w:spacing w:after="0" w:line="155" w:lineRule="exact"/>
              <w:rPr>
                <w:sz w:val="20"/>
                <w:szCs w:val="20"/>
                <w:color w:val="auto"/>
              </w:rPr>
            </w:pPr>
            <w:r>
              <w:rPr>
                <w:rFonts w:ascii="Arial" w:cs="Arial" w:eastAsia="Arial" w:hAnsi="Arial"/>
                <w:sz w:val="16"/>
                <w:szCs w:val="16"/>
                <w:color w:val="auto"/>
              </w:rPr>
              <w:t>-7,137</w:t>
            </w:r>
          </w:p>
        </w:tc>
        <w:tc>
          <w:tcPr>
            <w:tcW w:w="1060" w:type="dxa"/>
            <w:vAlign w:val="bottom"/>
          </w:tcPr>
          <w:p>
            <w:pPr>
              <w:jc w:val="right"/>
              <w:ind w:right="81"/>
              <w:spacing w:after="0" w:line="155" w:lineRule="exact"/>
              <w:rPr>
                <w:sz w:val="20"/>
                <w:szCs w:val="20"/>
                <w:color w:val="auto"/>
              </w:rPr>
            </w:pPr>
            <w:r>
              <w:rPr>
                <w:rFonts w:ascii="Arial" w:cs="Arial" w:eastAsia="Arial" w:hAnsi="Arial"/>
                <w:sz w:val="16"/>
                <w:szCs w:val="16"/>
                <w:color w:val="auto"/>
              </w:rPr>
              <w:t>347</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-1,548</w:t>
            </w:r>
          </w:p>
        </w:tc>
        <w:tc>
          <w:tcPr>
            <w:tcW w:w="1180" w:type="dxa"/>
            <w:vAlign w:val="bottom"/>
          </w:tcPr>
          <w:p>
            <w:pPr>
              <w:jc w:val="right"/>
              <w:ind w:right="101"/>
              <w:spacing w:after="0" w:line="155" w:lineRule="exact"/>
              <w:rPr>
                <w:sz w:val="20"/>
                <w:szCs w:val="20"/>
                <w:color w:val="auto"/>
              </w:rPr>
            </w:pPr>
            <w:r>
              <w:rPr>
                <w:rFonts w:ascii="Arial" w:cs="Arial" w:eastAsia="Arial" w:hAnsi="Arial"/>
                <w:sz w:val="16"/>
                <w:szCs w:val="16"/>
                <w:color w:val="auto"/>
              </w:rPr>
              <w:t>n.a</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-78.3%</w:t>
            </w:r>
          </w:p>
        </w:tc>
      </w:tr>
      <w:tr>
        <w:trPr>
          <w:trHeight w:val="194"/>
        </w:trPr>
        <w:tc>
          <w:tcPr>
            <w:tcW w:w="5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629</w:t>
            </w: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923</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1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-18.0%</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175"/>
        </w:trPr>
        <w:tc>
          <w:tcPr>
            <w:tcW w:w="508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6"/>
                <w:szCs w:val="16"/>
                <w:b w:val="1"/>
                <w:bCs w:val="1"/>
                <w:color w:val="auto"/>
              </w:rPr>
              <w:t>Net income</w:t>
            </w:r>
          </w:p>
        </w:tc>
        <w:tc>
          <w:tcPr>
            <w:tcW w:w="1100" w:type="dxa"/>
            <w:vAlign w:val="bottom"/>
            <w:tcBorders>
              <w:bottom w:val="single" w:sz="8" w:color="auto"/>
            </w:tcBorders>
          </w:tcPr>
          <w:p>
            <w:pPr>
              <w:jc w:val="right"/>
              <w:ind w:right="21"/>
              <w:spacing w:after="0" w:line="174" w:lineRule="exact"/>
              <w:rPr>
                <w:sz w:val="20"/>
                <w:szCs w:val="20"/>
                <w:color w:val="auto"/>
              </w:rPr>
            </w:pPr>
            <w:r>
              <w:rPr>
                <w:rFonts w:ascii="Arial" w:cs="Arial" w:eastAsia="Arial" w:hAnsi="Arial"/>
                <w:sz w:val="16"/>
                <w:szCs w:val="16"/>
                <w:b w:val="1"/>
                <w:bCs w:val="1"/>
                <w:color w:val="auto"/>
              </w:rPr>
              <w:t>36,701</w:t>
            </w:r>
          </w:p>
        </w:tc>
        <w:tc>
          <w:tcPr>
            <w:tcW w:w="1060" w:type="dxa"/>
            <w:vAlign w:val="bottom"/>
            <w:tcBorders>
              <w:bottom w:val="single" w:sz="8" w:color="auto"/>
            </w:tcBorders>
          </w:tcPr>
          <w:p>
            <w:pPr>
              <w:jc w:val="right"/>
              <w:ind w:right="81"/>
              <w:spacing w:after="0" w:line="174" w:lineRule="exact"/>
              <w:rPr>
                <w:sz w:val="20"/>
                <w:szCs w:val="20"/>
                <w:color w:val="auto"/>
              </w:rPr>
            </w:pPr>
            <w:r>
              <w:rPr>
                <w:rFonts w:ascii="Arial" w:cs="Arial" w:eastAsia="Arial" w:hAnsi="Arial"/>
                <w:sz w:val="16"/>
                <w:szCs w:val="16"/>
                <w:b w:val="1"/>
                <w:bCs w:val="1"/>
                <w:color w:val="auto"/>
              </w:rPr>
              <w:t>8,635</w:t>
            </w:r>
          </w:p>
        </w:tc>
        <w:tc>
          <w:tcPr>
            <w:tcW w:w="8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34,774</w:t>
            </w:r>
          </w:p>
        </w:tc>
        <w:tc>
          <w:tcPr>
            <w:tcW w:w="1180" w:type="dxa"/>
            <w:vAlign w:val="bottom"/>
            <w:tcBorders>
              <w:bottom w:val="single" w:sz="8" w:color="auto"/>
            </w:tcBorders>
          </w:tcPr>
          <w:p>
            <w:pPr>
              <w:jc w:val="right"/>
              <w:ind w:right="101"/>
              <w:spacing w:after="0" w:line="174" w:lineRule="exact"/>
              <w:rPr>
                <w:sz w:val="20"/>
                <w:szCs w:val="20"/>
                <w:color w:val="auto"/>
              </w:rPr>
            </w:pPr>
            <w:r>
              <w:rPr>
                <w:rFonts w:ascii="Arial" w:cs="Arial" w:eastAsia="Arial" w:hAnsi="Arial"/>
                <w:sz w:val="16"/>
                <w:szCs w:val="16"/>
                <w:b w:val="1"/>
                <w:bCs w:val="1"/>
                <w:color w:val="auto"/>
              </w:rPr>
              <w:t>302.7%</w:t>
            </w:r>
          </w:p>
        </w:tc>
        <w:tc>
          <w:tcPr>
            <w:tcW w:w="860" w:type="dxa"/>
            <w:vAlign w:val="bottom"/>
            <w:tcBorders>
              <w:bottom w:val="single" w:sz="8" w:color="auto"/>
              <w:right w:val="single" w:sz="8" w:color="auto"/>
            </w:tcBorders>
          </w:tcPr>
          <w:p>
            <w:pPr>
              <w:jc w:val="right"/>
              <w:spacing w:after="0" w:line="174" w:lineRule="exact"/>
              <w:rPr>
                <w:sz w:val="20"/>
                <w:szCs w:val="20"/>
                <w:color w:val="auto"/>
              </w:rPr>
            </w:pPr>
            <w:r>
              <w:rPr>
                <w:rFonts w:ascii="Arial" w:cs="Arial" w:eastAsia="Arial" w:hAnsi="Arial"/>
                <w:sz w:val="16"/>
                <w:szCs w:val="16"/>
                <w:b w:val="1"/>
                <w:bCs w:val="1"/>
                <w:color w:val="auto"/>
              </w:rPr>
              <w:t>-5.3%</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Includes: Salaries and employee’s benefits + Administrative expenses + Assigned expenses + Depreciation and amortization + Tax and contributions + Other expenses.</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60"/>
        </w:trPr>
        <w:tc>
          <w:tcPr>
            <w:tcW w:w="6780" w:type="dxa"/>
            <w:vAlign w:val="bottom"/>
            <w:shd w:val="clear" w:color="auto" w:fill="000000"/>
          </w:tcPr>
          <w:p>
            <w:pPr>
              <w:ind w:left="3860"/>
              <w:spacing w:after="0"/>
              <w:rPr>
                <w:sz w:val="20"/>
                <w:szCs w:val="20"/>
                <w:color w:val="auto"/>
              </w:rPr>
            </w:pPr>
            <w:r>
              <w:rPr>
                <w:rFonts w:ascii="Arial" w:cs="Arial" w:eastAsia="Arial" w:hAnsi="Arial"/>
                <w:sz w:val="14"/>
                <w:szCs w:val="14"/>
                <w:b w:val="1"/>
                <w:bCs w:val="1"/>
                <w:color w:val="D4D4D4"/>
              </w:rPr>
              <w:t>Earnings Release 1Q / 2022</w:t>
            </w:r>
          </w:p>
        </w:tc>
        <w:tc>
          <w:tcPr>
            <w:tcW w:w="4500" w:type="dxa"/>
            <w:vAlign w:val="bottom"/>
            <w:shd w:val="clear" w:color="auto" w:fill="000000"/>
          </w:tcPr>
          <w:p>
            <w:pPr>
              <w:ind w:left="1560"/>
              <w:spacing w:after="0"/>
              <w:rPr>
                <w:sz w:val="20"/>
                <w:szCs w:val="20"/>
                <w:color w:val="auto"/>
              </w:rPr>
            </w:pPr>
            <w:r>
              <w:rPr>
                <w:rFonts w:ascii="Arial" w:cs="Arial" w:eastAsia="Arial" w:hAnsi="Arial"/>
                <w:sz w:val="16"/>
                <w:szCs w:val="16"/>
                <w:b w:val="1"/>
                <w:bCs w:val="1"/>
                <w:color w:val="E93CAC"/>
                <w:w w:val="98"/>
              </w:rPr>
              <w:t>Analysis of 1Q22 Consolidated Results</w:t>
            </w:r>
          </w:p>
        </w:tc>
      </w:tr>
      <w:tr>
        <w:trPr>
          <w:trHeight w:val="97"/>
        </w:trPr>
        <w:tc>
          <w:tcPr>
            <w:tcW w:w="6780" w:type="dxa"/>
            <w:vAlign w:val="bottom"/>
            <w:shd w:val="clear" w:color="auto" w:fill="000000"/>
          </w:tcPr>
          <w:p>
            <w:pPr>
              <w:spacing w:after="0"/>
              <w:rPr>
                <w:sz w:val="8"/>
                <w:szCs w:val="8"/>
                <w:color w:val="auto"/>
              </w:rPr>
            </w:pPr>
          </w:p>
        </w:tc>
        <w:tc>
          <w:tcPr>
            <w:tcW w:w="450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1093470" cy="2266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093470" cy="2266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7159625" cy="165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12.6.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1263015</wp:posOffset>
            </wp:positionH>
            <wp:positionV relativeFrom="paragraph">
              <wp:posOffset>13335</wp:posOffset>
            </wp:positionV>
            <wp:extent cx="4649470" cy="4580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649470" cy="458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40" w:hanging="133"/>
        <w:spacing w:after="0"/>
        <w:tabs>
          <w:tab w:leader="none" w:pos="1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Averages are determined as the average of period-beginning and period-ending balances.</w:t>
      </w:r>
    </w:p>
    <w:p>
      <w:pPr>
        <w:spacing w:after="0" w:line="1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total deposits, due to banks and correspondents, BCRP instruments, repurchase agreements and bonds and notes issued.</w:t>
      </w:r>
    </w:p>
    <w:p>
      <w:pPr>
        <w:spacing w:after="0" w:line="4" w:lineRule="exact"/>
        <w:rPr>
          <w:rFonts w:ascii="Times New Roman" w:cs="Times New Roman" w:eastAsia="Times New Roman" w:hAnsi="Times New Roman"/>
          <w:sz w:val="9"/>
          <w:szCs w:val="9"/>
          <w:color w:val="auto"/>
        </w:rPr>
      </w:pPr>
    </w:p>
    <w:p>
      <w:pPr>
        <w:ind w:left="140" w:hanging="133"/>
        <w:spacing w:after="0"/>
        <w:tabs>
          <w:tab w:leader="none" w:pos="1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Does not include Life insurance business.</w:t>
      </w:r>
    </w:p>
    <w:p>
      <w:pPr>
        <w:spacing w:after="0" w:line="4" w:lineRule="exact"/>
        <w:rPr>
          <w:rFonts w:ascii="Times New Roman" w:cs="Times New Roman" w:eastAsia="Times New Roman" w:hAnsi="Times New Roman"/>
          <w:sz w:val="9"/>
          <w:szCs w:val="9"/>
          <w:color w:val="auto"/>
        </w:rPr>
      </w:pPr>
    </w:p>
    <w:p>
      <w:pPr>
        <w:ind w:right="80" w:firstLine="7"/>
        <w:spacing w:after="0" w:line="251" w:lineRule="auto"/>
        <w:tabs>
          <w:tab w:leader="none" w:pos="133"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40" w:hanging="133"/>
        <w:spacing w:after="0"/>
        <w:tabs>
          <w:tab w:leader="none" w:pos="140"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Includes investment in subsidiaries, goodwill, intangibles and deferred tax that rely on future profitability.</w:t>
      </w: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59625"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70" w:name="page71"/>
    <w:bookmarkEnd w:id="70"/>
    <w:p>
      <w:pPr>
        <w:jc w:val="right"/>
        <w:spacing w:after="0"/>
        <w:tabs>
          <w:tab w:leader="none" w:pos="2920" w:val="left"/>
        </w:tabs>
        <w:rPr>
          <w:sz w:val="20"/>
          <w:szCs w:val="20"/>
          <w:color w:val="auto"/>
        </w:rPr>
      </w:pPr>
      <w:r>
        <w:rPr>
          <w:rFonts w:ascii="Arial" w:cs="Arial" w:eastAsia="Arial" w:hAnsi="Arial"/>
          <w:sz w:val="14"/>
          <w:szCs w:val="14"/>
          <w:b w:val="1"/>
          <w:bCs w:val="1"/>
          <w:color w:val="D4D4D4"/>
        </w:rPr>
        <w:drawing>
          <wp:anchor simplePos="0" relativeHeight="251657728" behindDoc="1" locked="0" layoutInCell="0" allowOverlap="1">
            <wp:simplePos x="0" y="0"/>
            <wp:positionH relativeFrom="page">
              <wp:posOffset>194945</wp:posOffset>
            </wp:positionH>
            <wp:positionV relativeFrom="page">
              <wp:posOffset>88900</wp:posOffset>
            </wp:positionV>
            <wp:extent cx="7159625" cy="2266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9625" cy="226695"/>
                    </a:xfrm>
                    <a:prstGeom prst="rect">
                      <a:avLst/>
                    </a:prstGeom>
                    <a:noFill/>
                  </pic:spPr>
                </pic:pic>
              </a:graphicData>
            </a:graphic>
          </wp:anchor>
        </w:drawing>
        <w:t>Earnings Release 1Q / 2022</w:t>
      </w:r>
      <w:r>
        <w:rPr>
          <w:sz w:val="20"/>
          <w:szCs w:val="20"/>
          <w:color w:val="auto"/>
        </w:rPr>
        <w:tab/>
      </w:r>
      <w:r>
        <w:rPr>
          <w:rFonts w:ascii="Arial" w:cs="Arial" w:eastAsia="Arial" w:hAnsi="Arial"/>
          <w:sz w:val="15"/>
          <w:szCs w:val="15"/>
          <w:b w:val="1"/>
          <w:bCs w:val="1"/>
          <w:color w:val="E93CAC"/>
        </w:rPr>
        <w:t>Analysis of 1Q22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59625" cy="165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9625" cy="165100"/>
                    </a:xfrm>
                    <a:prstGeom prst="rect">
                      <a:avLst/>
                    </a:prstGeom>
                    <a:noFill/>
                  </pic:spPr>
                </pic:pic>
              </a:graphicData>
            </a:graphic>
          </wp:anchor>
        </w:drawing>
      </w:r>
    </w:p>
    <w:p>
      <w:pPr>
        <w:spacing w:after="0" w:line="2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12. Appendix</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12.7. Glossary of terms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540" w:type="dxa"/>
            <w:vAlign w:val="bottom"/>
            <w:tcBorders>
              <w:top w:val="single" w:sz="8" w:color="auto"/>
              <w:left w:val="single" w:sz="8" w:color="auto"/>
              <w:bottom w:val="single" w:sz="8" w:color="auto"/>
              <w:right w:val="single" w:sz="8" w:color="auto"/>
            </w:tcBorders>
            <w:shd w:val="clear" w:color="auto" w:fill="2AD2C9"/>
          </w:tcPr>
          <w:p>
            <w:pPr>
              <w:ind w:left="2060"/>
              <w:spacing w:after="0"/>
              <w:rPr>
                <w:sz w:val="20"/>
                <w:szCs w:val="20"/>
                <w:color w:val="auto"/>
              </w:rPr>
            </w:pPr>
            <w:r>
              <w:rPr>
                <w:rFonts w:ascii="Arial" w:cs="Arial" w:eastAsia="Arial" w:hAnsi="Arial"/>
                <w:sz w:val="14"/>
                <w:szCs w:val="14"/>
                <w:b w:val="1"/>
                <w:bCs w:val="1"/>
                <w:color w:val="FFFFFF"/>
              </w:rPr>
              <w:t>Term</w:t>
            </w:r>
          </w:p>
        </w:tc>
        <w:tc>
          <w:tcPr>
            <w:tcW w:w="6740" w:type="dxa"/>
            <w:vAlign w:val="bottom"/>
            <w:tcBorders>
              <w:top w:val="single" w:sz="8" w:color="auto"/>
              <w:bottom w:val="single" w:sz="8" w:color="auto"/>
              <w:right w:val="single" w:sz="8" w:color="auto"/>
            </w:tcBorders>
            <w:shd w:val="clear" w:color="auto" w:fill="2AD2C9"/>
          </w:tcPr>
          <w:p>
            <w:pPr>
              <w:ind w:left="3020"/>
              <w:spacing w:after="0"/>
              <w:rPr>
                <w:sz w:val="20"/>
                <w:szCs w:val="20"/>
                <w:color w:val="auto"/>
              </w:rPr>
            </w:pPr>
            <w:r>
              <w:rPr>
                <w:rFonts w:ascii="Arial" w:cs="Arial" w:eastAsia="Arial" w:hAnsi="Arial"/>
                <w:sz w:val="14"/>
                <w:szCs w:val="14"/>
                <w:b w:val="1"/>
                <w:bCs w:val="1"/>
                <w:color w:val="FFFFFF"/>
              </w:rPr>
              <w:t>Definition</w:t>
            </w: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Government Program Loans ("GP" or "GP Loans")</w:t>
            </w:r>
          </w:p>
        </w:tc>
        <w:tc>
          <w:tcPr>
            <w:tcW w:w="674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Loan Portfolio related to Reactiva Peru and FAE-Mype programs to respond quickly and effectively to</w:t>
            </w:r>
          </w:p>
        </w:tc>
        <w:tc>
          <w:tcPr>
            <w:tcW w:w="0" w:type="dxa"/>
            <w:vAlign w:val="bottom"/>
          </w:tcPr>
          <w:p>
            <w:pPr>
              <w:spacing w:after="0"/>
              <w:rPr>
                <w:sz w:val="1"/>
                <w:szCs w:val="1"/>
                <w:color w:val="auto"/>
              </w:rPr>
            </w:pPr>
          </w:p>
        </w:tc>
      </w:tr>
      <w:tr>
        <w:trPr>
          <w:trHeight w:val="112"/>
        </w:trPr>
        <w:tc>
          <w:tcPr>
            <w:tcW w:w="4540" w:type="dxa"/>
            <w:vAlign w:val="bottom"/>
            <w:tcBorders>
              <w:left w:val="single" w:sz="8" w:color="auto"/>
              <w:right w:val="single" w:sz="8" w:color="auto"/>
            </w:tcBorders>
            <w:vMerge w:val="continue"/>
          </w:tcPr>
          <w:p>
            <w:pPr>
              <w:spacing w:after="0"/>
              <w:rPr>
                <w:sz w:val="9"/>
                <w:szCs w:val="9"/>
                <w:color w:val="auto"/>
              </w:rPr>
            </w:pPr>
          </w:p>
        </w:tc>
        <w:tc>
          <w:tcPr>
            <w:tcW w:w="67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liquidity needs and maintain the payment chain.</w:t>
            </w:r>
          </w:p>
        </w:tc>
        <w:tc>
          <w:tcPr>
            <w:tcW w:w="0" w:type="dxa"/>
            <w:vAlign w:val="bottom"/>
          </w:tcPr>
          <w:p>
            <w:pPr>
              <w:spacing w:after="0"/>
              <w:rPr>
                <w:sz w:val="1"/>
                <w:szCs w:val="1"/>
                <w:color w:val="auto"/>
              </w:rPr>
            </w:pPr>
          </w:p>
        </w:tc>
      </w:tr>
      <w:tr>
        <w:trPr>
          <w:trHeight w:val="67"/>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6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Structural Loans</w:t>
            </w: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Loan Portfolio excluding GP Loans.</w:t>
            </w: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Non-Recurring Events at Interest Income</w:t>
            </w:r>
          </w:p>
        </w:tc>
        <w:tc>
          <w:tcPr>
            <w:tcW w:w="674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Impairment charge (related to the government facility that allowed for deferment of certain installments at</w:t>
            </w:r>
          </w:p>
        </w:tc>
        <w:tc>
          <w:tcPr>
            <w:tcW w:w="0" w:type="dxa"/>
            <w:vAlign w:val="bottom"/>
          </w:tcPr>
          <w:p>
            <w:pPr>
              <w:spacing w:after="0"/>
              <w:rPr>
                <w:sz w:val="1"/>
                <w:szCs w:val="1"/>
                <w:color w:val="auto"/>
              </w:rPr>
            </w:pPr>
          </w:p>
        </w:tc>
      </w:tr>
      <w:tr>
        <w:trPr>
          <w:trHeight w:val="112"/>
        </w:trPr>
        <w:tc>
          <w:tcPr>
            <w:tcW w:w="4540" w:type="dxa"/>
            <w:vAlign w:val="bottom"/>
            <w:tcBorders>
              <w:left w:val="single" w:sz="8" w:color="auto"/>
              <w:right w:val="single" w:sz="8" w:color="auto"/>
            </w:tcBorders>
            <w:vMerge w:val="continue"/>
          </w:tcPr>
          <w:p>
            <w:pPr>
              <w:spacing w:after="0"/>
              <w:rPr>
                <w:sz w:val="9"/>
                <w:szCs w:val="9"/>
                <w:color w:val="auto"/>
              </w:rPr>
            </w:pPr>
          </w:p>
        </w:tc>
        <w:tc>
          <w:tcPr>
            <w:tcW w:w="67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zero cost) and subsequent amortization thereof.</w:t>
            </w:r>
          </w:p>
        </w:tc>
        <w:tc>
          <w:tcPr>
            <w:tcW w:w="0" w:type="dxa"/>
            <w:vAlign w:val="bottom"/>
          </w:tcPr>
          <w:p>
            <w:pPr>
              <w:spacing w:after="0"/>
              <w:rPr>
                <w:sz w:val="1"/>
                <w:szCs w:val="1"/>
                <w:color w:val="auto"/>
              </w:rPr>
            </w:pPr>
          </w:p>
        </w:tc>
      </w:tr>
      <w:tr>
        <w:trPr>
          <w:trHeight w:val="67"/>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6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Non-Recurring Events at Interest Expenses</w:t>
            </w: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Charges related to the liability management operation at BCP Stand-alone (3Q20 and 1Q21).</w:t>
            </w: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Structural Cost of Risk</w:t>
            </w:r>
          </w:p>
        </w:tc>
        <w:tc>
          <w:tcPr>
            <w:tcW w:w="674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Cost of Risk related to the Structural Loans. It excludes, in the numerator, provisions for credit losses on</w:t>
            </w:r>
          </w:p>
        </w:tc>
        <w:tc>
          <w:tcPr>
            <w:tcW w:w="0" w:type="dxa"/>
            <w:vAlign w:val="bottom"/>
          </w:tcPr>
          <w:p>
            <w:pPr>
              <w:spacing w:after="0"/>
              <w:rPr>
                <w:sz w:val="1"/>
                <w:szCs w:val="1"/>
                <w:color w:val="auto"/>
              </w:rPr>
            </w:pPr>
          </w:p>
        </w:tc>
      </w:tr>
      <w:tr>
        <w:trPr>
          <w:trHeight w:val="112"/>
        </w:trPr>
        <w:tc>
          <w:tcPr>
            <w:tcW w:w="4540" w:type="dxa"/>
            <w:vAlign w:val="bottom"/>
            <w:tcBorders>
              <w:left w:val="single" w:sz="8" w:color="auto"/>
              <w:right w:val="single" w:sz="8" w:color="auto"/>
            </w:tcBorders>
            <w:vMerge w:val="continue"/>
          </w:tcPr>
          <w:p>
            <w:pPr>
              <w:spacing w:after="0"/>
              <w:rPr>
                <w:sz w:val="9"/>
                <w:szCs w:val="9"/>
                <w:color w:val="auto"/>
              </w:rPr>
            </w:pPr>
          </w:p>
        </w:tc>
        <w:tc>
          <w:tcPr>
            <w:tcW w:w="67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GP loans, and in the denominator, the total amount of GP Loans.</w:t>
            </w:r>
          </w:p>
        </w:tc>
        <w:tc>
          <w:tcPr>
            <w:tcW w:w="0" w:type="dxa"/>
            <w:vAlign w:val="bottom"/>
          </w:tcPr>
          <w:p>
            <w:pPr>
              <w:spacing w:after="0"/>
              <w:rPr>
                <w:sz w:val="1"/>
                <w:szCs w:val="1"/>
                <w:color w:val="auto"/>
              </w:rPr>
            </w:pPr>
          </w:p>
        </w:tc>
      </w:tr>
      <w:tr>
        <w:trPr>
          <w:trHeight w:val="67"/>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6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Structural NPL ratio</w:t>
            </w:r>
          </w:p>
        </w:tc>
        <w:tc>
          <w:tcPr>
            <w:tcW w:w="6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NPL Ratio related to Structural Loans. It excludes the impact of GP Loans.</w:t>
            </w: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Structural NIM</w:t>
            </w:r>
          </w:p>
        </w:tc>
        <w:tc>
          <w:tcPr>
            <w:tcW w:w="674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NIM related to Structural Loans and Other Interest Earning Assets. It deducts the impact of GP Loans</w:t>
            </w:r>
          </w:p>
        </w:tc>
        <w:tc>
          <w:tcPr>
            <w:tcW w:w="0" w:type="dxa"/>
            <w:vAlign w:val="bottom"/>
          </w:tcPr>
          <w:p>
            <w:pPr>
              <w:spacing w:after="0"/>
              <w:rPr>
                <w:sz w:val="1"/>
                <w:szCs w:val="1"/>
                <w:color w:val="auto"/>
              </w:rPr>
            </w:pPr>
          </w:p>
        </w:tc>
      </w:tr>
      <w:tr>
        <w:trPr>
          <w:trHeight w:val="112"/>
        </w:trPr>
        <w:tc>
          <w:tcPr>
            <w:tcW w:w="4540" w:type="dxa"/>
            <w:vAlign w:val="bottom"/>
            <w:tcBorders>
              <w:left w:val="single" w:sz="8" w:color="auto"/>
              <w:right w:val="single" w:sz="8" w:color="auto"/>
            </w:tcBorders>
            <w:vMerge w:val="continue"/>
          </w:tcPr>
          <w:p>
            <w:pPr>
              <w:spacing w:after="0"/>
              <w:rPr>
                <w:sz w:val="9"/>
                <w:szCs w:val="9"/>
                <w:color w:val="auto"/>
              </w:rPr>
            </w:pPr>
          </w:p>
        </w:tc>
        <w:tc>
          <w:tcPr>
            <w:tcW w:w="67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and Non-recurring Events from Interest Income and Interest Expenses.</w:t>
            </w:r>
          </w:p>
        </w:tc>
        <w:tc>
          <w:tcPr>
            <w:tcW w:w="0" w:type="dxa"/>
            <w:vAlign w:val="bottom"/>
          </w:tcPr>
          <w:p>
            <w:pPr>
              <w:spacing w:after="0"/>
              <w:rPr>
                <w:sz w:val="1"/>
                <w:szCs w:val="1"/>
                <w:color w:val="auto"/>
              </w:rPr>
            </w:pPr>
          </w:p>
        </w:tc>
      </w:tr>
      <w:tr>
        <w:trPr>
          <w:trHeight w:val="67"/>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6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Structural Funding Cost</w:t>
            </w:r>
          </w:p>
        </w:tc>
        <w:tc>
          <w:tcPr>
            <w:tcW w:w="6740" w:type="dxa"/>
            <w:vAlign w:val="bottom"/>
            <w:tcBorders>
              <w:right w:val="single" w:sz="8" w:color="auto"/>
            </w:tcBorders>
          </w:tcPr>
          <w:p>
            <w:pPr>
              <w:spacing w:after="0" w:line="148" w:lineRule="exact"/>
              <w:rPr>
                <w:sz w:val="20"/>
                <w:szCs w:val="20"/>
                <w:color w:val="auto"/>
              </w:rPr>
            </w:pPr>
            <w:r>
              <w:rPr>
                <w:rFonts w:ascii="Arial" w:cs="Arial" w:eastAsia="Arial" w:hAnsi="Arial"/>
                <w:sz w:val="14"/>
                <w:szCs w:val="14"/>
                <w:color w:val="auto"/>
              </w:rPr>
              <w:t>Funding Cost deducting the impact in expenses and funding related to GP Loans and deducting Non-</w:t>
            </w:r>
          </w:p>
        </w:tc>
        <w:tc>
          <w:tcPr>
            <w:tcW w:w="0" w:type="dxa"/>
            <w:vAlign w:val="bottom"/>
          </w:tcPr>
          <w:p>
            <w:pPr>
              <w:spacing w:after="0"/>
              <w:rPr>
                <w:sz w:val="1"/>
                <w:szCs w:val="1"/>
                <w:color w:val="auto"/>
              </w:rPr>
            </w:pPr>
          </w:p>
        </w:tc>
      </w:tr>
      <w:tr>
        <w:trPr>
          <w:trHeight w:val="112"/>
        </w:trPr>
        <w:tc>
          <w:tcPr>
            <w:tcW w:w="4540" w:type="dxa"/>
            <w:vAlign w:val="bottom"/>
            <w:tcBorders>
              <w:left w:val="single" w:sz="8" w:color="auto"/>
              <w:right w:val="single" w:sz="8" w:color="auto"/>
            </w:tcBorders>
            <w:vMerge w:val="continue"/>
          </w:tcPr>
          <w:p>
            <w:pPr>
              <w:spacing w:after="0"/>
              <w:rPr>
                <w:sz w:val="9"/>
                <w:szCs w:val="9"/>
                <w:color w:val="auto"/>
              </w:rPr>
            </w:pPr>
          </w:p>
        </w:tc>
        <w:tc>
          <w:tcPr>
            <w:tcW w:w="67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recurring Events from Interest Expenses</w:t>
            </w:r>
          </w:p>
        </w:tc>
        <w:tc>
          <w:tcPr>
            <w:tcW w:w="0" w:type="dxa"/>
            <w:vAlign w:val="bottom"/>
          </w:tcPr>
          <w:p>
            <w:pPr>
              <w:spacing w:after="0"/>
              <w:rPr>
                <w:sz w:val="1"/>
                <w:szCs w:val="1"/>
                <w:color w:val="auto"/>
              </w:rPr>
            </w:pPr>
          </w:p>
        </w:tc>
      </w:tr>
      <w:tr>
        <w:trPr>
          <w:trHeight w:val="67"/>
        </w:trPr>
        <w:tc>
          <w:tcPr>
            <w:tcW w:w="4540" w:type="dxa"/>
            <w:vAlign w:val="bottom"/>
            <w:tcBorders>
              <w:left w:val="single" w:sz="8" w:color="auto"/>
              <w:bottom w:val="single" w:sz="8" w:color="auto"/>
              <w:right w:val="single" w:sz="8" w:color="auto"/>
            </w:tcBorders>
          </w:tcPr>
          <w:p>
            <w:pPr>
              <w:spacing w:after="0"/>
              <w:rPr>
                <w:sz w:val="5"/>
                <w:szCs w:val="5"/>
                <w:color w:val="auto"/>
              </w:rPr>
            </w:pPr>
          </w:p>
        </w:tc>
        <w:tc>
          <w:tcPr>
            <w:tcW w:w="67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1"/>
        </w:trPr>
        <w:tc>
          <w:tcPr>
            <w:tcW w:w="4540" w:type="dxa"/>
            <w:vAlign w:val="bottom"/>
          </w:tcPr>
          <w:p>
            <w:pPr>
              <w:spacing w:after="0"/>
              <w:rPr>
                <w:sz w:val="24"/>
                <w:szCs w:val="24"/>
                <w:color w:val="auto"/>
              </w:rPr>
            </w:pPr>
          </w:p>
        </w:tc>
        <w:tc>
          <w:tcPr>
            <w:tcW w:w="6740" w:type="dxa"/>
            <w:vAlign w:val="bottom"/>
          </w:tcPr>
          <w:p>
            <w:pPr>
              <w:ind w:left="6620"/>
              <w:spacing w:after="0"/>
              <w:rPr>
                <w:sz w:val="20"/>
                <w:szCs w:val="20"/>
                <w:color w:val="auto"/>
              </w:rPr>
            </w:pPr>
            <w:r>
              <w:rPr>
                <w:rFonts w:ascii="Times New Roman" w:cs="Times New Roman" w:eastAsia="Times New Roman" w:hAnsi="Times New Roman"/>
                <w:sz w:val="10"/>
                <w:szCs w:val="10"/>
                <w:color w:val="auto"/>
                <w:w w:val="79"/>
              </w:rPr>
              <w:t>69</w:t>
            </w:r>
          </w:p>
        </w:tc>
        <w:tc>
          <w:tcPr>
            <w:tcW w:w="0" w:type="dxa"/>
            <w:vAlign w:val="bottom"/>
          </w:tcPr>
          <w:p>
            <w:pPr>
              <w:spacing w:after="0"/>
              <w:rPr>
                <w:sz w:val="1"/>
                <w:szCs w:val="1"/>
                <w:color w:val="auto"/>
              </w:rPr>
            </w:pPr>
          </w:p>
        </w:tc>
      </w:tr>
      <w:tr>
        <w:trPr>
          <w:trHeight w:val="76"/>
        </w:trPr>
        <w:tc>
          <w:tcPr>
            <w:tcW w:w="4540" w:type="dxa"/>
            <w:vAlign w:val="bottom"/>
            <w:tcBorders>
              <w:bottom w:val="single" w:sz="8" w:color="auto"/>
            </w:tcBorders>
          </w:tcPr>
          <w:p>
            <w:pPr>
              <w:spacing w:after="0"/>
              <w:rPr>
                <w:sz w:val="6"/>
                <w:szCs w:val="6"/>
                <w:color w:val="auto"/>
              </w:rPr>
            </w:pPr>
          </w:p>
        </w:tc>
        <w:tc>
          <w:tcPr>
            <w:tcW w:w="6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20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lvl w:ilvl="3">
      <w:lvlJc w:val="left"/>
      <w:lvlText w:val="%4)"/>
      <w:numFmt w:val="lowerRoman"/>
      <w:start w:val="2"/>
    </w:lvl>
  </w:abstractNum>
  <w:abstractNum w:abstractNumId="4">
    <w:nsid w:val="1E7FF521"/>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lvl w:ilvl="1">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2022-05-09T06:33:20Z</dcterms:created>
  <dcterms:modified xsi:type="dcterms:W3CDTF">2022-05-09T06:33:20Z</dcterms:modified>
</cp:coreProperties>
</file>