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204470</wp:posOffset>
            </wp:positionH>
            <wp:positionV relativeFrom="page">
              <wp:posOffset>153670</wp:posOffset>
            </wp:positionV>
            <wp:extent cx="713994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3238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267335</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739"/>
        <w:spacing w:after="0"/>
        <w:rPr>
          <w:sz w:val="20"/>
          <w:szCs w:val="20"/>
          <w:color w:val="auto"/>
        </w:rPr>
      </w:pPr>
      <w:r>
        <w:rPr>
          <w:rFonts w:ascii="Arial" w:cs="Arial" w:eastAsia="Arial" w:hAnsi="Arial"/>
          <w:sz w:val="31"/>
          <w:szCs w:val="31"/>
          <w:b w:val="1"/>
          <w:bCs w:val="1"/>
          <w:color w:val="auto"/>
        </w:rPr>
        <w:t>FORM 6-K</w:t>
      </w:r>
    </w:p>
    <w:p>
      <w:pPr>
        <w:spacing w:after="0" w:line="236" w:lineRule="exact"/>
        <w:rPr>
          <w:sz w:val="24"/>
          <w:szCs w:val="24"/>
          <w:color w:val="auto"/>
        </w:rPr>
      </w:pPr>
    </w:p>
    <w:p>
      <w:pPr>
        <w:jc w:val="center"/>
        <w:ind w:right="-739"/>
        <w:spacing w:after="0"/>
        <w:rPr>
          <w:sz w:val="20"/>
          <w:szCs w:val="20"/>
          <w:color w:val="auto"/>
        </w:rPr>
      </w:pPr>
      <w:r>
        <w:rPr>
          <w:rFonts w:ascii="Arial" w:cs="Arial" w:eastAsia="Arial" w:hAnsi="Arial"/>
          <w:sz w:val="20"/>
          <w:szCs w:val="20"/>
          <w:color w:val="auto"/>
        </w:rPr>
        <w:t>Report of Foreign Private Issuer</w:t>
      </w:r>
    </w:p>
    <w:p>
      <w:pPr>
        <w:spacing w:after="0" w:line="18" w:lineRule="exact"/>
        <w:rPr>
          <w:sz w:val="24"/>
          <w:szCs w:val="24"/>
          <w:color w:val="auto"/>
        </w:rPr>
      </w:pPr>
    </w:p>
    <w:p>
      <w:pPr>
        <w:jc w:val="center"/>
        <w:ind w:right="-739"/>
        <w:spacing w:after="0"/>
        <w:rPr>
          <w:sz w:val="20"/>
          <w:szCs w:val="20"/>
          <w:color w:val="auto"/>
        </w:rPr>
      </w:pPr>
      <w:r>
        <w:rPr>
          <w:rFonts w:ascii="Arial" w:cs="Arial" w:eastAsia="Arial" w:hAnsi="Arial"/>
          <w:sz w:val="20"/>
          <w:szCs w:val="20"/>
          <w:color w:val="auto"/>
        </w:rPr>
        <w:t>Pursuant to Rule 13a-16 or 15d-16 under the</w:t>
      </w:r>
    </w:p>
    <w:p>
      <w:pPr>
        <w:jc w:val="center"/>
        <w:ind w:right="-739"/>
        <w:spacing w:after="0"/>
        <w:rPr>
          <w:sz w:val="20"/>
          <w:szCs w:val="20"/>
          <w:color w:val="auto"/>
        </w:rPr>
      </w:pPr>
      <w:r>
        <w:rPr>
          <w:rFonts w:ascii="Arial" w:cs="Arial" w:eastAsia="Arial" w:hAnsi="Arial"/>
          <w:sz w:val="20"/>
          <w:szCs w:val="20"/>
          <w:color w:val="auto"/>
        </w:rPr>
        <w:t>Securities Exchange Act of 1934</w:t>
      </w:r>
    </w:p>
    <w:p>
      <w:pPr>
        <w:spacing w:after="0" w:line="208" w:lineRule="exact"/>
        <w:rPr>
          <w:sz w:val="24"/>
          <w:szCs w:val="24"/>
          <w:color w:val="auto"/>
        </w:rPr>
      </w:pPr>
    </w:p>
    <w:p>
      <w:pPr>
        <w:jc w:val="center"/>
        <w:ind w:right="-739"/>
        <w:spacing w:after="0"/>
        <w:rPr>
          <w:sz w:val="20"/>
          <w:szCs w:val="20"/>
          <w:color w:val="auto"/>
        </w:rPr>
      </w:pPr>
      <w:r>
        <w:rPr>
          <w:rFonts w:ascii="Arial" w:cs="Arial" w:eastAsia="Arial" w:hAnsi="Arial"/>
          <w:sz w:val="20"/>
          <w:szCs w:val="20"/>
          <w:b w:val="1"/>
          <w:bCs w:val="1"/>
          <w:color w:val="auto"/>
        </w:rPr>
        <w:t>For the month of April 2022</w:t>
      </w:r>
    </w:p>
    <w:p>
      <w:pPr>
        <w:spacing w:after="0" w:line="234" w:lineRule="exact"/>
        <w:rPr>
          <w:sz w:val="24"/>
          <w:szCs w:val="24"/>
          <w:color w:val="auto"/>
        </w:rPr>
      </w:pPr>
    </w:p>
    <w:p>
      <w:pPr>
        <w:jc w:val="center"/>
        <w:ind w:right="-739"/>
        <w:spacing w:after="0"/>
        <w:rPr>
          <w:sz w:val="20"/>
          <w:szCs w:val="20"/>
          <w:color w:val="auto"/>
        </w:rPr>
      </w:pPr>
      <w:r>
        <w:rPr>
          <w:rFonts w:ascii="Arial" w:cs="Arial" w:eastAsia="Arial" w:hAnsi="Arial"/>
          <w:sz w:val="20"/>
          <w:szCs w:val="20"/>
          <w:color w:val="auto"/>
        </w:rPr>
        <w:t>Commission File Number: 001-14014</w:t>
      </w:r>
    </w:p>
    <w:p>
      <w:pPr>
        <w:spacing w:after="0" w:line="211" w:lineRule="exact"/>
        <w:rPr>
          <w:sz w:val="24"/>
          <w:szCs w:val="24"/>
          <w:color w:val="auto"/>
        </w:rPr>
      </w:pPr>
    </w:p>
    <w:p>
      <w:pPr>
        <w:jc w:val="center"/>
        <w:ind w:right="-739"/>
        <w:spacing w:after="0"/>
        <w:rPr>
          <w:sz w:val="20"/>
          <w:szCs w:val="20"/>
          <w:color w:val="auto"/>
        </w:rPr>
      </w:pPr>
      <w:r>
        <w:rPr>
          <w:rFonts w:ascii="Arial" w:cs="Arial" w:eastAsia="Arial" w:hAnsi="Arial"/>
          <w:sz w:val="41"/>
          <w:szCs w:val="41"/>
          <w:b w:val="1"/>
          <w:bCs w:val="1"/>
          <w:color w:val="auto"/>
        </w:rPr>
        <w:t>CREDICORP LTD.</w:t>
      </w:r>
    </w:p>
    <w:p>
      <w:pPr>
        <w:spacing w:after="0" w:line="38" w:lineRule="exact"/>
        <w:rPr>
          <w:sz w:val="24"/>
          <w:szCs w:val="24"/>
          <w:color w:val="auto"/>
        </w:rPr>
      </w:pPr>
    </w:p>
    <w:p>
      <w:pPr>
        <w:jc w:val="center"/>
        <w:ind w:right="-739"/>
        <w:spacing w:after="0"/>
        <w:rPr>
          <w:sz w:val="20"/>
          <w:szCs w:val="20"/>
          <w:color w:val="auto"/>
        </w:rPr>
      </w:pPr>
      <w:r>
        <w:rPr>
          <w:rFonts w:ascii="Arial" w:cs="Arial" w:eastAsia="Arial" w:hAnsi="Arial"/>
          <w:sz w:val="20"/>
          <w:szCs w:val="20"/>
          <w:color w:val="auto"/>
        </w:rPr>
        <w:t>(Translation of registrant’s name into English)</w:t>
      </w:r>
    </w:p>
    <w:p>
      <w:pPr>
        <w:spacing w:after="0" w:line="208" w:lineRule="exact"/>
        <w:rPr>
          <w:sz w:val="24"/>
          <w:szCs w:val="24"/>
          <w:color w:val="auto"/>
        </w:rPr>
      </w:pPr>
    </w:p>
    <w:p>
      <w:pPr>
        <w:jc w:val="center"/>
        <w:ind w:right="-739"/>
        <w:spacing w:after="0"/>
        <w:rPr>
          <w:sz w:val="20"/>
          <w:szCs w:val="20"/>
          <w:color w:val="auto"/>
        </w:rPr>
      </w:pPr>
      <w:r>
        <w:rPr>
          <w:rFonts w:ascii="Arial" w:cs="Arial" w:eastAsia="Arial" w:hAnsi="Arial"/>
          <w:sz w:val="20"/>
          <w:szCs w:val="20"/>
          <w:b w:val="1"/>
          <w:bCs w:val="1"/>
          <w:color w:val="auto"/>
        </w:rPr>
        <w:t>Of our subsidiary</w:t>
      </w:r>
    </w:p>
    <w:p>
      <w:pPr>
        <w:spacing w:after="0" w:line="22" w:lineRule="exact"/>
        <w:rPr>
          <w:sz w:val="24"/>
          <w:szCs w:val="24"/>
          <w:color w:val="auto"/>
        </w:rPr>
      </w:pPr>
    </w:p>
    <w:p>
      <w:pPr>
        <w:jc w:val="center"/>
        <w:ind w:right="-739"/>
        <w:spacing w:after="0"/>
        <w:rPr>
          <w:sz w:val="20"/>
          <w:szCs w:val="20"/>
          <w:color w:val="auto"/>
        </w:rPr>
      </w:pPr>
      <w:r>
        <w:rPr>
          <w:rFonts w:ascii="Arial" w:cs="Arial" w:eastAsia="Arial" w:hAnsi="Arial"/>
          <w:sz w:val="20"/>
          <w:szCs w:val="20"/>
          <w:b w:val="1"/>
          <w:bCs w:val="1"/>
          <w:color w:val="auto"/>
        </w:rPr>
        <w:t>Banco de Credito del Peru:</w:t>
      </w:r>
    </w:p>
    <w:p>
      <w:pPr>
        <w:jc w:val="center"/>
        <w:ind w:right="-739"/>
        <w:spacing w:after="0"/>
        <w:rPr>
          <w:sz w:val="20"/>
          <w:szCs w:val="20"/>
          <w:color w:val="auto"/>
        </w:rPr>
      </w:pPr>
      <w:r>
        <w:rPr>
          <w:rFonts w:ascii="Arial" w:cs="Arial" w:eastAsia="Arial" w:hAnsi="Arial"/>
          <w:sz w:val="20"/>
          <w:szCs w:val="20"/>
          <w:b w:val="1"/>
          <w:bCs w:val="1"/>
          <w:color w:val="auto"/>
        </w:rPr>
        <w:t>Calle Centenario 156</w:t>
      </w:r>
    </w:p>
    <w:p>
      <w:pPr>
        <w:jc w:val="center"/>
        <w:ind w:right="-739"/>
        <w:spacing w:after="0"/>
        <w:rPr>
          <w:sz w:val="20"/>
          <w:szCs w:val="20"/>
          <w:color w:val="auto"/>
        </w:rPr>
      </w:pPr>
      <w:r>
        <w:rPr>
          <w:rFonts w:ascii="Arial" w:cs="Arial" w:eastAsia="Arial" w:hAnsi="Arial"/>
          <w:sz w:val="20"/>
          <w:szCs w:val="20"/>
          <w:b w:val="1"/>
          <w:bCs w:val="1"/>
          <w:color w:val="auto"/>
        </w:rPr>
        <w:t>La Molina</w:t>
      </w:r>
    </w:p>
    <w:p>
      <w:pPr>
        <w:jc w:val="center"/>
        <w:ind w:right="-739"/>
        <w:spacing w:after="0"/>
        <w:rPr>
          <w:sz w:val="20"/>
          <w:szCs w:val="20"/>
          <w:color w:val="auto"/>
        </w:rPr>
      </w:pPr>
      <w:r>
        <w:rPr>
          <w:rFonts w:ascii="Arial" w:cs="Arial" w:eastAsia="Arial" w:hAnsi="Arial"/>
          <w:sz w:val="20"/>
          <w:szCs w:val="20"/>
          <w:b w:val="1"/>
          <w:bCs w:val="1"/>
          <w:color w:val="auto"/>
        </w:rPr>
        <w:t>Lima 12, Peru</w:t>
      </w:r>
    </w:p>
    <w:p>
      <w:pPr>
        <w:jc w:val="center"/>
        <w:ind w:right="-739"/>
        <w:spacing w:after="0"/>
        <w:rPr>
          <w:sz w:val="20"/>
          <w:szCs w:val="20"/>
          <w:color w:val="auto"/>
        </w:rPr>
      </w:pPr>
      <w:r>
        <w:rPr>
          <w:rFonts w:ascii="Arial" w:cs="Arial" w:eastAsia="Arial" w:hAnsi="Arial"/>
          <w:sz w:val="20"/>
          <w:szCs w:val="20"/>
          <w:color w:val="auto"/>
        </w:rPr>
        <w:t>(Address of principal executive office)</w:t>
      </w:r>
    </w:p>
    <w:p>
      <w:pPr>
        <w:spacing w:after="0" w:line="212"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8" w:lineRule="exact"/>
        <w:rPr>
          <w:sz w:val="24"/>
          <w:szCs w:val="24"/>
          <w:color w:val="auto"/>
        </w:rPr>
      </w:pPr>
    </w:p>
    <w:p>
      <w:pPr>
        <w:ind w:left="4420"/>
        <w:spacing w:after="0" w:line="230" w:lineRule="exact"/>
        <w:rPr>
          <w:sz w:val="20"/>
          <w:szCs w:val="20"/>
          <w:color w:val="auto"/>
        </w:rPr>
      </w:pPr>
      <w:r>
        <w:rPr>
          <w:rFonts w:ascii="Arial" w:cs="Arial" w:eastAsia="Arial" w:hAnsi="Arial"/>
          <w:sz w:val="20"/>
          <w:szCs w:val="20"/>
          <w:color w:val="auto"/>
        </w:rPr>
        <w:t xml:space="preserve">Form 20-F </w:t>
      </w:r>
      <w:r>
        <w:rPr>
          <w:rFonts w:ascii="MS PGothic" w:cs="MS PGothic" w:eastAsia="MS PGothic" w:hAnsi="MS PGothic"/>
          <w:sz w:val="20"/>
          <w:szCs w:val="20"/>
          <w:color w:val="auto"/>
        </w:rPr>
        <w:t>☒</w:t>
      </w:r>
      <w:r>
        <w:rPr>
          <w:rFonts w:ascii="Arial" w:cs="Arial" w:eastAsia="Arial" w:hAnsi="Arial"/>
          <w:sz w:val="20"/>
          <w:szCs w:val="20"/>
          <w:color w:val="auto"/>
        </w:rPr>
        <w:t xml:space="preserve"> Form 40-F </w:t>
      </w:r>
      <w:r>
        <w:rPr>
          <w:rFonts w:ascii="MS PGothic" w:cs="MS PGothic" w:eastAsia="MS PGothic" w:hAnsi="MS PGothic"/>
          <w:sz w:val="20"/>
          <w:szCs w:val="20"/>
          <w:color w:val="auto"/>
        </w:rPr>
        <w:t>☐</w:t>
      </w:r>
    </w:p>
    <w:p>
      <w:pPr>
        <w:spacing w:after="0" w:line="2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262890</wp:posOffset>
            </wp:positionV>
            <wp:extent cx="7139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352425</wp:posOffset>
            </wp:positionV>
            <wp:extent cx="7139940"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940" cy="32385"/>
                    </a:xfrm>
                    <a:prstGeom prst="rect">
                      <a:avLst/>
                    </a:prstGeom>
                    <a:noFill/>
                  </pic:spPr>
                </pic:pic>
              </a:graphicData>
            </a:graphic>
          </wp:anchor>
        </w:drawing>
        <w:drawing>
          <wp:anchor simplePos="0" relativeHeight="251657728" behindDoc="1" locked="0" layoutInCell="0" allowOverlap="1">
            <wp:simplePos x="0" y="0"/>
            <wp:positionH relativeFrom="column">
              <wp:posOffset>-36195</wp:posOffset>
            </wp:positionH>
            <wp:positionV relativeFrom="paragraph">
              <wp:posOffset>490220</wp:posOffset>
            </wp:positionV>
            <wp:extent cx="713994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0380"/>
          </w:cols>
          <w:pgMar w:left="380" w:top="514" w:right="1139"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628900" cy="348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628900" cy="348615"/>
                    </a:xfrm>
                    <a:prstGeom prst="rect">
                      <a:avLst/>
                    </a:prstGeom>
                    <a:noFill/>
                  </pic:spPr>
                </pic:pic>
              </a:graphicData>
            </a:graphic>
          </wp:anchor>
        </w:drawing>
        <w:t>April 29, 2022</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Securities and Exchange Commission - SEC</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Re.: MATERIAL EVENT</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We hereby notify you as a Material Event that Fitch Ratings has updated the credit rating report of Credicorp Ltd. (Credicorp).</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information in this Form 6-K regarding the rating of Fitch Ratings has been disclosed in Peru in conformity with Peruvian law (Article 28 of the Capital Markets Law, approved by Supreme Decree 093-2002-EF, and by the Regulation of the Disclosure of Material Events and Reserved Information approved by Resolution 005-2014-SMV/01 of the Peruvian Capital Markets Superintendency). The ratings of Fitch Ratings do not necessarily represent the opinion of Credicorp, nor should they be seen as a recommendation to buy shares or any other securities of Credicorp. Credicorp accepts no liability for the completeness, timeliness, accuracy or selection of such information.</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20"/>
          <w:szCs w:val="20"/>
          <w:u w:val="single" w:color="auto"/>
          <w:color w:val="auto"/>
        </w:rPr>
        <w:t>Miriam Böttger</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Authorized Representative</w:t>
      </w:r>
    </w:p>
    <w:p>
      <w:pPr>
        <w:spacing w:after="0"/>
        <w:rPr>
          <w:sz w:val="20"/>
          <w:szCs w:val="20"/>
          <w:color w:val="auto"/>
        </w:rPr>
      </w:pPr>
      <w:r>
        <w:rPr>
          <w:rFonts w:ascii="Arial" w:cs="Arial" w:eastAsia="Arial" w:hAnsi="Arial"/>
          <w:sz w:val="20"/>
          <w:szCs w:val="20"/>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253365</wp:posOffset>
            </wp:positionV>
            <wp:extent cx="713994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2628900" cy="348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628900" cy="348615"/>
                    </a:xfrm>
                    <a:prstGeom prst="rect">
                      <a:avLst/>
                    </a:prstGeom>
                    <a:noFill/>
                  </pic:spPr>
                </pic:pic>
              </a:graphicData>
            </a:graphic>
          </wp:anchor>
        </w:drawing>
        <w:t>SIGNATURE</w:t>
      </w:r>
    </w:p>
    <w:p>
      <w:pPr>
        <w:spacing w:after="0" w:line="234" w:lineRule="exact"/>
        <w:rPr>
          <w:sz w:val="20"/>
          <w:szCs w:val="20"/>
          <w:color w:val="auto"/>
        </w:rPr>
      </w:pPr>
    </w:p>
    <w:p>
      <w:pPr>
        <w:ind w:right="180" w:firstLine="506"/>
        <w:spacing w:after="0" w:line="271"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20"/>
          <w:szCs w:val="20"/>
          <w:color w:val="auto"/>
        </w:rPr>
        <w:t>Date: April 29, 2022</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CREDICORP LTD.</w:t>
      </w:r>
    </w:p>
    <w:p>
      <w:pPr>
        <w:spacing w:after="0" w:line="2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(Registrant)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160" w:type="dxa"/>
            <w:vAlign w:val="bottom"/>
          </w:tcPr>
          <w:p>
            <w:pPr>
              <w:ind w:left="5580"/>
              <w:spacing w:after="0"/>
              <w:rPr>
                <w:sz w:val="20"/>
                <w:szCs w:val="20"/>
                <w:color w:val="auto"/>
              </w:rPr>
            </w:pPr>
            <w:r>
              <w:rPr>
                <w:rFonts w:ascii="Arial" w:cs="Arial" w:eastAsia="Arial" w:hAnsi="Arial"/>
                <w:sz w:val="17"/>
                <w:szCs w:val="17"/>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Miriam Böttger</w:t>
            </w:r>
          </w:p>
        </w:tc>
        <w:tc>
          <w:tcPr>
            <w:tcW w:w="1320" w:type="dxa"/>
            <w:vAlign w:val="bottom"/>
          </w:tcPr>
          <w:p>
            <w:pPr>
              <w:spacing w:after="0"/>
              <w:rPr>
                <w:sz w:val="19"/>
                <w:szCs w:val="19"/>
                <w:color w:val="auto"/>
              </w:rPr>
            </w:pPr>
          </w:p>
        </w:tc>
      </w:tr>
      <w:tr>
        <w:trPr>
          <w:trHeight w:val="188"/>
        </w:trPr>
        <w:tc>
          <w:tcPr>
            <w:tcW w:w="6160" w:type="dxa"/>
            <w:vAlign w:val="bottom"/>
          </w:tcPr>
          <w:p>
            <w:pPr>
              <w:spacing w:after="0"/>
              <w:rPr>
                <w:sz w:val="16"/>
                <w:szCs w:val="16"/>
                <w:color w:val="auto"/>
              </w:rPr>
            </w:pPr>
          </w:p>
        </w:tc>
        <w:tc>
          <w:tcPr>
            <w:tcW w:w="3760" w:type="dxa"/>
            <w:vAlign w:val="bottom"/>
          </w:tcPr>
          <w:p>
            <w:pPr>
              <w:spacing w:after="0" w:line="188" w:lineRule="exact"/>
              <w:rPr>
                <w:sz w:val="20"/>
                <w:szCs w:val="20"/>
                <w:color w:val="auto"/>
              </w:rPr>
            </w:pPr>
            <w:r>
              <w:rPr>
                <w:rFonts w:ascii="Arial" w:cs="Arial" w:eastAsia="Arial" w:hAnsi="Arial"/>
                <w:sz w:val="17"/>
                <w:szCs w:val="17"/>
                <w:b w:val="1"/>
                <w:bCs w:val="1"/>
                <w:color w:val="auto"/>
              </w:rPr>
              <w:t>Miriam Böttger</w:t>
            </w:r>
          </w:p>
        </w:tc>
        <w:tc>
          <w:tcPr>
            <w:tcW w:w="1320" w:type="dxa"/>
            <w:vAlign w:val="bottom"/>
          </w:tcPr>
          <w:p>
            <w:pPr>
              <w:spacing w:after="0"/>
              <w:rPr>
                <w:sz w:val="16"/>
                <w:szCs w:val="16"/>
                <w:color w:val="auto"/>
              </w:rPr>
            </w:pPr>
          </w:p>
        </w:tc>
      </w:tr>
      <w:tr>
        <w:trPr>
          <w:trHeight w:val="220"/>
        </w:trPr>
        <w:tc>
          <w:tcPr>
            <w:tcW w:w="616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7"/>
                <w:szCs w:val="17"/>
                <w:b w:val="1"/>
                <w:bCs w:val="1"/>
                <w:color w:val="auto"/>
              </w:rPr>
              <w:t>Authorized Representative</w:t>
            </w:r>
          </w:p>
        </w:tc>
        <w:tc>
          <w:tcPr>
            <w:tcW w:w="1320" w:type="dxa"/>
            <w:vAlign w:val="bottom"/>
          </w:tcPr>
          <w:p>
            <w:pPr>
              <w:spacing w:after="0"/>
              <w:rPr>
                <w:sz w:val="19"/>
                <w:szCs w:val="19"/>
                <w:color w:val="auto"/>
              </w:rPr>
            </w:pPr>
          </w:p>
        </w:tc>
      </w:tr>
      <w:tr>
        <w:trPr>
          <w:trHeight w:val="403"/>
        </w:trPr>
        <w:tc>
          <w:tcPr>
            <w:tcW w:w="61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4"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9613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9630" cy="9613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9613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9630" cy="9613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9606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9630" cy="960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960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9630" cy="960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9598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9630" cy="9598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99630" cy="9622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9630" cy="9622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9516745</wp:posOffset>
            </wp:positionV>
            <wp:extent cx="713994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2022-05-02T05:59:07Z</dcterms:created>
  <dcterms:modified xsi:type="dcterms:W3CDTF">2022-05-02T05:59:07Z</dcterms:modified>
</cp:coreProperties>
</file>