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May,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FOR IMMEDIATE RELEASE: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please contact:</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Jose N. Hung</w:t>
      </w:r>
      <w:r>
        <w:rPr>
          <w:sz w:val="20"/>
          <w:szCs w:val="20"/>
          <w:color w:val="auto"/>
        </w:rPr>
        <w:tab/>
      </w:r>
      <w:r>
        <w:rPr>
          <w:rFonts w:ascii="Arial" w:cs="Arial" w:eastAsia="Arial" w:hAnsi="Arial"/>
          <w:sz w:val="16"/>
          <w:szCs w:val="16"/>
          <w:color w:val="auto"/>
        </w:rPr>
        <w:t>Alfredo Montero</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Investor Relations</w:t>
      </w:r>
      <w:r>
        <w:rPr>
          <w:sz w:val="20"/>
          <w:szCs w:val="20"/>
          <w:color w:val="auto"/>
        </w:rPr>
        <w:tab/>
      </w:r>
      <w:r>
        <w:rPr>
          <w:rFonts w:ascii="Arial" w:cs="Arial" w:eastAsia="Arial" w:hAnsi="Arial"/>
          <w:sz w:val="15"/>
          <w:szCs w:val="15"/>
          <w:color w:val="auto"/>
        </w:rPr>
        <w:t>General Manager</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Banco de Credito</w:t>
      </w:r>
      <w:r>
        <w:rPr>
          <w:sz w:val="20"/>
          <w:szCs w:val="20"/>
          <w:color w:val="auto"/>
        </w:rPr>
        <w:tab/>
      </w:r>
      <w:r>
        <w:rPr>
          <w:rFonts w:ascii="Arial" w:cs="Arial" w:eastAsia="Arial" w:hAnsi="Arial"/>
          <w:sz w:val="16"/>
          <w:szCs w:val="16"/>
          <w:color w:val="auto"/>
        </w:rPr>
        <w:t>Banco de Credito, Miami Agency</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Phone: (511) 313-2123</w:t>
      </w:r>
      <w:r>
        <w:rPr>
          <w:sz w:val="20"/>
          <w:szCs w:val="20"/>
          <w:color w:val="auto"/>
        </w:rPr>
        <w:tab/>
      </w:r>
      <w:r>
        <w:rPr>
          <w:rFonts w:ascii="Arial" w:cs="Arial" w:eastAsia="Arial" w:hAnsi="Arial"/>
          <w:sz w:val="15"/>
          <w:szCs w:val="15"/>
          <w:color w:val="auto"/>
        </w:rPr>
        <w:t>Phone: (305) 448-0971</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E-mail: jhung@bcp.com.pe</w:t>
      </w:r>
      <w:r>
        <w:rPr>
          <w:sz w:val="20"/>
          <w:szCs w:val="20"/>
          <w:color w:val="auto"/>
        </w:rPr>
        <w:tab/>
      </w:r>
      <w:r>
        <w:rPr>
          <w:rFonts w:ascii="Arial" w:cs="Arial" w:eastAsia="Arial" w:hAnsi="Arial"/>
          <w:sz w:val="16"/>
          <w:szCs w:val="16"/>
          <w:color w:val="auto"/>
        </w:rPr>
        <w:t>Fax: (305) 448-0981</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Web site: http://www.credicorpnet.com</w:t>
      </w:r>
      <w:r>
        <w:rPr>
          <w:sz w:val="20"/>
          <w:szCs w:val="20"/>
          <w:color w:val="auto"/>
        </w:rPr>
        <w:tab/>
      </w:r>
      <w:r>
        <w:rPr>
          <w:rFonts w:ascii="Arial" w:cs="Arial" w:eastAsia="Arial" w:hAnsi="Arial"/>
          <w:sz w:val="16"/>
          <w:szCs w:val="16"/>
          <w:color w:val="auto"/>
        </w:rPr>
        <w:t>E-mail: amontero@bcpmiami.com</w:t>
      </w:r>
    </w:p>
    <w:p>
      <w:pPr>
        <w:spacing w:after="0" w:line="21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CREDICORP LTD. ANNOUNCES FINANCIAL RESULTS</w:t>
      </w:r>
    </w:p>
    <w:p>
      <w:pPr>
        <w:spacing w:after="0" w:line="1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THE QUARTER ENDED MARCH 31, 2004</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(Lima, Peru, May 3, 2004) - Credicorp Ltd. (“Credicorp”) (NYSE:BAP; LSE:BAPC1) today announced its financial results for the quarter ended March 31, 2004.</w:t>
      </w:r>
    </w:p>
    <w:p>
      <w:pPr>
        <w:spacing w:after="0" w:line="248"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Credicorp reported a consolidated net income for the quarter ended March 31, 2004 of US$30.1 million, or US$0.38 per share, above net income of US$2.5 million, or US$0.03 per share, in first quarter 2003, and resulted also above net income in fourth quarter 2003 of US$23.8 million, or US$0.30 per share. First quarter results improve with respect to the same period of 2003, mainly due to decreased merger costs, lower loan loss provisions and to higher translation results.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Merger costs decrease from US$15.5 million in first quarter 2003, incurred for the merger of Banco Santander Central Hispano-Peru (“BSCH-Peru”), to US$1.8 million in the current quarter, in which Solución Financiera de Crédito was absorbed. Provisions for loan losses decreased from US$34.2 million to US$19.0 million, comparing the first quarters of 2003 and 2004, due to improved loan portfolio quality. Loan quality improvement is noted through the lower past-due loan ratio, that decreased from 8.3% at March 2003, to 5.7% at the end of first quarter 2004, and by the improved coverage of bad loans by provisions which increased from 112.2% to 125.5%,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84455</wp:posOffset>
            </wp:positionV>
            <wp:extent cx="722503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67"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88265</wp:posOffset>
            </wp:positionV>
            <wp:extent cx="326263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2630" cy="34290"/>
                    </a:xfrm>
                    <a:prstGeom prst="rect">
                      <a:avLst/>
                    </a:prstGeom>
                    <a:noFill/>
                  </pic:spPr>
                </pic:pic>
              </a:graphicData>
            </a:graphic>
          </wp:anchor>
        </w:drawing>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460" w:type="dxa"/>
            <w:vAlign w:val="bottom"/>
            <w:gridSpan w:val="3"/>
          </w:tcPr>
          <w:p>
            <w:pPr>
              <w:ind w:left="6780"/>
              <w:spacing w:after="0"/>
              <w:rPr>
                <w:sz w:val="20"/>
                <w:szCs w:val="20"/>
                <w:color w:val="auto"/>
              </w:rPr>
            </w:pPr>
            <w:r>
              <w:rPr>
                <w:rFonts w:ascii="Arial" w:cs="Arial" w:eastAsia="Arial" w:hAnsi="Arial"/>
                <w:sz w:val="18"/>
                <w:szCs w:val="18"/>
                <w:b w:val="1"/>
                <w:bCs w:val="1"/>
                <w:color w:val="auto"/>
                <w:w w:val="94"/>
              </w:rPr>
              <w:t>31.03.03</w:t>
            </w:r>
          </w:p>
        </w:tc>
        <w:tc>
          <w:tcPr>
            <w:tcW w:w="17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31.12.03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31.03.04</w:t>
            </w:r>
          </w:p>
        </w:tc>
        <w:tc>
          <w:tcPr>
            <w:tcW w:w="320" w:type="dxa"/>
            <w:vAlign w:val="bottom"/>
          </w:tcPr>
          <w:p>
            <w:pPr>
              <w:spacing w:after="0"/>
              <w:rPr>
                <w:sz w:val="19"/>
                <w:szCs w:val="19"/>
                <w:color w:val="auto"/>
              </w:rPr>
            </w:pPr>
          </w:p>
        </w:tc>
      </w:tr>
      <w:tr>
        <w:trPr>
          <w:trHeight w:val="137"/>
        </w:trPr>
        <w:tc>
          <w:tcPr>
            <w:tcW w:w="33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r>
      <w:tr>
        <w:trPr>
          <w:trHeight w:val="356"/>
        </w:trPr>
        <w:tc>
          <w:tcPr>
            <w:tcW w:w="7460" w:type="dxa"/>
            <w:vAlign w:val="bottom"/>
            <w:gridSpan w:val="3"/>
          </w:tcPr>
          <w:p>
            <w:pPr>
              <w:spacing w:after="0"/>
              <w:rPr>
                <w:sz w:val="20"/>
                <w:szCs w:val="20"/>
                <w:color w:val="auto"/>
              </w:rPr>
            </w:pPr>
            <w:r>
              <w:rPr>
                <w:rFonts w:ascii="Arial" w:cs="Arial" w:eastAsia="Arial" w:hAnsi="Arial"/>
                <w:sz w:val="18"/>
                <w:szCs w:val="18"/>
                <w:color w:val="auto"/>
              </w:rPr>
              <w:t>Net interest income (1)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98.8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90.0</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Provisions for possible loan losses, net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16.2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Other income (1)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106.9</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89.6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108.8</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Claims on insurance activities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23.5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Other expenses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109.1</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113.9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108.2</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Merger costs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Translation result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05"/>
        </w:trPr>
        <w:tc>
          <w:tcPr>
            <w:tcW w:w="3340" w:type="dxa"/>
            <w:vAlign w:val="bottom"/>
          </w:tcPr>
          <w:p>
            <w:pPr>
              <w:spacing w:after="0" w:line="205" w:lineRule="exact"/>
              <w:rPr>
                <w:sz w:val="20"/>
                <w:szCs w:val="20"/>
                <w:color w:val="auto"/>
              </w:rPr>
            </w:pPr>
            <w:r>
              <w:rPr>
                <w:rFonts w:ascii="Arial" w:cs="Arial" w:eastAsia="Arial" w:hAnsi="Arial"/>
                <w:sz w:val="18"/>
                <w:szCs w:val="18"/>
                <w:color w:val="auto"/>
                <w:w w:val="88"/>
              </w:rPr>
              <w:t>Income before income tax and minority interest</w:t>
            </w:r>
          </w:p>
        </w:tc>
        <w:tc>
          <w:tcPr>
            <w:tcW w:w="4120" w:type="dxa"/>
            <w:vAlign w:val="bottom"/>
            <w:gridSpan w:val="2"/>
          </w:tcPr>
          <w:p>
            <w:pPr>
              <w:spacing w:after="0"/>
              <w:rPr>
                <w:sz w:val="17"/>
                <w:szCs w:val="17"/>
                <w:color w:val="auto"/>
              </w:rPr>
            </w:pPr>
          </w:p>
        </w:tc>
        <w:tc>
          <w:tcPr>
            <w:tcW w:w="4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6</w:t>
            </w: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8</w:t>
            </w:r>
          </w:p>
        </w:tc>
        <w:tc>
          <w:tcPr>
            <w:tcW w:w="17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5</w:t>
            </w:r>
          </w:p>
        </w:tc>
      </w:tr>
      <w:tr>
        <w:trPr>
          <w:trHeight w:val="20"/>
        </w:trPr>
        <w:tc>
          <w:tcPr>
            <w:tcW w:w="334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262"/>
        </w:trPr>
        <w:tc>
          <w:tcPr>
            <w:tcW w:w="3340" w:type="dxa"/>
            <w:vAlign w:val="bottom"/>
          </w:tcPr>
          <w:p>
            <w:pPr>
              <w:spacing w:after="0"/>
              <w:rPr>
                <w:sz w:val="20"/>
                <w:szCs w:val="20"/>
                <w:color w:val="auto"/>
              </w:rPr>
            </w:pPr>
            <w:r>
              <w:rPr>
                <w:rFonts w:ascii="Arial" w:cs="Arial" w:eastAsia="Arial" w:hAnsi="Arial"/>
                <w:sz w:val="18"/>
                <w:szCs w:val="18"/>
                <w:color w:val="auto"/>
              </w:rPr>
              <w:t>Income Tax</w:t>
            </w:r>
          </w:p>
        </w:tc>
        <w:tc>
          <w:tcPr>
            <w:tcW w:w="4120" w:type="dxa"/>
            <w:vAlign w:val="bottom"/>
            <w:gridSpan w:val="2"/>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(9.8)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460" w:type="dxa"/>
            <w:vAlign w:val="bottom"/>
            <w:gridSpan w:val="3"/>
          </w:tcPr>
          <w:p>
            <w:pPr>
              <w:ind w:left="120"/>
              <w:spacing w:after="0"/>
              <w:rPr>
                <w:sz w:val="20"/>
                <w:szCs w:val="20"/>
                <w:color w:val="auto"/>
              </w:rPr>
            </w:pPr>
            <w:r>
              <w:rPr>
                <w:rFonts w:ascii="Arial" w:cs="Arial" w:eastAsia="Arial" w:hAnsi="Arial"/>
                <w:sz w:val="18"/>
                <w:szCs w:val="18"/>
                <w:b w:val="1"/>
                <w:bCs w:val="1"/>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23.8</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30.1</w:t>
            </w:r>
          </w:p>
        </w:tc>
      </w:tr>
      <w:tr>
        <w:trPr>
          <w:trHeight w:val="243"/>
        </w:trPr>
        <w:tc>
          <w:tcPr>
            <w:tcW w:w="7460" w:type="dxa"/>
            <w:vAlign w:val="bottom"/>
            <w:gridSpan w:val="3"/>
          </w:tcPr>
          <w:p>
            <w:pPr>
              <w:spacing w:after="0"/>
              <w:rPr>
                <w:sz w:val="20"/>
                <w:szCs w:val="20"/>
                <w:color w:val="auto"/>
              </w:rPr>
            </w:pPr>
            <w:r>
              <w:rPr>
                <w:rFonts w:ascii="Arial" w:cs="Arial" w:eastAsia="Arial" w:hAnsi="Arial"/>
                <w:sz w:val="18"/>
                <w:szCs w:val="18"/>
                <w:color w:val="auto"/>
              </w:rPr>
              <w:t>Net Income per share (2)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-1948815</wp:posOffset>
            </wp:positionV>
            <wp:extent cx="3429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-1948815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-1948815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74295</wp:posOffset>
            </wp:positionV>
            <wp:extent cx="722503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4"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Note: for comparison purposes, US$5.5Mn in 1Q03 and US$8.3Mn in 4Q04 were reclassified from other income into interest income.</w:t>
      </w:r>
    </w:p>
    <w:p>
      <w:pPr>
        <w:ind w:left="360" w:right="20" w:hanging="352"/>
        <w:spacing w:after="0" w:line="230" w:lineRule="auto"/>
        <w:tabs>
          <w:tab w:leader="none" w:pos="36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Based on 79.8 million net outstanding shares in all periods. The total number of shares is 94.4 million, however, as 14.6 million are held by affiliates as treasury shares, the net consolidated outstanding shares are 79.8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20"/>
                <w:szCs w:val="20"/>
                <w:color w:val="auto"/>
              </w:rPr>
            </w:pPr>
            <w:r>
              <w:rPr>
                <w:rFonts w:ascii="Arial" w:cs="Arial" w:eastAsia="Arial" w:hAnsi="Arial"/>
                <w:sz w:val="18"/>
                <w:szCs w:val="18"/>
                <w:i w:val="1"/>
                <w:iCs w:val="1"/>
                <w:color w:val="auto"/>
              </w:rPr>
              <w:t>(US$Mn)</w:t>
            </w:r>
          </w:p>
        </w:tc>
        <w:tc>
          <w:tcPr>
            <w:tcW w:w="3820" w:type="dxa"/>
            <w:vAlign w:val="bottom"/>
          </w:tcPr>
          <w:p>
            <w:pPr>
              <w:jc w:val="right"/>
              <w:ind w:right="892"/>
              <w:spacing w:after="0"/>
              <w:rPr>
                <w:sz w:val="20"/>
                <w:szCs w:val="20"/>
                <w:color w:val="auto"/>
              </w:rPr>
            </w:pPr>
            <w:r>
              <w:rPr>
                <w:rFonts w:ascii="Arial" w:cs="Arial" w:eastAsia="Arial" w:hAnsi="Arial"/>
                <w:sz w:val="18"/>
                <w:szCs w:val="18"/>
                <w:b w:val="1"/>
                <w:bCs w:val="1"/>
                <w:color w:val="auto"/>
              </w:rPr>
              <w:t>1Q03</w:t>
            </w:r>
          </w:p>
        </w:tc>
        <w:tc>
          <w:tcPr>
            <w:tcW w:w="1740" w:type="dxa"/>
            <w:vAlign w:val="bottom"/>
          </w:tcPr>
          <w:p>
            <w:pPr>
              <w:jc w:val="right"/>
              <w:ind w:right="912"/>
              <w:spacing w:after="0"/>
              <w:rPr>
                <w:sz w:val="20"/>
                <w:szCs w:val="20"/>
                <w:color w:val="auto"/>
              </w:rPr>
            </w:pPr>
            <w:r>
              <w:rPr>
                <w:rFonts w:ascii="Arial" w:cs="Arial" w:eastAsia="Arial" w:hAnsi="Arial"/>
                <w:sz w:val="18"/>
                <w:szCs w:val="18"/>
                <w:b w:val="1"/>
                <w:bCs w:val="1"/>
                <w:color w:val="auto"/>
              </w:rPr>
              <w:t>4Q03</w:t>
            </w:r>
          </w:p>
        </w:tc>
        <w:tc>
          <w:tcPr>
            <w:tcW w:w="1380" w:type="dxa"/>
            <w:vAlign w:val="bottom"/>
          </w:tcPr>
          <w:p>
            <w:pPr>
              <w:jc w:val="right"/>
              <w:ind w:right="592"/>
              <w:spacing w:after="0"/>
              <w:rPr>
                <w:sz w:val="20"/>
                <w:szCs w:val="20"/>
                <w:color w:val="auto"/>
              </w:rPr>
            </w:pPr>
            <w:r>
              <w:rPr>
                <w:rFonts w:ascii="Arial" w:cs="Arial" w:eastAsia="Arial" w:hAnsi="Arial"/>
                <w:sz w:val="18"/>
                <w:szCs w:val="18"/>
                <w:b w:val="1"/>
                <w:bCs w:val="1"/>
                <w:color w:val="auto"/>
              </w:rPr>
              <w:t>1Q04</w:t>
            </w:r>
          </w:p>
        </w:tc>
      </w:tr>
      <w:tr>
        <w:trPr>
          <w:trHeight w:val="110"/>
        </w:trPr>
        <w:tc>
          <w:tcPr>
            <w:tcW w:w="448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r>
        <w:trPr>
          <w:trHeight w:val="309"/>
        </w:trPr>
        <w:tc>
          <w:tcPr>
            <w:tcW w:w="4480" w:type="dxa"/>
            <w:vAlign w:val="bottom"/>
          </w:tcPr>
          <w:p>
            <w:pPr>
              <w:spacing w:after="0"/>
              <w:rPr>
                <w:sz w:val="20"/>
                <w:szCs w:val="20"/>
                <w:color w:val="auto"/>
              </w:rPr>
            </w:pPr>
            <w:r>
              <w:rPr>
                <w:rFonts w:ascii="Arial" w:cs="Arial" w:eastAsia="Arial" w:hAnsi="Arial"/>
                <w:sz w:val="18"/>
                <w:szCs w:val="18"/>
                <w:color w:val="auto"/>
              </w:rPr>
              <w:t>Banco de Credito BCP(1)</w:t>
            </w:r>
          </w:p>
        </w:tc>
        <w:tc>
          <w:tcPr>
            <w:tcW w:w="3820" w:type="dxa"/>
            <w:vAlign w:val="bottom"/>
          </w:tcPr>
          <w:p>
            <w:pPr>
              <w:jc w:val="right"/>
              <w:ind w:right="252"/>
              <w:spacing w:after="0"/>
              <w:rPr>
                <w:sz w:val="20"/>
                <w:szCs w:val="20"/>
                <w:color w:val="auto"/>
              </w:rPr>
            </w:pPr>
            <w:r>
              <w:rPr>
                <w:rFonts w:ascii="Arial" w:cs="Arial" w:eastAsia="Arial" w:hAnsi="Arial"/>
                <w:sz w:val="18"/>
                <w:szCs w:val="18"/>
                <w:color w:val="auto"/>
              </w:rPr>
              <w:t>US$ 8.0</w:t>
            </w:r>
          </w:p>
        </w:tc>
        <w:tc>
          <w:tcPr>
            <w:tcW w:w="1740" w:type="dxa"/>
            <w:vAlign w:val="bottom"/>
          </w:tcPr>
          <w:p>
            <w:pPr>
              <w:jc w:val="right"/>
              <w:ind w:right="232"/>
              <w:spacing w:after="0"/>
              <w:rPr>
                <w:sz w:val="20"/>
                <w:szCs w:val="20"/>
                <w:color w:val="auto"/>
              </w:rPr>
            </w:pPr>
            <w:r>
              <w:rPr>
                <w:rFonts w:ascii="Arial" w:cs="Arial" w:eastAsia="Arial" w:hAnsi="Arial"/>
                <w:sz w:val="18"/>
                <w:szCs w:val="18"/>
                <w:color w:val="auto"/>
              </w:rPr>
              <w:t>US$27.4</w:t>
            </w:r>
          </w:p>
        </w:tc>
        <w:tc>
          <w:tcPr>
            <w:tcW w:w="1380" w:type="dxa"/>
            <w:vAlign w:val="bottom"/>
          </w:tcPr>
          <w:p>
            <w:pPr>
              <w:jc w:val="right"/>
              <w:spacing w:after="0"/>
              <w:rPr>
                <w:sz w:val="20"/>
                <w:szCs w:val="20"/>
                <w:color w:val="auto"/>
              </w:rPr>
            </w:pPr>
            <w:r>
              <w:rPr>
                <w:rFonts w:ascii="Arial" w:cs="Arial" w:eastAsia="Arial" w:hAnsi="Arial"/>
                <w:sz w:val="18"/>
                <w:szCs w:val="18"/>
                <w:color w:val="auto"/>
              </w:rPr>
              <w:t>US$25.9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Atlantic</w:t>
            </w:r>
          </w:p>
        </w:tc>
        <w:tc>
          <w:tcPr>
            <w:tcW w:w="3820" w:type="dxa"/>
            <w:vAlign w:val="bottom"/>
          </w:tcPr>
          <w:p>
            <w:pPr>
              <w:jc w:val="right"/>
              <w:ind w:right="252"/>
              <w:spacing w:after="0"/>
              <w:rPr>
                <w:sz w:val="20"/>
                <w:szCs w:val="20"/>
                <w:color w:val="auto"/>
              </w:rPr>
            </w:pPr>
            <w:r>
              <w:rPr>
                <w:rFonts w:ascii="Arial" w:cs="Arial" w:eastAsia="Arial" w:hAnsi="Arial"/>
                <w:sz w:val="18"/>
                <w:szCs w:val="18"/>
                <w:color w:val="auto"/>
              </w:rPr>
              <w:t>0.6</w:t>
            </w:r>
          </w:p>
        </w:tc>
        <w:tc>
          <w:tcPr>
            <w:tcW w:w="174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PPS</w:t>
            </w:r>
          </w:p>
        </w:tc>
        <w:tc>
          <w:tcPr>
            <w:tcW w:w="3820" w:type="dxa"/>
            <w:vAlign w:val="bottom"/>
          </w:tcPr>
          <w:p>
            <w:pPr>
              <w:jc w:val="right"/>
              <w:ind w:right="252"/>
              <w:spacing w:after="0"/>
              <w:rPr>
                <w:sz w:val="20"/>
                <w:szCs w:val="20"/>
                <w:color w:val="auto"/>
              </w:rPr>
            </w:pPr>
            <w:r>
              <w:rPr>
                <w:rFonts w:ascii="Arial" w:cs="Arial" w:eastAsia="Arial" w:hAnsi="Arial"/>
                <w:sz w:val="18"/>
                <w:szCs w:val="18"/>
                <w:color w:val="auto"/>
              </w:rPr>
              <w:t>1.1</w:t>
            </w:r>
          </w:p>
        </w:tc>
        <w:tc>
          <w:tcPr>
            <w:tcW w:w="1740" w:type="dxa"/>
            <w:vAlign w:val="bottom"/>
          </w:tcPr>
          <w:p>
            <w:pPr>
              <w:jc w:val="right"/>
              <w:ind w:right="272"/>
              <w:spacing w:after="0"/>
              <w:rPr>
                <w:sz w:val="20"/>
                <w:szCs w:val="20"/>
                <w:color w:val="auto"/>
              </w:rPr>
            </w:pPr>
            <w:r>
              <w:rPr>
                <w:rFonts w:ascii="Arial" w:cs="Arial" w:eastAsia="Arial" w:hAnsi="Arial"/>
                <w:sz w:val="18"/>
                <w:szCs w:val="18"/>
                <w:color w:val="auto"/>
              </w:rPr>
              <w:t>-3.6</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Banco Tequendama</w:t>
            </w:r>
          </w:p>
        </w:tc>
        <w:tc>
          <w:tcPr>
            <w:tcW w:w="3820" w:type="dxa"/>
            <w:vAlign w:val="bottom"/>
          </w:tcPr>
          <w:p>
            <w:pPr>
              <w:jc w:val="right"/>
              <w:ind w:right="252"/>
              <w:spacing w:after="0"/>
              <w:rPr>
                <w:sz w:val="20"/>
                <w:szCs w:val="20"/>
                <w:color w:val="auto"/>
              </w:rPr>
            </w:pPr>
            <w:r>
              <w:rPr>
                <w:rFonts w:ascii="Arial" w:cs="Arial" w:eastAsia="Arial" w:hAnsi="Arial"/>
                <w:sz w:val="18"/>
                <w:szCs w:val="18"/>
                <w:color w:val="auto"/>
              </w:rPr>
              <w:t>-1.1</w:t>
            </w:r>
          </w:p>
        </w:tc>
        <w:tc>
          <w:tcPr>
            <w:tcW w:w="1740" w:type="dxa"/>
            <w:vAlign w:val="bottom"/>
          </w:tcPr>
          <w:p>
            <w:pPr>
              <w:jc w:val="right"/>
              <w:ind w:right="232"/>
              <w:spacing w:after="0"/>
              <w:rPr>
                <w:sz w:val="20"/>
                <w:szCs w:val="20"/>
                <w:color w:val="auto"/>
              </w:rPr>
            </w:pPr>
            <w:r>
              <w:rPr>
                <w:rFonts w:ascii="Arial" w:cs="Arial" w:eastAsia="Arial" w:hAnsi="Arial"/>
                <w:sz w:val="18"/>
                <w:szCs w:val="18"/>
                <w:color w:val="auto"/>
              </w:rPr>
              <w:t>0.5</w:t>
            </w: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Credicorp and others(2)</w:t>
            </w:r>
          </w:p>
        </w:tc>
        <w:tc>
          <w:tcPr>
            <w:tcW w:w="3820" w:type="dxa"/>
            <w:vAlign w:val="bottom"/>
          </w:tcPr>
          <w:p>
            <w:pPr>
              <w:jc w:val="right"/>
              <w:ind w:right="252"/>
              <w:spacing w:after="0"/>
              <w:rPr>
                <w:sz w:val="20"/>
                <w:szCs w:val="20"/>
                <w:color w:val="auto"/>
              </w:rPr>
            </w:pPr>
            <w:r>
              <w:rPr>
                <w:rFonts w:ascii="Arial" w:cs="Arial" w:eastAsia="Arial" w:hAnsi="Arial"/>
                <w:sz w:val="18"/>
                <w:szCs w:val="18"/>
                <w:color w:val="auto"/>
              </w:rPr>
              <w:t>-6.1</w:t>
            </w:r>
          </w:p>
        </w:tc>
        <w:tc>
          <w:tcPr>
            <w:tcW w:w="1740" w:type="dxa"/>
            <w:vAlign w:val="bottom"/>
          </w:tcPr>
          <w:p>
            <w:pPr>
              <w:jc w:val="right"/>
              <w:ind w:right="272"/>
              <w:spacing w:after="0"/>
              <w:rPr>
                <w:sz w:val="20"/>
                <w:szCs w:val="20"/>
                <w:color w:val="auto"/>
              </w:rPr>
            </w:pPr>
            <w:r>
              <w:rPr>
                <w:rFonts w:ascii="Arial" w:cs="Arial" w:eastAsia="Arial" w:hAnsi="Arial"/>
                <w:sz w:val="18"/>
                <w:szCs w:val="18"/>
                <w:color w:val="auto"/>
              </w:rPr>
              <w:t>-3.6</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4480" w:type="dxa"/>
            <w:vAlign w:val="bottom"/>
          </w:tcPr>
          <w:p>
            <w:pPr>
              <w:ind w:left="140"/>
              <w:spacing w:after="0"/>
              <w:rPr>
                <w:sz w:val="20"/>
                <w:szCs w:val="20"/>
                <w:color w:val="auto"/>
              </w:rPr>
            </w:pPr>
            <w:r>
              <w:rPr>
                <w:rFonts w:ascii="Arial" w:cs="Arial" w:eastAsia="Arial" w:hAnsi="Arial"/>
                <w:sz w:val="18"/>
                <w:szCs w:val="18"/>
                <w:b w:val="1"/>
                <w:bCs w:val="1"/>
                <w:color w:val="auto"/>
              </w:rPr>
              <w:t>Consolidated Net Income</w:t>
            </w:r>
          </w:p>
        </w:tc>
        <w:tc>
          <w:tcPr>
            <w:tcW w:w="3820" w:type="dxa"/>
            <w:vAlign w:val="bottom"/>
          </w:tcPr>
          <w:p>
            <w:pPr>
              <w:jc w:val="right"/>
              <w:ind w:right="252"/>
              <w:spacing w:after="0"/>
              <w:rPr>
                <w:sz w:val="20"/>
                <w:szCs w:val="20"/>
                <w:color w:val="auto"/>
              </w:rPr>
            </w:pPr>
            <w:r>
              <w:rPr>
                <w:rFonts w:ascii="Arial" w:cs="Arial" w:eastAsia="Arial" w:hAnsi="Arial"/>
                <w:sz w:val="18"/>
                <w:szCs w:val="18"/>
                <w:b w:val="1"/>
                <w:bCs w:val="1"/>
                <w:color w:val="auto"/>
              </w:rPr>
              <w:t>US$ 2.5</w:t>
            </w:r>
          </w:p>
        </w:tc>
        <w:tc>
          <w:tcPr>
            <w:tcW w:w="1740" w:type="dxa"/>
            <w:vAlign w:val="bottom"/>
          </w:tcPr>
          <w:p>
            <w:pPr>
              <w:jc w:val="right"/>
              <w:ind w:right="232"/>
              <w:spacing w:after="0"/>
              <w:rPr>
                <w:sz w:val="20"/>
                <w:szCs w:val="20"/>
                <w:color w:val="auto"/>
              </w:rPr>
            </w:pPr>
            <w:r>
              <w:rPr>
                <w:rFonts w:ascii="Arial" w:cs="Arial" w:eastAsia="Arial" w:hAnsi="Arial"/>
                <w:sz w:val="18"/>
                <w:szCs w:val="18"/>
                <w:b w:val="1"/>
                <w:bCs w:val="1"/>
                <w:color w:val="auto"/>
              </w:rPr>
              <w:t>US$23.8</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US$30.1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-1048385</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Banco de Crédito de Bolivia.</w:t>
      </w:r>
    </w:p>
    <w:p>
      <w:pPr>
        <w:ind w:left="360" w:hanging="352"/>
        <w:spacing w:after="0"/>
        <w:tabs>
          <w:tab w:leader="none" w:pos="360" w:val="left"/>
        </w:tabs>
        <w:numPr>
          <w:ilvl w:val="0"/>
          <w:numId w:val="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Inversiones Crédito, Credicorp Securities and others.</w:t>
      </w:r>
    </w:p>
    <w:p>
      <w:pPr>
        <w:sectPr>
          <w:pgSz w:w="11900" w:h="16838" w:orient="portrait"/>
          <w:cols w:equalWidth="0" w:num="1">
            <w:col w:w="11420"/>
          </w:cols>
          <w:pgMar w:left="240" w:top="590" w:right="239" w:bottom="22" w:gutter="0" w:footer="0" w:header="0"/>
        </w:sectPr>
      </w:pP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2004, the Credicorp and others concept contributed a loss of US$2.1 million, which includes a US$0.2 million provision for substandard loans transferred from Banco Tequendama. In the first quarter of 2003, a US$6.1 million loss was contributed, which included US$1.9 million of provisions for Banco Tequendama’s loans and approximately US$2.0 million for taxes and set-up costs of a subsidiary.</w:t>
      </w:r>
    </w:p>
    <w:p>
      <w:pPr>
        <w:sectPr>
          <w:pgSz w:w="11900" w:h="16838" w:orient="portrait"/>
          <w:cols w:equalWidth="0" w:num="1">
            <w:col w:w="11420"/>
          </w:cols>
          <w:pgMar w:left="240" w:top="590" w:right="239" w:bottom="22" w:gutter="0" w:footer="0" w:header="0"/>
          <w:type w:val="continuous"/>
        </w:sectPr>
      </w:pPr>
    </w:p>
    <w:bookmarkStart w:id="2" w:name="page3"/>
    <w:bookmarkEnd w:id="2"/>
    <w:p>
      <w:pPr>
        <w:jc w:val="both"/>
        <w:spacing w:after="0" w:line="294" w:lineRule="auto"/>
        <w:rPr>
          <w:sz w:val="20"/>
          <w:szCs w:val="20"/>
          <w:color w:val="auto"/>
        </w:rPr>
      </w:pPr>
      <w:r>
        <w:rPr>
          <w:rFonts w:ascii="Arial" w:cs="Arial" w:eastAsia="Arial" w:hAnsi="Arial"/>
          <w:sz w:val="16"/>
          <w:szCs w:val="16"/>
          <w:color w:val="auto"/>
        </w:rPr>
        <w:t>In the present quarter, Banco de Crédito BCP contributed US$25.9 million to Credicorp’s net income, above its results according to Peruvian accounting principles reported in Section II, which amounted to US$19.4 million, with the difference mainly due to the loss on inflation exposure in local books while translation gains were registered by Credicorp. Compared with a US$10.1 million loss in BCP’s local records, which resulted from inflation adjustment losses and losses on foreign currency positions caused by the Nuevo Sol appreciation against the Dollar, Credicorp’s Dollar-based accounting shows a US$1.7 million translation gain, which was partly offset by minority interest eliminations and deferred provisions amounting to approximately US$4.0 million.</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contribution of Atlantic Security Holding Corporation of US$2.9 million in the current quarter is below US$7.7 million net income shown in its books (see Section III), due to the elimination for consolidation purposes of US$4.8 million of dividends from Credicorp and registered as income in March of 2004. In the year-ago first quarter, US$3.1 million were registered as dividends, which were deducted to show the US$0.6 million contribution for this period.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first quarter 2004, Credicorp received a US$2.8 million profit contribution from Pacífico Peruano Suiza, higher than the consolidated net income of US$2.2 million in its local Peruvian GAAP books (See Section IV), which registered higher inflation adjustment losses.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Banco Tequendama contributed net income of US$0.6 million in the first quarter of 2004, compared to a US$1.1 million loss in the prior year quarter. These contributed amounts do not include provision expense incurred by Credicorp of US$0.2 million and US$1.9 million, respectively, for transferred loans as mentioned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I.1 PERUVIAN ECONOMIC SITUATION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Economic Activity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Peruvian GDP began year 2004 maintaining its positive trend, although at low growth rates, but achieving, through February, 32 consecutive months with positive growth. GDP grew 3.0% in January 2004 and 4.1% during February, resulting in cumulative growth of 3.6% in the two months. GDP growth is driven primarily by exports, with improved volume and prices, with modest growth of private consumption and investment.</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GDP grew 3.4% and 2.8%, in the third and fourth quarters of 2003, respectively, and is expected to grow approximately 3.6% in first quarter 2004. Official estimates put 2004 GDP growth at 4%, which is similar to growth in total 2003.</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GDP growth through February 2004 benefitted mainly from: the continuing strength of metals mining, with a 19.3% increase; the construction sector that grew 6.2%; utilities, with 4.7% increase; and, non-primary manufacturing by 3.0%. On the other hand, production was poor on the agricultural and fishing sectors.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Public Finance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Public sector deficit was 1.9% in full-year 2003, meeting the expected target and decreasing from the 2.3% deficit in 2002. This positive result is mainly due to increased Central Government tax revenue that reached 12.9% of GDP, higher than 12.1% in the prior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deficit for total year 2004 is expected at 1.6% by government officials.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total year 2003, tax collections increased 10.7%, in nominal terms, noting a 39% increase of Income Tax revenue from corporations and the 13% in case of the value-added tax (IGV), which increased mainly due to administrative measures and a rate increase of the IGV. Non-financial expenses increased 8.1% (nominal) and capital expenses by 4.3%.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Prices and Devaluation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first quarter of 2004, the consumer price index in Peru increased 2.1%, higher than increases of 0.8% and 0.4% in the preceding fourth and third quarters of 2003, respectively, and is also over 1.8% inflation in the first quarter of 2003. Higher inflation in the current quarter was due principally to increased food prices caused by low supply of agricultural products, higher fuel prices and the seasonal adjustment of education prices.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Cumulative inflation for the twelve month period through March 2004 was 2.8%, higher than 2.5% in total 2003, but remained within the range, 1.5% to 3.5%, targetted by the Central Bank for total 2004.</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wholesale price index increased 2.8% in the current quarter, compared to a 1.1% increase in the first quarter 2003, and is also higher than 1.0% and 0.5% in the preceding fourth and third quarters of 2003. Wholesale prices increased mainly due to higher cost of imported intermediate goods.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average bank market Nuevos Soles exchange rate in Peru was S/.3.460 at March 31, 2004, decreasing slightly from S/.3.463 at the end of December 2003, and also declines 1.5% from S/.3.514 as of December 31, 2002.</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To avoid the streghtening of the currency, the Central Bank increased the purchase of foreign exchange in the currency market, which is sterilized with the sale of certificates of deposits, acquiring US$540 million in first quarter 2004, after purchasing US$1,050 million during total 2003.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Reserves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International reserves of the Central Bank increased during first quarter 2004, reaching US$10,475 million at March 31, 2004 from US$10,194 million at December 31, 2003, and also compared to US$10,443 million at March 31, 2003.</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Trade Balance had a US$352 million cumulative surplus through February 2004, increasing compared to a US$48 million surplus in the same two month period of 2003. The improvement continues the positive trend noted in 2002, when the surplus reached US$503 million and in 2003 when the surplus grew to US$710 million. Cumulative through February 2004, exports grew 24% versus a 2% increase in imports. Exports, which reached US$1,706 million as of February 2004, grow on increased volume and prices, specially of gold and non-traditional textiles exports. Imports through February 2004 amounted to US$1,355 million, increasing mainly due to higher imports of raw materials and intermediate goods, while consumer goods declined.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During the current quarter commercial bank’s loan and deposit volumes declined, within a continuing excess liquidity situation. Deposits at March 31, 2004 in the fourteen commercial banks in the system reached S/.47.3 billion (US$13.7 billion), according to the Asociación de Bancos del Peru (ASBANC), remaining</w:t>
      </w:r>
    </w:p>
    <w:p>
      <w:pPr>
        <w:sectPr>
          <w:pgSz w:w="11900" w:h="16838" w:orient="portrait"/>
          <w:cols w:equalWidth="0" w:num="1">
            <w:col w:w="11420"/>
          </w:cols>
          <w:pgMar w:left="240" w:top="131" w:right="239" w:bottom="0" w:gutter="0" w:footer="0" w:header="0"/>
        </w:sectPr>
      </w:pPr>
    </w:p>
    <w:bookmarkStart w:id="3" w:name="page4"/>
    <w:bookmarkEnd w:id="3"/>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almost unchanged, in nominal terms, compared to the balance at December 31, 2003. Deposits declined 2.4% from the year-ago balance at March 31, 2003.</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2004, total loans in the banking system decreased 0.2%, in nominal terms, to S/.34.9 billion (US$10.1 billion), compared to loans at December 31, 2003, and are 3.3% below March 31, 2003 loan balances. In the current period, local currency loans (23.2% of total loans) grew 4.1% to S/.8.1 billion (US$2.3 billion), while foreign currency loans decreased 1.5% to US$7.4 billion.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2004, the Peruvian bank's past due ratio was 5.8%, improving from the 5.9% rate in December 31, 2003 and from 7.8% in March 31, 2003. Commercial banks’ past due loans decreased 1.9% during the current quarter to S/.2.0 billion (US$586 million), and are lower by 28.2% compared to bad loans at March 31, 2003. At March 31, 2004, loan loss provisions were S/.2.9 billion (US$841 million), decreasing 0.2% during this quarter. The system-wide past due loan coverage ratio was 143.5% at March 31, 2004, higher than the 141.0% coverage at December 31, 2003, and is also higher than the ratio of 132.5% at March 31, 2003.</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first quarter 2004 commercial banks’ interest rates had mixed trends, with increases in loan rates while deposit rates remained almost unchanged. Local currency average loan rates (TAMN) were 24.1% in first quarter 2004, increasing from 22.2% in the fourth quarter of 2003, while deposits rates (TIPMN) decreased to 2.4% from 2.7%, respectively. In the first quarter 2003, TAMN was 20.2% and TIPMN was 3.5%. During the first quarter 2004 foreign currency rates loan rates (TAMEX) increased to 9.3% from 9.1% in the preceding quarter, while deposit rates (TIPMEX) remained at 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Private Pension Funds and Mutual Funds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poor performance in bank’s deposit and loan volumes contrast with increases in the private pension fund’s managed assets and in mutual funds. The private pension fund assets reached US$6.8 billion as of March 31, 2004, increasing 6.1% in the current quarter, and 38.5% since March 2003, with a return of 19.7% in real terms in the twelve month period.</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mutual funds amounted to US$2.1 billion at the end of the first quarter 2004, after growing 3.4% in the quarter and 26.5% since March 2003, with a return of 0.71% in the quarter and of 2.9% during calendar year 2003 (in Dollar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I.2 INTEREST INCOME AND OTHER INCOME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Note: For comparison purposes, in the current quarter certain financial revenue items registered by insurance subsidiaries have been retroactively reclassified from the Other non-financial income concept into the Interest Income concept, with no effect on either net income nor total revenue.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interest income in the first quarter of 2004 was US$90.0 million, lower than US$94.4 million earned in the same period of 2003, mostly due to a decrease in interest earning assets which is partly offset by higher interest margins.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net interest margin (net interest income over average interest earning assets), on an annualized basis, was 5.54% during the first quarter of 2003, higher than 5.46% in the year-ago quarter, but declines from 6.07% in the preceding fourth quarter of 2003. During the quarter net interest margins decreased mainly due to lower loan rates, in both local and foreing exchange loans, while funding costs remained stable, within a continuing overall excess of liquid funds.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volume of interest earning assets, as an average between monthly ending balances, reached US$6,495 million in this quarter, decreasing 6.1% compared to US$6,915 million in the first quarter of 2003.</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was US$108.8 million in the first quarter of 2004, 1.8% higher than US$106.9 million in the same period of 2003, principally due to higher insurance premiums that offset lower Other income, which decline because in the first quarter 2003, high non-recurrent income was registered in connection with the BSCH-Perú merger (see Section II.3). Non-interest income components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2460" w:type="dxa"/>
            <w:vAlign w:val="bottom"/>
          </w:tcPr>
          <w:p>
            <w:pPr>
              <w:jc w:val="right"/>
              <w:ind w:right="652"/>
              <w:spacing w:after="0"/>
              <w:rPr>
                <w:sz w:val="20"/>
                <w:szCs w:val="20"/>
                <w:color w:val="auto"/>
              </w:rPr>
            </w:pPr>
            <w:r>
              <w:rPr>
                <w:rFonts w:ascii="Arial" w:cs="Arial" w:eastAsia="Arial" w:hAnsi="Arial"/>
                <w:sz w:val="18"/>
                <w:szCs w:val="18"/>
                <w:b w:val="1"/>
                <w:bCs w:val="1"/>
                <w:color w:val="auto"/>
              </w:rPr>
              <w:t>1Q03</w:t>
            </w:r>
          </w:p>
        </w:tc>
        <w:tc>
          <w:tcPr>
            <w:tcW w:w="1360" w:type="dxa"/>
            <w:vAlign w:val="bottom"/>
          </w:tcPr>
          <w:p>
            <w:pPr>
              <w:jc w:val="right"/>
              <w:ind w:right="652"/>
              <w:spacing w:after="0"/>
              <w:rPr>
                <w:sz w:val="20"/>
                <w:szCs w:val="20"/>
                <w:color w:val="auto"/>
              </w:rPr>
            </w:pPr>
            <w:r>
              <w:rPr>
                <w:rFonts w:ascii="Arial" w:cs="Arial" w:eastAsia="Arial" w:hAnsi="Arial"/>
                <w:sz w:val="18"/>
                <w:szCs w:val="18"/>
                <w:b w:val="1"/>
                <w:bCs w:val="1"/>
                <w:color w:val="auto"/>
              </w:rPr>
              <w:t>4Q03</w:t>
            </w:r>
          </w:p>
        </w:tc>
        <w:tc>
          <w:tcPr>
            <w:tcW w:w="1200" w:type="dxa"/>
            <w:vAlign w:val="bottom"/>
          </w:tcPr>
          <w:p>
            <w:pPr>
              <w:jc w:val="right"/>
              <w:ind w:right="492"/>
              <w:spacing w:after="0"/>
              <w:rPr>
                <w:sz w:val="20"/>
                <w:szCs w:val="20"/>
                <w:color w:val="auto"/>
              </w:rPr>
            </w:pPr>
            <w:r>
              <w:rPr>
                <w:rFonts w:ascii="Arial" w:cs="Arial" w:eastAsia="Arial" w:hAnsi="Arial"/>
                <w:sz w:val="18"/>
                <w:szCs w:val="18"/>
                <w:b w:val="1"/>
                <w:bCs w:val="1"/>
                <w:color w:val="auto"/>
              </w:rPr>
              <w:t>1Q04</w:t>
            </w:r>
          </w:p>
        </w:tc>
        <w:tc>
          <w:tcPr>
            <w:tcW w:w="136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1Q04 vs. 4Q03</w:t>
            </w:r>
          </w:p>
        </w:tc>
        <w:tc>
          <w:tcPr>
            <w:tcW w:w="1300" w:type="dxa"/>
            <w:vAlign w:val="bottom"/>
          </w:tcPr>
          <w:p>
            <w:pPr>
              <w:jc w:val="right"/>
              <w:ind w:right="92"/>
              <w:spacing w:after="0"/>
              <w:rPr>
                <w:sz w:val="20"/>
                <w:szCs w:val="20"/>
                <w:color w:val="auto"/>
              </w:rPr>
            </w:pPr>
            <w:r>
              <w:rPr>
                <w:rFonts w:ascii="Arial" w:cs="Arial" w:eastAsia="Arial" w:hAnsi="Arial"/>
                <w:sz w:val="18"/>
                <w:szCs w:val="18"/>
                <w:b w:val="1"/>
                <w:bCs w:val="1"/>
                <w:color w:val="auto"/>
                <w:w w:val="93"/>
              </w:rPr>
              <w:t>1Q04 vs.1Q03</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r>
        <w:trPr>
          <w:trHeight w:val="309"/>
        </w:trPr>
        <w:tc>
          <w:tcPr>
            <w:tcW w:w="374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46.2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46.8</w:t>
            </w:r>
          </w:p>
        </w:tc>
        <w:tc>
          <w:tcPr>
            <w:tcW w:w="1200" w:type="dxa"/>
            <w:vAlign w:val="bottom"/>
          </w:tcPr>
          <w:p>
            <w:pPr>
              <w:jc w:val="right"/>
              <w:spacing w:after="0"/>
              <w:rPr>
                <w:sz w:val="20"/>
                <w:szCs w:val="20"/>
                <w:color w:val="auto"/>
              </w:rPr>
            </w:pPr>
            <w:r>
              <w:rPr>
                <w:rFonts w:ascii="Arial" w:cs="Arial" w:eastAsia="Arial" w:hAnsi="Arial"/>
                <w:sz w:val="18"/>
                <w:szCs w:val="18"/>
                <w:color w:val="auto"/>
              </w:rPr>
              <w:t>47.1</w:t>
            </w: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premiums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31.9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27.3</w:t>
            </w: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c>
          <w:tcPr>
            <w:tcW w:w="13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-0.2</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22.7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360" w:type="dxa"/>
            <w:vAlign w:val="bottom"/>
          </w:tcPr>
          <w:p>
            <w:pPr>
              <w:jc w:val="right"/>
              <w:spacing w:after="0"/>
              <w:rPr>
                <w:sz w:val="20"/>
                <w:szCs w:val="20"/>
                <w:color w:val="auto"/>
              </w:rPr>
            </w:pPr>
            <w:r>
              <w:rPr>
                <w:rFonts w:ascii="Arial" w:cs="Arial" w:eastAsia="Arial" w:hAnsi="Arial"/>
                <w:sz w:val="18"/>
                <w:szCs w:val="18"/>
                <w:color w:val="auto"/>
              </w:rPr>
              <w:t>17.0%</w:t>
            </w: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Total Non-Interest Income</w:t>
            </w:r>
          </w:p>
        </w:tc>
        <w:tc>
          <w:tcPr>
            <w:tcW w:w="2460" w:type="dxa"/>
            <w:vAlign w:val="bottom"/>
          </w:tcPr>
          <w:p>
            <w:pPr>
              <w:jc w:val="right"/>
              <w:ind w:right="152"/>
              <w:spacing w:after="0"/>
              <w:rPr>
                <w:sz w:val="20"/>
                <w:szCs w:val="20"/>
                <w:color w:val="auto"/>
              </w:rPr>
            </w:pPr>
            <w:r>
              <w:rPr>
                <w:rFonts w:ascii="Arial" w:cs="Arial" w:eastAsia="Arial" w:hAnsi="Arial"/>
                <w:sz w:val="18"/>
                <w:szCs w:val="18"/>
                <w:b w:val="1"/>
                <w:bCs w:val="1"/>
                <w:color w:val="auto"/>
              </w:rPr>
              <w:t>106.9</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89.6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108.8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I.3 OTHER NON-INTEREST EXPENSES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non-interest expenses amounted to US$110.0 million in first quarter 2004, 11.7% less than expenses in the same period of the previous year. The decrease is explained principally by lower merger costs, which were US$15.5 million in first quarter 2003, corresponding to the merger of BSCH-Peru, and declined to US$1.8 million in the current period, which are related to the absorption of Solucion Financiera.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20"/>
                <w:szCs w:val="20"/>
                <w:color w:val="auto"/>
              </w:rPr>
            </w:pPr>
            <w:r>
              <w:rPr>
                <w:rFonts w:ascii="Arial" w:cs="Arial" w:eastAsia="Arial" w:hAnsi="Arial"/>
                <w:sz w:val="18"/>
                <w:szCs w:val="18"/>
                <w:i w:val="1"/>
                <w:iCs w:val="1"/>
                <w:color w:val="auto"/>
              </w:rPr>
              <w:t>(% change and US$Mn)</w:t>
            </w:r>
          </w:p>
        </w:tc>
        <w:tc>
          <w:tcPr>
            <w:tcW w:w="2480" w:type="dxa"/>
            <w:vAlign w:val="bottom"/>
          </w:tcPr>
          <w:p>
            <w:pPr>
              <w:jc w:val="right"/>
              <w:ind w:right="652"/>
              <w:spacing w:after="0"/>
              <w:rPr>
                <w:sz w:val="20"/>
                <w:szCs w:val="20"/>
                <w:color w:val="auto"/>
              </w:rPr>
            </w:pPr>
            <w:r>
              <w:rPr>
                <w:rFonts w:ascii="Arial" w:cs="Arial" w:eastAsia="Arial" w:hAnsi="Arial"/>
                <w:sz w:val="18"/>
                <w:szCs w:val="18"/>
                <w:b w:val="1"/>
                <w:bCs w:val="1"/>
                <w:color w:val="auto"/>
              </w:rPr>
              <w:t>1Q03</w:t>
            </w:r>
          </w:p>
        </w:tc>
        <w:tc>
          <w:tcPr>
            <w:tcW w:w="1360" w:type="dxa"/>
            <w:vAlign w:val="bottom"/>
          </w:tcPr>
          <w:p>
            <w:pPr>
              <w:jc w:val="right"/>
              <w:ind w:right="652"/>
              <w:spacing w:after="0"/>
              <w:rPr>
                <w:sz w:val="20"/>
                <w:szCs w:val="20"/>
                <w:color w:val="auto"/>
              </w:rPr>
            </w:pPr>
            <w:r>
              <w:rPr>
                <w:rFonts w:ascii="Arial" w:cs="Arial" w:eastAsia="Arial" w:hAnsi="Arial"/>
                <w:sz w:val="18"/>
                <w:szCs w:val="18"/>
                <w:b w:val="1"/>
                <w:bCs w:val="1"/>
                <w:color w:val="auto"/>
              </w:rPr>
              <w:t>4Q03</w:t>
            </w:r>
          </w:p>
        </w:tc>
        <w:tc>
          <w:tcPr>
            <w:tcW w:w="1200" w:type="dxa"/>
            <w:vAlign w:val="bottom"/>
          </w:tcPr>
          <w:p>
            <w:pPr>
              <w:jc w:val="right"/>
              <w:ind w:right="492"/>
              <w:spacing w:after="0"/>
              <w:rPr>
                <w:sz w:val="20"/>
                <w:szCs w:val="20"/>
                <w:color w:val="auto"/>
              </w:rPr>
            </w:pPr>
            <w:r>
              <w:rPr>
                <w:rFonts w:ascii="Arial" w:cs="Arial" w:eastAsia="Arial" w:hAnsi="Arial"/>
                <w:sz w:val="18"/>
                <w:szCs w:val="18"/>
                <w:b w:val="1"/>
                <w:bCs w:val="1"/>
                <w:color w:val="auto"/>
              </w:rPr>
              <w:t>1Q04</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w w:val="90"/>
              </w:rPr>
              <w:t>1Q04 vs. 4Q03</w:t>
            </w:r>
          </w:p>
        </w:tc>
        <w:tc>
          <w:tcPr>
            <w:tcW w:w="1320" w:type="dxa"/>
            <w:vAlign w:val="bottom"/>
          </w:tcPr>
          <w:p>
            <w:pPr>
              <w:jc w:val="right"/>
              <w:ind w:right="72"/>
              <w:spacing w:after="0"/>
              <w:rPr>
                <w:sz w:val="20"/>
                <w:szCs w:val="20"/>
                <w:color w:val="auto"/>
              </w:rPr>
            </w:pPr>
            <w:r>
              <w:rPr>
                <w:rFonts w:ascii="Arial" w:cs="Arial" w:eastAsia="Arial" w:hAnsi="Arial"/>
                <w:sz w:val="18"/>
                <w:szCs w:val="18"/>
                <w:b w:val="1"/>
                <w:bCs w:val="1"/>
                <w:color w:val="auto"/>
                <w:w w:val="92"/>
              </w:rPr>
              <w:t>1Q04 vs. 1Q03</w:t>
            </w:r>
          </w:p>
        </w:tc>
      </w:tr>
      <w:tr>
        <w:trPr>
          <w:trHeight w:val="110"/>
        </w:trPr>
        <w:tc>
          <w:tcPr>
            <w:tcW w:w="372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r>
        <w:trPr>
          <w:trHeight w:val="309"/>
        </w:trPr>
        <w:tc>
          <w:tcPr>
            <w:tcW w:w="37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46.1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48.7</w:t>
            </w:r>
          </w:p>
        </w:tc>
        <w:tc>
          <w:tcPr>
            <w:tcW w:w="1200" w:type="dxa"/>
            <w:vAlign w:val="bottom"/>
          </w:tcPr>
          <w:p>
            <w:pPr>
              <w:jc w:val="right"/>
              <w:spacing w:after="0"/>
              <w:rPr>
                <w:sz w:val="20"/>
                <w:szCs w:val="20"/>
                <w:color w:val="auto"/>
              </w:rPr>
            </w:pPr>
            <w:r>
              <w:rPr>
                <w:rFonts w:ascii="Arial" w:cs="Arial" w:eastAsia="Arial" w:hAnsi="Arial"/>
                <w:sz w:val="18"/>
                <w:szCs w:val="18"/>
                <w:color w:val="auto"/>
              </w:rPr>
              <w:t>44.4</w:t>
            </w:r>
          </w:p>
        </w:tc>
        <w:tc>
          <w:tcPr>
            <w:tcW w:w="1340" w:type="dxa"/>
            <w:vAlign w:val="bottom"/>
          </w:tcPr>
          <w:p>
            <w:pPr>
              <w:jc w:val="right"/>
              <w:spacing w:after="0"/>
              <w:rPr>
                <w:sz w:val="20"/>
                <w:szCs w:val="20"/>
                <w:color w:val="auto"/>
              </w:rPr>
            </w:pPr>
            <w:r>
              <w:rPr>
                <w:rFonts w:ascii="Arial" w:cs="Arial" w:eastAsia="Arial" w:hAnsi="Arial"/>
                <w:sz w:val="18"/>
                <w:szCs w:val="18"/>
                <w:color w:val="auto"/>
              </w:rPr>
              <w:t>-8.9%</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38.8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38.2</w:t>
            </w:r>
          </w:p>
        </w:tc>
        <w:tc>
          <w:tcPr>
            <w:tcW w:w="1200" w:type="dxa"/>
            <w:vAlign w:val="bottom"/>
          </w:tcPr>
          <w:p>
            <w:pPr>
              <w:jc w:val="right"/>
              <w:spacing w:after="0"/>
              <w:rPr>
                <w:sz w:val="20"/>
                <w:szCs w:val="20"/>
                <w:color w:val="auto"/>
              </w:rPr>
            </w:pPr>
            <w:r>
              <w:rPr>
                <w:rFonts w:ascii="Arial" w:cs="Arial" w:eastAsia="Arial" w:hAnsi="Arial"/>
                <w:sz w:val="18"/>
                <w:szCs w:val="18"/>
                <w:color w:val="auto"/>
              </w:rPr>
              <w:t>37.5</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11.7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11.7</w:t>
            </w: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12.5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15.3</w:t>
            </w: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3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0"/>
        </w:trPr>
        <w:tc>
          <w:tcPr>
            <w:tcW w:w="3720" w:type="dxa"/>
            <w:vAlign w:val="bottom"/>
          </w:tcPr>
          <w:p>
            <w:pPr>
              <w:spacing w:after="0"/>
              <w:rPr>
                <w:sz w:val="20"/>
                <w:szCs w:val="20"/>
                <w:color w:val="auto"/>
              </w:rPr>
            </w:pPr>
            <w:r>
              <w:rPr>
                <w:rFonts w:ascii="Arial" w:cs="Arial" w:eastAsia="Arial" w:hAnsi="Arial"/>
                <w:sz w:val="18"/>
                <w:szCs w:val="18"/>
                <w:color w:val="auto"/>
              </w:rPr>
              <w:t>Merger costs</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15.5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340" w:type="dxa"/>
            <w:vAlign w:val="bottom"/>
          </w:tcPr>
          <w:p>
            <w:pPr>
              <w:jc w:val="right"/>
              <w:spacing w:after="0"/>
              <w:rPr>
                <w:sz w:val="20"/>
                <w:szCs w:val="20"/>
                <w:color w:val="auto"/>
              </w:rPr>
            </w:pPr>
            <w:r>
              <w:rPr>
                <w:rFonts w:ascii="Arial" w:cs="Arial" w:eastAsia="Arial" w:hAnsi="Arial"/>
                <w:sz w:val="18"/>
                <w:szCs w:val="18"/>
                <w:color w:val="auto"/>
              </w:rPr>
              <w:t>66.3</w:t>
            </w: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28"/>
        </w:trPr>
        <w:tc>
          <w:tcPr>
            <w:tcW w:w="372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2480" w:type="dxa"/>
            <w:vAlign w:val="bottom"/>
          </w:tcPr>
          <w:p>
            <w:pPr>
              <w:jc w:val="right"/>
              <w:ind w:right="152"/>
              <w:spacing w:after="0"/>
              <w:rPr>
                <w:sz w:val="20"/>
                <w:szCs w:val="20"/>
                <w:color w:val="auto"/>
              </w:rPr>
            </w:pPr>
            <w:r>
              <w:rPr>
                <w:rFonts w:ascii="Arial" w:cs="Arial" w:eastAsia="Arial" w:hAnsi="Arial"/>
                <w:sz w:val="18"/>
                <w:szCs w:val="18"/>
                <w:b w:val="1"/>
                <w:bCs w:val="1"/>
                <w:color w:val="auto"/>
              </w:rPr>
              <w:t>124.6</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115.0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110"/>
        </w:trPr>
        <w:tc>
          <w:tcPr>
            <w:tcW w:w="372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The efficiency ratio, “adjusted” operating expenses (determined by netting provisions for assets received in lieu of loan repayment, employee profit sharing expenses and non-recurrent expenses) as a percentage of total income, without extraordinary concepts, was 49.8% in the first quarter of 2004 having been 50.8%</w:t>
      </w:r>
    </w:p>
    <w:p>
      <w:pPr>
        <w:sectPr>
          <w:pgSz w:w="11900" w:h="16935" w:orient="portrait"/>
          <w:cols w:equalWidth="0" w:num="1">
            <w:col w:w="11420"/>
          </w:cols>
          <w:pgMar w:left="240" w:top="131" w:right="239" w:bottom="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in the same period last year. “Adjusted” operating expenses as a percentage of average total assets increased to 4.8% from 4.6%, in the same 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I.4 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totals assets were US$8.3 billion at March 31, 2004, remaining almost unchanged since the end of December 2003, but decreases 3.3% compared to the balance of March 2003. The loan portfolio as of March 31, 2004 reached US$4.4 billion, declining 1.8% during the current quarter, and decrease 5.1% compared to the March 2003 balance.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and other obligations reached US$6.3 billion at March 31, 2004, decreasing slightly 0.3% since last December 2003, but are 6.2% lower than the March 2003 balance. Due to banks and correspondents, which closed at US$255.1 million, continued its declining trend, decreasing 6.7% during the quarter and by 13.1% in the year since March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funds under management continued to grow reaching US$1.8 billion at the end of March 2004, increasing 3.4% in the quarter and by 23.4% since March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204470</wp:posOffset>
            </wp:positionV>
            <wp:extent cx="436054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6054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76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2180" w:type="dxa"/>
            <w:vAlign w:val="bottom"/>
          </w:tcPr>
          <w:p>
            <w:pPr>
              <w:jc w:val="right"/>
              <w:ind w:right="412"/>
              <w:spacing w:after="0"/>
              <w:rPr>
                <w:sz w:val="20"/>
                <w:szCs w:val="20"/>
                <w:color w:val="auto"/>
              </w:rPr>
            </w:pPr>
            <w:r>
              <w:rPr>
                <w:rFonts w:ascii="Arial" w:cs="Arial" w:eastAsia="Arial" w:hAnsi="Arial"/>
                <w:sz w:val="18"/>
                <w:szCs w:val="18"/>
                <w:b w:val="1"/>
                <w:bCs w:val="1"/>
                <w:color w:val="auto"/>
              </w:rPr>
              <w:t>1Q03</w:t>
            </w:r>
          </w:p>
        </w:tc>
        <w:tc>
          <w:tcPr>
            <w:tcW w:w="1020" w:type="dxa"/>
            <w:vAlign w:val="bottom"/>
          </w:tcPr>
          <w:p>
            <w:pPr>
              <w:jc w:val="right"/>
              <w:ind w:right="392"/>
              <w:spacing w:after="0"/>
              <w:rPr>
                <w:sz w:val="20"/>
                <w:szCs w:val="20"/>
                <w:color w:val="auto"/>
              </w:rPr>
            </w:pPr>
            <w:r>
              <w:rPr>
                <w:rFonts w:ascii="Arial" w:cs="Arial" w:eastAsia="Arial" w:hAnsi="Arial"/>
                <w:sz w:val="18"/>
                <w:szCs w:val="18"/>
                <w:b w:val="1"/>
                <w:bCs w:val="1"/>
                <w:color w:val="auto"/>
              </w:rPr>
              <w:t>4Q03</w:t>
            </w: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1Q04</w:t>
            </w:r>
          </w:p>
        </w:tc>
      </w:tr>
      <w:tr>
        <w:trPr>
          <w:trHeight w:val="110"/>
        </w:trPr>
        <w:tc>
          <w:tcPr>
            <w:tcW w:w="27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309"/>
        </w:trPr>
        <w:tc>
          <w:tcPr>
            <w:tcW w:w="2760" w:type="dxa"/>
            <w:vAlign w:val="bottom"/>
          </w:tcPr>
          <w:p>
            <w:pPr>
              <w:spacing w:after="0"/>
              <w:rPr>
                <w:sz w:val="20"/>
                <w:szCs w:val="20"/>
                <w:color w:val="auto"/>
              </w:rPr>
            </w:pPr>
            <w:r>
              <w:rPr>
                <w:rFonts w:ascii="Arial" w:cs="Arial" w:eastAsia="Arial" w:hAnsi="Arial"/>
                <w:sz w:val="18"/>
                <w:szCs w:val="18"/>
                <w:color w:val="auto"/>
              </w:rPr>
              <w:t>Total loans</w:t>
            </w:r>
          </w:p>
        </w:tc>
        <w:tc>
          <w:tcPr>
            <w:tcW w:w="2180" w:type="dxa"/>
            <w:vAlign w:val="bottom"/>
          </w:tcPr>
          <w:p>
            <w:pPr>
              <w:jc w:val="right"/>
              <w:ind w:right="72"/>
              <w:spacing w:after="0"/>
              <w:rPr>
                <w:sz w:val="20"/>
                <w:szCs w:val="20"/>
                <w:color w:val="auto"/>
              </w:rPr>
            </w:pPr>
            <w:r>
              <w:rPr>
                <w:rFonts w:ascii="Arial" w:cs="Arial" w:eastAsia="Arial" w:hAnsi="Arial"/>
                <w:sz w:val="18"/>
                <w:szCs w:val="18"/>
                <w:color w:val="auto"/>
              </w:rPr>
              <w:t>4,639.6</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4,481.5</w:t>
            </w:r>
          </w:p>
        </w:tc>
        <w:tc>
          <w:tcPr>
            <w:tcW w:w="880" w:type="dxa"/>
            <w:vAlign w:val="bottom"/>
          </w:tcPr>
          <w:p>
            <w:pPr>
              <w:jc w:val="right"/>
              <w:spacing w:after="0"/>
              <w:rPr>
                <w:sz w:val="20"/>
                <w:szCs w:val="20"/>
                <w:color w:val="auto"/>
              </w:rPr>
            </w:pPr>
            <w:r>
              <w:rPr>
                <w:rFonts w:ascii="Arial" w:cs="Arial" w:eastAsia="Arial" w:hAnsi="Arial"/>
                <w:sz w:val="18"/>
                <w:szCs w:val="18"/>
                <w:color w:val="auto"/>
              </w:rPr>
              <w:t>4,401.7</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Past due loans</w:t>
            </w:r>
          </w:p>
        </w:tc>
        <w:tc>
          <w:tcPr>
            <w:tcW w:w="2180" w:type="dxa"/>
            <w:vAlign w:val="bottom"/>
          </w:tcPr>
          <w:p>
            <w:pPr>
              <w:jc w:val="right"/>
              <w:ind w:right="72"/>
              <w:spacing w:after="0"/>
              <w:rPr>
                <w:sz w:val="20"/>
                <w:szCs w:val="20"/>
                <w:color w:val="auto"/>
              </w:rPr>
            </w:pPr>
            <w:r>
              <w:rPr>
                <w:rFonts w:ascii="Arial" w:cs="Arial" w:eastAsia="Arial" w:hAnsi="Arial"/>
                <w:sz w:val="18"/>
                <w:szCs w:val="18"/>
                <w:color w:val="auto"/>
              </w:rPr>
              <w:t>384.1</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256.5</w:t>
            </w:r>
          </w:p>
        </w:tc>
        <w:tc>
          <w:tcPr>
            <w:tcW w:w="880" w:type="dxa"/>
            <w:vAlign w:val="bottom"/>
          </w:tcPr>
          <w:p>
            <w:pPr>
              <w:jc w:val="right"/>
              <w:spacing w:after="0"/>
              <w:rPr>
                <w:sz w:val="20"/>
                <w:szCs w:val="20"/>
                <w:color w:val="auto"/>
              </w:rPr>
            </w:pPr>
            <w:r>
              <w:rPr>
                <w:rFonts w:ascii="Arial" w:cs="Arial" w:eastAsia="Arial" w:hAnsi="Arial"/>
                <w:sz w:val="18"/>
                <w:szCs w:val="18"/>
                <w:color w:val="auto"/>
              </w:rPr>
              <w:t>249.8</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Loan loss reserves</w:t>
            </w:r>
          </w:p>
        </w:tc>
        <w:tc>
          <w:tcPr>
            <w:tcW w:w="2180" w:type="dxa"/>
            <w:vAlign w:val="bottom"/>
          </w:tcPr>
          <w:p>
            <w:pPr>
              <w:jc w:val="right"/>
              <w:ind w:right="72"/>
              <w:spacing w:after="0"/>
              <w:rPr>
                <w:sz w:val="20"/>
                <w:szCs w:val="20"/>
                <w:color w:val="auto"/>
              </w:rPr>
            </w:pPr>
            <w:r>
              <w:rPr>
                <w:rFonts w:ascii="Arial" w:cs="Arial" w:eastAsia="Arial" w:hAnsi="Arial"/>
                <w:sz w:val="18"/>
                <w:szCs w:val="18"/>
                <w:color w:val="auto"/>
              </w:rPr>
              <w:t>430.7</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326.7</w:t>
            </w:r>
          </w:p>
        </w:tc>
        <w:tc>
          <w:tcPr>
            <w:tcW w:w="880" w:type="dxa"/>
            <w:vAlign w:val="bottom"/>
          </w:tcPr>
          <w:p>
            <w:pPr>
              <w:jc w:val="right"/>
              <w:spacing w:after="0"/>
              <w:rPr>
                <w:sz w:val="20"/>
                <w:szCs w:val="20"/>
                <w:color w:val="auto"/>
              </w:rPr>
            </w:pPr>
            <w:r>
              <w:rPr>
                <w:rFonts w:ascii="Arial" w:cs="Arial" w:eastAsia="Arial" w:hAnsi="Arial"/>
                <w:sz w:val="18"/>
                <w:szCs w:val="18"/>
                <w:color w:val="auto"/>
              </w:rPr>
              <w:t>313.6</w:t>
            </w:r>
          </w:p>
        </w:tc>
      </w:tr>
      <w:tr>
        <w:trPr>
          <w:trHeight w:val="426"/>
        </w:trPr>
        <w:tc>
          <w:tcPr>
            <w:tcW w:w="2760" w:type="dxa"/>
            <w:vAlign w:val="bottom"/>
          </w:tcPr>
          <w:p>
            <w:pPr>
              <w:spacing w:after="0"/>
              <w:rPr>
                <w:sz w:val="20"/>
                <w:szCs w:val="20"/>
                <w:color w:val="auto"/>
              </w:rPr>
            </w:pPr>
            <w:r>
              <w:rPr>
                <w:rFonts w:ascii="Arial" w:cs="Arial" w:eastAsia="Arial" w:hAnsi="Arial"/>
                <w:sz w:val="18"/>
                <w:szCs w:val="18"/>
                <w:color w:val="auto"/>
              </w:rPr>
              <w:t>Past due / Total loans</w:t>
            </w:r>
          </w:p>
        </w:tc>
        <w:tc>
          <w:tcPr>
            <w:tcW w:w="218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Reserves / Past due</w:t>
            </w:r>
          </w:p>
        </w:tc>
        <w:tc>
          <w:tcPr>
            <w:tcW w:w="2180" w:type="dxa"/>
            <w:vAlign w:val="bottom"/>
          </w:tcPr>
          <w:p>
            <w:pPr>
              <w:jc w:val="right"/>
              <w:ind w:right="72"/>
              <w:spacing w:after="0"/>
              <w:rPr>
                <w:sz w:val="20"/>
                <w:szCs w:val="20"/>
                <w:color w:val="auto"/>
              </w:rPr>
            </w:pPr>
            <w:r>
              <w:rPr>
                <w:rFonts w:ascii="Arial" w:cs="Arial" w:eastAsia="Arial" w:hAnsi="Arial"/>
                <w:sz w:val="18"/>
                <w:szCs w:val="18"/>
                <w:color w:val="auto"/>
              </w:rPr>
              <w:t>112.2%</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127.4%</w:t>
            </w:r>
          </w:p>
        </w:tc>
        <w:tc>
          <w:tcPr>
            <w:tcW w:w="88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110"/>
        </w:trPr>
        <w:tc>
          <w:tcPr>
            <w:tcW w:w="27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-989965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balance of past due loans decreased from US$256.5 million to US$249.8 million during the current quarter partly due to charge-offs amounting to US$32.3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I.5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GDP is estimated to have grown 2.5% in total 2003, declining from 2.8% in 2002. Economic activity continued to grow during 2003 in spite of an unfavorable domestic environment, driven by export growth favored by higher demand and better prices, while imports decreased due to weak domestic demand. In 2003 exports grew 20.1%, where oil and gas exports increased over 40%, with important growth also noted of agricultural and manufactured goods. It is expected that GDP will grow approximately 3.5% in 2004, with continued development of exports, with domestic demand and consumption remaining stagnant.</w:t>
      </w:r>
    </w:p>
    <w:p>
      <w:pPr>
        <w:spacing w:after="0" w:line="16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government continues having fiscal difficulties, although certain tax and fiscal austerity measures have been taken. After the budget deficits of 9% of GDP in 2002 and 8% in 2003, a 7% deficit is expected in 2004. Additionally, the final treatment of the natural gas of Tarija will be defined in a referendum next July.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 slight tendency to increase, inflation reached 4.2% in the twelve months ending in March 2004, and was 0.5% in first quarter 2004, compared to 0.7% in the year-ago period. Devaluation continued at a slower pace with a 0.8% exchange rate increase in the current quarter and 1.3% in the same period in 2003, reaching 7.88 Bolivianos per Dollar at March 31, 2004.</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Loan volume in the banking system declined 3.1% in the current quarter and by 4.0% in the year since March 2003, to end at US$2,484 million at March 2004. Loan quality declined, from a past due ratio of 16.7% in December 2003, to 18.2% at March 2004, while coverage of past-due loans with provisions decreased from 74.0% to 69.5%, respectively. Total deposits in the system amounted to US$2,562 million at March 2004, lower by 5.6% compared to the balance at December 2003, and are 2.1% below deposits at March 2003.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BCB’s market share in deposits at March 2004 was 12.3%, decreasing sligthly from 12.5% at the end of December 2003, but is over 12.1% at March 2003. In terms of loans, BCB had a 11.9% market share, below 12.2% it had last December, but remains similar to the market share at March 2003. In this way, BCB remained in the fourth position of twelve banks in the system.</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March 31, 2004, BCB had total loans of US$296.3 million which compares to the US$309.9 million at December 2003, and US$311.2 million at the end of March 2003. At the end of the first quarter 2004, BCB’s past due loans reached US$56.9 million, or 19.2% of total loans, lower than 20.7% at December 2003. Coverage of past due loans with loan loss provisions was 75.5% as of March 2004, remaining almost unchanged during the quarter, but increased from to 62.5% in March 2003. Net equity at the Bolivian subsidiary amounted to US$55.4 million as of March 2004.</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March 2004, US$0.4 million of loan loss provisions were charged against results, compared to US$13.4 million charged during first quarter 2003, jointly incurred by BCB and at the BCP level to cover BCB’s impaired assets. In BCB’s own records, first quarter 2004 net income was US$0.4 million, compared to US$72 thousand in the same year-go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Colombian GDP grew 4.3% in the last quarter of 2003 and by 3.6% in full-year 2003, confirming an economic recovery that repeatedly exceeded expectations. The recovery is being led by exports (oil, coal and non-traditional exports) and by private investment, while consumption remains depressed. Expected GDP growth for total 2004 has been raised to approximately 4%. In full-year 2002 GDP grew 1.7%.</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fiscal deficit was 2.9% of GDP in total 2003, slightly over the 2.8% target, but below the 3.6% deficit of 2002, and is expected to decrease to 2.5% in 2004. The government continues seeking complementary fiscal measures to ensure the lower deficit, among which the pension reform proposal is noteworthy.</w:t>
      </w:r>
    </w:p>
    <w:p>
      <w:pPr>
        <w:sectPr>
          <w:pgSz w:w="11900" w:h="16838" w:orient="portrait"/>
          <w:cols w:equalWidth="0" w:num="1">
            <w:col w:w="11420"/>
          </w:cols>
          <w:pgMar w:left="240" w:top="131" w:right="239" w:bottom="0" w:gutter="0" w:footer="0" w:header="0"/>
        </w:sectPr>
      </w:pPr>
    </w:p>
    <w:bookmarkStart w:id="5" w:name="page6"/>
    <w:bookmarkEnd w:id="5"/>
    <w:p>
      <w:pPr>
        <w:jc w:val="both"/>
        <w:spacing w:after="0" w:line="306" w:lineRule="auto"/>
        <w:rPr>
          <w:sz w:val="20"/>
          <w:szCs w:val="20"/>
          <w:color w:val="auto"/>
        </w:rPr>
      </w:pPr>
      <w:r>
        <w:rPr>
          <w:rFonts w:ascii="Arial" w:cs="Arial" w:eastAsia="Arial" w:hAnsi="Arial"/>
          <w:sz w:val="16"/>
          <w:szCs w:val="16"/>
          <w:color w:val="auto"/>
        </w:rPr>
        <w:t>The Colombian Peso exchange rate continued appreciating during the first quarter 2004, where a 3.6% revaluation led to an exchange rate of Col$2,682 per US$1 at the end of March 2004. During the last quarter of 2003, the exchange rate revalued 3.8%. The Central Bank has applied various measures to stop the appreciation of the Peso, with little success, like the tax on short term capital flows and the fifty basis point reduction of the Central Bank’s intervention rate.</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first quarter 2004 prices increased 3.1%, slightly below 3.4% in the same period of 2003, continuing with its declining trend. Inflation in the first quarter is high because of seasonal factors, with high price increases of educational services and food. Inflation was 6.5% in total 2003, and of 6.2% in the twelve months prior to March 2004. In 2004 inflation is expected to continue decreasing to the target 5.5%, aided by the appreciating exchange rate, fiscal controls and by higher economic activity.</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Banking system statistics show that loans increased from US$15.8 billion at December 2003, to US$16.7 billion at the close of February 2004, with the past-due ratio improving from 12.7% at year-end 2002 to 9.7% in December 2003 and February 2004. The coverage ratio of loan provisions over bad loans also improved, from 70.1% at December 2003 to 70.5% in February 2004. Total deposits in the banking entities were US$21.5 billion at the end of February 2004, increasing from US$20.5 billion at December 2003, continuing their recovery.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Tequendama’s loan market share, as of February 2004, was 1.47%, slightly over 1.44% obtained in December 2003. At the same dates, deposit market share was 0.86% and 0.90%, respectively.</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2004, Banco Tequendama’s loans were US$255.3 million, increasing 10.0% from US$232.1 million in December 2003, and 21.2% compared to US$210.7 millon as of March 2003. At the end of March 2004, deposits totaled US$190.8 million, higher than US$187.5 million in December 2003, and is 16.3% over US$164.1 million at the year-ago quarter. At March 31, 2004, the bank’s net equity amounted to US$29.5 million according to Credicorp’s accounting records.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past due loan ratio was 1.8% in March 2004, higher than 1.1% at the end of December 2003, but is still below 2.9% at March 2003, while coverage with provisions was 150.3%, compared to 238.2% and 94.6%, respectively.</w:t>
      </w:r>
    </w:p>
    <w:p>
      <w:pPr>
        <w:sectPr>
          <w:pgSz w:w="11900" w:h="16838" w:orient="portrait"/>
          <w:cols w:equalWidth="0" w:num="1">
            <w:col w:w="11420"/>
          </w:cols>
          <w:pgMar w:left="240" w:top="1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II.1 NET INCOME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Consolidated net income in the quarter ended March 31, 2004 was S/.67.1 million (US$19.4 million), increasing over net income of S/.12.7 million (US$3.7 million) in first quarter 2003, but decreases compared to net income in the preceding last quarter of 2003 that reached S/.90.0 million (US$31.3 million).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income in the current quarter increased compared to the year-ago period principally due to lower loan loss provisions, and to decreased merger costs incurred for the mergers with BSCH-Perú, in first quarter 2003, and Solución Financiera de Crédito, in the current period. Merger costs amounted to S/.6.4 million (US$1.8 million) in first quarter 2004, required for the merger of Solución Financiera, decreasing compared to S/.55.7 million (US$16.1 million) in the year-ago quarter, for the merger of BSCH-Perú.</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profits due to the reduction of these expenses are partly offset by lower financial and non-financial income. Interest income decrease mainly because of lower loan volumes. Additionally, first quarter 2004 non-interest income decline compared to the prior year period because in March 2003 non-recurring gains related to the merger of BSCH-Perú were registered.</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constant S/. and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84455</wp:posOffset>
            </wp:positionV>
            <wp:extent cx="722503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67"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434340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3400" cy="34290"/>
                    </a:xfrm>
                    <a:prstGeom prst="rect">
                      <a:avLst/>
                    </a:prstGeom>
                    <a:noFill/>
                  </pic:spPr>
                </pic:pic>
              </a:graphicData>
            </a:graphic>
          </wp:anchor>
        </w:drawing>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40" w:type="dxa"/>
            <w:vAlign w:val="bottom"/>
          </w:tcPr>
          <w:p>
            <w:pPr>
              <w:ind w:left="5060"/>
              <w:spacing w:after="0"/>
              <w:rPr>
                <w:sz w:val="20"/>
                <w:szCs w:val="20"/>
                <w:color w:val="auto"/>
              </w:rPr>
            </w:pPr>
            <w:r>
              <w:rPr>
                <w:rFonts w:ascii="Arial" w:cs="Arial" w:eastAsia="Arial" w:hAnsi="Arial"/>
                <w:sz w:val="18"/>
                <w:szCs w:val="18"/>
                <w:b w:val="1"/>
                <w:bCs w:val="1"/>
                <w:color w:val="auto"/>
                <w:w w:val="94"/>
              </w:rPr>
              <w:t>31.03.03</w:t>
            </w:r>
          </w:p>
        </w:tc>
        <w:tc>
          <w:tcPr>
            <w:tcW w:w="760" w:type="dxa"/>
            <w:vAlign w:val="bottom"/>
          </w:tcPr>
          <w:p>
            <w:pPr>
              <w:spacing w:after="0"/>
              <w:rPr>
                <w:sz w:val="19"/>
                <w:szCs w:val="19"/>
                <w:color w:val="auto"/>
              </w:rPr>
            </w:pPr>
          </w:p>
        </w:tc>
        <w:tc>
          <w:tcPr>
            <w:tcW w:w="1720" w:type="dxa"/>
            <w:vAlign w:val="bottom"/>
          </w:tcPr>
          <w:p>
            <w:pPr>
              <w:jc w:val="right"/>
              <w:ind w:right="732"/>
              <w:spacing w:after="0"/>
              <w:rPr>
                <w:sz w:val="20"/>
                <w:szCs w:val="20"/>
                <w:color w:val="auto"/>
              </w:rPr>
            </w:pPr>
            <w:r>
              <w:rPr>
                <w:rFonts w:ascii="Arial" w:cs="Arial" w:eastAsia="Arial" w:hAnsi="Arial"/>
                <w:sz w:val="18"/>
                <w:szCs w:val="18"/>
                <w:b w:val="1"/>
                <w:bCs w:val="1"/>
                <w:color w:val="auto"/>
              </w:rPr>
              <w:t>31.12.03</w:t>
            </w:r>
          </w:p>
        </w:tc>
        <w:tc>
          <w:tcPr>
            <w:tcW w:w="1700" w:type="dxa"/>
            <w:vAlign w:val="bottom"/>
          </w:tcPr>
          <w:p>
            <w:pPr>
              <w:jc w:val="right"/>
              <w:ind w:right="712"/>
              <w:spacing w:after="0"/>
              <w:rPr>
                <w:sz w:val="20"/>
                <w:szCs w:val="20"/>
                <w:color w:val="auto"/>
              </w:rPr>
            </w:pPr>
            <w:r>
              <w:rPr>
                <w:rFonts w:ascii="Arial" w:cs="Arial" w:eastAsia="Arial" w:hAnsi="Arial"/>
                <w:sz w:val="18"/>
                <w:szCs w:val="18"/>
                <w:b w:val="1"/>
                <w:bCs w:val="1"/>
                <w:color w:val="auto"/>
              </w:rPr>
              <w:t>31.03.04</w:t>
            </w: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rPr>
              <w:t>31.03.04</w:t>
            </w:r>
          </w:p>
        </w:tc>
      </w:tr>
      <w:tr>
        <w:trPr>
          <w:trHeight w:val="137"/>
        </w:trPr>
        <w:tc>
          <w:tcPr>
            <w:tcW w:w="57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r>
      <w:tr>
        <w:trPr>
          <w:trHeight w:val="370"/>
        </w:trPr>
        <w:tc>
          <w:tcPr>
            <w:tcW w:w="5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jc w:val="right"/>
              <w:ind w:right="592"/>
              <w:spacing w:after="0"/>
              <w:rPr>
                <w:sz w:val="20"/>
                <w:szCs w:val="20"/>
                <w:color w:val="auto"/>
              </w:rPr>
            </w:pPr>
            <w:r>
              <w:rPr>
                <w:rFonts w:ascii="Arial" w:cs="Arial" w:eastAsia="Arial" w:hAnsi="Arial"/>
                <w:sz w:val="18"/>
                <w:szCs w:val="18"/>
                <w:color w:val="auto"/>
              </w:rPr>
              <w:t>US$</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Net interest income</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294.2</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293.9</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262.4</w:t>
            </w:r>
          </w:p>
        </w:tc>
        <w:tc>
          <w:tcPr>
            <w:tcW w:w="144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Provisions for loan losses, net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120.4</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47.4</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47.1</w:t>
            </w:r>
          </w:p>
        </w:tc>
        <w:tc>
          <w:tcPr>
            <w:tcW w:w="1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Other income</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258.8</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231.5</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222.4</w:t>
            </w:r>
          </w:p>
        </w:tc>
        <w:tc>
          <w:tcPr>
            <w:tcW w:w="144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324.9</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328.9</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301.2</w:t>
            </w:r>
          </w:p>
        </w:tc>
        <w:tc>
          <w:tcPr>
            <w:tcW w:w="144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Merger costs</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55.7</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3.9</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6.4</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97"/>
              </w:rPr>
              <w:t>(26.0)</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(20.8)</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(34.9)</w:t>
            </w: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86"/>
        </w:trPr>
        <w:tc>
          <w:tcPr>
            <w:tcW w:w="5740" w:type="dxa"/>
            <w:vAlign w:val="bottom"/>
          </w:tcPr>
          <w:p>
            <w:pPr>
              <w:ind w:left="120"/>
              <w:spacing w:after="0"/>
              <w:rPr>
                <w:sz w:val="20"/>
                <w:szCs w:val="20"/>
                <w:color w:val="auto"/>
              </w:rPr>
            </w:pPr>
            <w:r>
              <w:rPr>
                <w:rFonts w:ascii="Arial" w:cs="Arial" w:eastAsia="Arial" w:hAnsi="Arial"/>
                <w:sz w:val="18"/>
                <w:szCs w:val="18"/>
                <w:color w:val="auto"/>
              </w:rPr>
              <w:t>Income before income tax</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26.0</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124.4</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95.1</w:t>
            </w:r>
          </w:p>
        </w:tc>
        <w:tc>
          <w:tcPr>
            <w:tcW w:w="14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Income Tax</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13.3</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34.4</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28.0</w:t>
            </w:r>
          </w:p>
        </w:tc>
        <w:tc>
          <w:tcPr>
            <w:tcW w:w="1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86"/>
        </w:trPr>
        <w:tc>
          <w:tcPr>
            <w:tcW w:w="5740" w:type="dxa"/>
            <w:vAlign w:val="bottom"/>
          </w:tcPr>
          <w:p>
            <w:pPr>
              <w:ind w:left="260"/>
              <w:spacing w:after="0"/>
              <w:rPr>
                <w:sz w:val="20"/>
                <w:szCs w:val="20"/>
                <w:color w:val="auto"/>
              </w:rPr>
            </w:pPr>
            <w:r>
              <w:rPr>
                <w:rFonts w:ascii="Arial" w:cs="Arial" w:eastAsia="Arial" w:hAnsi="Arial"/>
                <w:sz w:val="18"/>
                <w:szCs w:val="18"/>
                <w:b w:val="1"/>
                <w:bCs w:val="1"/>
                <w:color w:val="auto"/>
              </w:rPr>
              <w:t>Net Income</w:t>
            </w:r>
          </w:p>
        </w:tc>
        <w:tc>
          <w:tcPr>
            <w:tcW w:w="760" w:type="dxa"/>
            <w:vAlign w:val="bottom"/>
          </w:tcPr>
          <w:p>
            <w:pPr>
              <w:jc w:val="right"/>
              <w:ind w:right="192"/>
              <w:spacing w:after="0"/>
              <w:rPr>
                <w:sz w:val="20"/>
                <w:szCs w:val="20"/>
                <w:color w:val="auto"/>
              </w:rPr>
            </w:pPr>
            <w:r>
              <w:rPr>
                <w:rFonts w:ascii="Arial" w:cs="Arial" w:eastAsia="Arial" w:hAnsi="Arial"/>
                <w:sz w:val="18"/>
                <w:szCs w:val="18"/>
                <w:b w:val="1"/>
                <w:bCs w:val="1"/>
                <w:color w:val="auto"/>
              </w:rPr>
              <w:t>12.7</w:t>
            </w:r>
          </w:p>
        </w:tc>
        <w:tc>
          <w:tcPr>
            <w:tcW w:w="1720" w:type="dxa"/>
            <w:vAlign w:val="bottom"/>
          </w:tcPr>
          <w:p>
            <w:pPr>
              <w:jc w:val="right"/>
              <w:ind w:right="192"/>
              <w:spacing w:after="0"/>
              <w:rPr>
                <w:sz w:val="20"/>
                <w:szCs w:val="20"/>
                <w:color w:val="auto"/>
              </w:rPr>
            </w:pPr>
            <w:r>
              <w:rPr>
                <w:rFonts w:ascii="Arial" w:cs="Arial" w:eastAsia="Arial" w:hAnsi="Arial"/>
                <w:sz w:val="18"/>
                <w:szCs w:val="18"/>
                <w:b w:val="1"/>
                <w:bCs w:val="1"/>
                <w:color w:val="auto"/>
              </w:rPr>
              <w:t>90.0</w:t>
            </w:r>
          </w:p>
        </w:tc>
        <w:tc>
          <w:tcPr>
            <w:tcW w:w="1700" w:type="dxa"/>
            <w:vAlign w:val="bottom"/>
          </w:tcPr>
          <w:p>
            <w:pPr>
              <w:jc w:val="right"/>
              <w:ind w:right="172"/>
              <w:spacing w:after="0"/>
              <w:rPr>
                <w:sz w:val="20"/>
                <w:szCs w:val="20"/>
                <w:color w:val="auto"/>
              </w:rPr>
            </w:pPr>
            <w:r>
              <w:rPr>
                <w:rFonts w:ascii="Arial" w:cs="Arial" w:eastAsia="Arial" w:hAnsi="Arial"/>
                <w:sz w:val="18"/>
                <w:szCs w:val="18"/>
                <w:b w:val="1"/>
                <w:bCs w:val="1"/>
                <w:color w:val="auto"/>
              </w:rPr>
              <w:t>67.1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$19.4</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Net Income per share (2)</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0.01</w:t>
            </w:r>
          </w:p>
        </w:tc>
        <w:tc>
          <w:tcPr>
            <w:tcW w:w="1720" w:type="dxa"/>
            <w:vAlign w:val="bottom"/>
          </w:tcPr>
          <w:p>
            <w:pPr>
              <w:jc w:val="right"/>
              <w:ind w:right="192"/>
              <w:spacing w:after="0"/>
              <w:rPr>
                <w:sz w:val="20"/>
                <w:szCs w:val="20"/>
                <w:color w:val="auto"/>
              </w:rPr>
            </w:pPr>
            <w:r>
              <w:rPr>
                <w:rFonts w:ascii="Arial" w:cs="Arial" w:eastAsia="Arial" w:hAnsi="Arial"/>
                <w:sz w:val="18"/>
                <w:szCs w:val="18"/>
                <w:color w:val="auto"/>
              </w:rPr>
              <w:t>0.07</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0.06</w:t>
            </w: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7212965</wp:posOffset>
            </wp:positionH>
            <wp:positionV relativeFrom="paragraph">
              <wp:posOffset>-2112010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74295</wp:posOffset>
            </wp:positionV>
            <wp:extent cx="722503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55" w:lineRule="exact"/>
        <w:rPr>
          <w:sz w:val="20"/>
          <w:szCs w:val="20"/>
          <w:color w:val="auto"/>
        </w:rPr>
      </w:pPr>
    </w:p>
    <w:p>
      <w:pPr>
        <w:ind w:left="360" w:right="20" w:hanging="352"/>
        <w:spacing w:after="0" w:line="230" w:lineRule="auto"/>
        <w:tabs>
          <w:tab w:leader="none" w:pos="3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Financial statements prepared according to Peruvian GAAP. The financial information is in constant soles as of March 31, 2004. Figures in US$ have been translated at the exchange rate of S/.3.460 to the dollar.</w:t>
      </w:r>
    </w:p>
    <w:p>
      <w:pPr>
        <w:ind w:left="360" w:hanging="352"/>
        <w:spacing w:after="0"/>
        <w:tabs>
          <w:tab w:leader="none" w:pos="3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Based on 1,202 million outstanding shares in all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II.2 NET INTEREST INCOME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income, net of interest payments, in the first quarter of 2004 reached S/.262.4 million (US$75.8 million), 11% lower compared to net interest income in the same period of last year and also with respect to net interest income in the preceding fourth quarter of 2003. Average interest earning assets reached S/.20,499 million (US$5,925 million) at the end of March 2004, a decline of 11.2% comparing with the first quarter 2003, while interest margins remained almost unchanged. In the current quarter BCP continued its persistent excess liquidity environment in both local and foreign currencies.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2004, the net interest margin was 5.12%, slightly over 5.10% in the first quarter of 2003, but declines from 5.60% during the preceding fourth quarter of 2003. During the current quarter the margin declined mostly due to lower local and foreign currency loan rates, while funding costs remained unchanged.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II.3 NON-INTEREST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including fee revenue and other non-interest items, in the first quarter of 2004 amounted to S/.222.4 million (US$64.3 million), lower than S/.258.8 million (US$74.8 million) earned during the same period of 2003, mostly due to lower recoveries of charged-off accounts, and deferred gains registered in March 2003 related to the merger of BSCH-Peru.</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2004, fees from banking services amounted to S/.157.7 million (US$45.5 million), 2.6% lower than in the same period of 2003, mostly due to various revenue concepts at BSCH-Peru in the first quarter of 2003, before its absorption, which are registered in the Other caption. In the quarter,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184785</wp:posOffset>
            </wp:positionV>
            <wp:extent cx="581025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0250" cy="34290"/>
                    </a:xfrm>
                    <a:prstGeom prst="rect">
                      <a:avLst/>
                    </a:prstGeom>
                    <a:noFill/>
                  </pic:spPr>
                </pic:pic>
              </a:graphicData>
            </a:graphic>
          </wp:anchor>
        </w:drawing>
      </w:r>
    </w:p>
    <w:p>
      <w:pPr>
        <w:spacing w:after="0" w:line="398"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376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2880" w:type="dxa"/>
            <w:vAlign w:val="bottom"/>
          </w:tcPr>
          <w:p>
            <w:pPr>
              <w:jc w:val="right"/>
              <w:ind w:right="652"/>
              <w:spacing w:after="0"/>
              <w:rPr>
                <w:sz w:val="20"/>
                <w:szCs w:val="20"/>
                <w:color w:val="auto"/>
              </w:rPr>
            </w:pPr>
            <w:r>
              <w:rPr>
                <w:rFonts w:ascii="Arial" w:cs="Arial" w:eastAsia="Arial" w:hAnsi="Arial"/>
                <w:sz w:val="18"/>
                <w:szCs w:val="18"/>
                <w:b w:val="1"/>
                <w:bCs w:val="1"/>
                <w:color w:val="auto"/>
              </w:rPr>
              <w:t>1Q03</w:t>
            </w: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1Q04</w:t>
            </w: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rPr>
              <w:t>Growth</w:t>
            </w:r>
          </w:p>
        </w:tc>
      </w:tr>
      <w:tr>
        <w:trPr>
          <w:trHeight w:val="110"/>
        </w:trPr>
        <w:tc>
          <w:tcPr>
            <w:tcW w:w="376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3760" w:type="dxa"/>
            <w:vAlign w:val="bottom"/>
          </w:tcPr>
          <w:p>
            <w:pPr>
              <w:spacing w:after="0"/>
              <w:rPr>
                <w:sz w:val="20"/>
                <w:szCs w:val="20"/>
                <w:color w:val="auto"/>
              </w:rPr>
            </w:pPr>
            <w:r>
              <w:rPr>
                <w:rFonts w:ascii="Arial" w:cs="Arial" w:eastAsia="Arial" w:hAnsi="Arial"/>
                <w:sz w:val="18"/>
                <w:szCs w:val="18"/>
                <w:color w:val="auto"/>
              </w:rPr>
              <w:t>Savings accounts</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20.9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20.7</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Demand deposits</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18.9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19.9</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Credit cards</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17.7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18.2</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Fund transfer services</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13.3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15.0</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Collections fees</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12.0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12.0</w:t>
            </w: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Billings and payments</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12.9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12.7</w:t>
            </w: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Contingent and foreign trade</w:t>
            </w:r>
          </w:p>
        </w:tc>
        <w:tc>
          <w:tcPr>
            <w:tcW w:w="2880" w:type="dxa"/>
            <w:vAlign w:val="bottom"/>
          </w:tcPr>
          <w:p>
            <w:pPr>
              <w:jc w:val="right"/>
              <w:ind w:right="132"/>
              <w:spacing w:after="0"/>
              <w:rPr>
                <w:sz w:val="20"/>
                <w:szCs w:val="20"/>
                <w:color w:val="auto"/>
              </w:rPr>
            </w:pPr>
            <w:r>
              <w:rPr>
                <w:rFonts w:ascii="Arial" w:cs="Arial" w:eastAsia="Arial" w:hAnsi="Arial"/>
                <w:sz w:val="18"/>
                <w:szCs w:val="18"/>
                <w:color w:val="auto"/>
              </w:rPr>
              <w:t>8.3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7.6</w:t>
            </w: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6510020</wp:posOffset>
            </wp:positionH>
            <wp:positionV relativeFrom="paragraph">
              <wp:posOffset>-1048385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p>
      <w:pPr>
        <w:spacing w:after="0" w:line="1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Contingent credits</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6.9</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7.3</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Debit cards</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7.3</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7.0</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Corporate Finance</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7.7</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5.5</w:t>
            </w: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Brokerage</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8.8</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10.1</w:t>
            </w: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Commercial loans</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5.3</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4.8</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Insurance</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4.9</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4.2</w:t>
            </w: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Mortgage loans</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1.6</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Channels and services</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2.4</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9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Master account</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2.0</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1.6</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Personal loans</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0.8</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3.0</w:t>
            </w:r>
          </w:p>
        </w:tc>
        <w:tc>
          <w:tcPr>
            <w:tcW w:w="96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Micro-business credit</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0.3</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0.6</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tcPr>
          <w:p>
            <w:pPr>
              <w:jc w:val="right"/>
              <w:ind w:right="392"/>
              <w:spacing w:after="0"/>
              <w:rPr>
                <w:sz w:val="20"/>
                <w:szCs w:val="20"/>
                <w:color w:val="auto"/>
              </w:rPr>
            </w:pPr>
            <w:r>
              <w:rPr>
                <w:rFonts w:ascii="Arial" w:cs="Arial" w:eastAsia="Arial" w:hAnsi="Arial"/>
                <w:sz w:val="18"/>
                <w:szCs w:val="18"/>
                <w:color w:val="auto"/>
              </w:rPr>
              <w:t>9.7</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3.0</w:t>
            </w:r>
          </w:p>
        </w:tc>
        <w:tc>
          <w:tcPr>
            <w:tcW w:w="9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8"/>
        </w:trPr>
        <w:tc>
          <w:tcPr>
            <w:tcW w:w="38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3100" w:type="dxa"/>
            <w:vAlign w:val="bottom"/>
          </w:tcPr>
          <w:p>
            <w:pPr>
              <w:jc w:val="right"/>
              <w:ind w:right="392"/>
              <w:spacing w:after="0"/>
              <w:rPr>
                <w:sz w:val="20"/>
                <w:szCs w:val="20"/>
                <w:color w:val="auto"/>
              </w:rPr>
            </w:pPr>
            <w:r>
              <w:rPr>
                <w:rFonts w:ascii="Arial" w:cs="Arial" w:eastAsia="Arial" w:hAnsi="Arial"/>
                <w:sz w:val="18"/>
                <w:szCs w:val="18"/>
                <w:b w:val="1"/>
                <w:bCs w:val="1"/>
                <w:color w:val="auto"/>
              </w:rPr>
              <w:t>161.7</w:t>
            </w:r>
          </w:p>
        </w:tc>
        <w:tc>
          <w:tcPr>
            <w:tcW w:w="1280" w:type="dxa"/>
            <w:vAlign w:val="bottom"/>
          </w:tcPr>
          <w:p>
            <w:pPr>
              <w:jc w:val="right"/>
              <w:ind w:right="312"/>
              <w:spacing w:after="0"/>
              <w:rPr>
                <w:sz w:val="20"/>
                <w:szCs w:val="20"/>
                <w:color w:val="auto"/>
              </w:rPr>
            </w:pPr>
            <w:r>
              <w:rPr>
                <w:rFonts w:ascii="Arial" w:cs="Arial" w:eastAsia="Arial" w:hAnsi="Arial"/>
                <w:sz w:val="18"/>
                <w:szCs w:val="18"/>
                <w:b w:val="1"/>
                <w:bCs w:val="1"/>
                <w:color w:val="auto"/>
              </w:rPr>
              <w:t>157.5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57150</wp:posOffset>
            </wp:positionV>
            <wp:extent cx="581025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0250" cy="34290"/>
                    </a:xfrm>
                    <a:prstGeom prst="rect">
                      <a:avLst/>
                    </a:prstGeom>
                    <a:noFill/>
                  </pic:spPr>
                </pic:pic>
              </a:graphicData>
            </a:graphic>
          </wp:anchor>
        </w:drawing>
      </w:r>
    </w:p>
    <w:p>
      <w:pPr>
        <w:spacing w:after="0" w:line="201" w:lineRule="exact"/>
        <w:rPr>
          <w:sz w:val="20"/>
          <w:szCs w:val="20"/>
          <w:color w:val="auto"/>
        </w:rPr>
      </w:pPr>
    </w:p>
    <w:p>
      <w:pPr>
        <w:ind w:left="1140"/>
        <w:spacing w:after="0"/>
        <w:rPr>
          <w:sz w:val="20"/>
          <w:szCs w:val="20"/>
          <w:color w:val="auto"/>
        </w:rPr>
      </w:pPr>
      <w:r>
        <w:rPr>
          <w:rFonts w:ascii="Arial" w:cs="Arial" w:eastAsia="Arial" w:hAnsi="Arial"/>
          <w:sz w:val="14"/>
          <w:szCs w:val="14"/>
          <w:i w:val="1"/>
          <w:iCs w:val="1"/>
          <w:color w:val="auto"/>
        </w:rPr>
        <w:t>Note:line items in this table aggregate concepts that are different from tables reported in prior periods.</w:t>
      </w:r>
    </w:p>
    <w:p>
      <w:pPr>
        <w:spacing w:after="0" w:line="20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first quarter of 2004, securities transactions resulted in a gain of S/.9.8 million (US$2.8 million), compared to gains in the year-ago quarter of S/.4.7 million (US$1.4 million). Gains in this quarter are due to reversal of provisions for lower value of securities in addition to regular realized gains. The general index of the Lima Stock Exchange increased 24.7% in the first quarter of 2004, compared to 12.0% in the same year-ago period.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from foreign exchange operations, which are the result of the foreign exchange buy-sell margin, were S/.18.8 million (US$5.4 million) in the first quarter of 2004, 15.2% lower than revenue in the same quarter of 2003, mainly due to decreased traded volumes and margins due to the low volatility in the foreign exchange market.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Other Income caption, that mainly registers reversals of prior year expenses and provisions and recoveries of certain operating costs, decreased from S/.70.2 million (US$20.3 million) in the first quarter of 2003 to S/.36.3 million (US$10.5 million) in the current period. As mentioned above, in March 2003 higher recoveries of charged-off accounts and non-recurrent deferred earnings were registered in connection with the merger of BSCH-Peru. The Other Income concepts with the most important changes were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186690</wp:posOffset>
            </wp:positionV>
            <wp:extent cx="436054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60545" cy="342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1680" w:type="dxa"/>
            <w:vAlign w:val="bottom"/>
          </w:tcPr>
          <w:p>
            <w:pPr>
              <w:jc w:val="right"/>
              <w:ind w:right="412"/>
              <w:spacing w:after="0"/>
              <w:rPr>
                <w:sz w:val="20"/>
                <w:szCs w:val="20"/>
                <w:color w:val="auto"/>
              </w:rPr>
            </w:pPr>
            <w:r>
              <w:rPr>
                <w:rFonts w:ascii="Arial" w:cs="Arial" w:eastAsia="Arial" w:hAnsi="Arial"/>
                <w:sz w:val="18"/>
                <w:szCs w:val="18"/>
                <w:b w:val="1"/>
                <w:bCs w:val="1"/>
                <w:color w:val="auto"/>
              </w:rPr>
              <w:t>1Q03</w:t>
            </w: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1Q04</w:t>
            </w:r>
          </w:p>
        </w:tc>
        <w:tc>
          <w:tcPr>
            <w:tcW w:w="920" w:type="dxa"/>
            <w:vAlign w:val="bottom"/>
          </w:tcPr>
          <w:p>
            <w:pPr>
              <w:jc w:val="right"/>
              <w:ind w:right="152"/>
              <w:spacing w:after="0"/>
              <w:rPr>
                <w:sz w:val="20"/>
                <w:szCs w:val="20"/>
                <w:color w:val="auto"/>
              </w:rPr>
            </w:pPr>
            <w:r>
              <w:rPr>
                <w:rFonts w:ascii="Arial" w:cs="Arial" w:eastAsia="Arial" w:hAnsi="Arial"/>
                <w:sz w:val="18"/>
                <w:szCs w:val="18"/>
                <w:b w:val="1"/>
                <w:bCs w:val="1"/>
                <w:color w:val="auto"/>
              </w:rPr>
              <w:t>Growth</w:t>
            </w:r>
          </w:p>
        </w:tc>
      </w:tr>
      <w:tr>
        <w:trPr>
          <w:trHeight w:val="110"/>
        </w:trPr>
        <w:tc>
          <w:tcPr>
            <w:tcW w:w="32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r>
        <w:trPr>
          <w:trHeight w:val="309"/>
        </w:trPr>
        <w:tc>
          <w:tcPr>
            <w:tcW w:w="3260" w:type="dxa"/>
            <w:vAlign w:val="bottom"/>
          </w:tcPr>
          <w:p>
            <w:pPr>
              <w:spacing w:after="0"/>
              <w:rPr>
                <w:sz w:val="20"/>
                <w:szCs w:val="20"/>
                <w:color w:val="auto"/>
              </w:rPr>
            </w:pPr>
            <w:r>
              <w:rPr>
                <w:rFonts w:ascii="Arial" w:cs="Arial" w:eastAsia="Arial" w:hAnsi="Arial"/>
                <w:sz w:val="18"/>
                <w:szCs w:val="18"/>
                <w:color w:val="auto"/>
              </w:rPr>
              <w:t>Recoveries of charged-off accounts</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29.5</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Deferred earnings</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Prior year earnings</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Services, leases, and other</w:t>
            </w: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92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28"/>
        </w:trPr>
        <w:tc>
          <w:tcPr>
            <w:tcW w:w="326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jc w:val="right"/>
              <w:ind w:right="72"/>
              <w:spacing w:after="0"/>
              <w:rPr>
                <w:sz w:val="20"/>
                <w:szCs w:val="20"/>
                <w:color w:val="auto"/>
              </w:rPr>
            </w:pPr>
            <w:r>
              <w:rPr>
                <w:rFonts w:ascii="Arial" w:cs="Arial" w:eastAsia="Arial" w:hAnsi="Arial"/>
                <w:sz w:val="18"/>
                <w:szCs w:val="18"/>
                <w:b w:val="1"/>
                <w:bCs w:val="1"/>
                <w:color w:val="auto"/>
              </w:rPr>
              <w:t>70.2</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36.3</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-48.3%</w:t>
            </w:r>
          </w:p>
        </w:tc>
      </w:tr>
      <w:tr>
        <w:trPr>
          <w:trHeight w:val="110"/>
        </w:trPr>
        <w:tc>
          <w:tcPr>
            <w:tcW w:w="32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-852805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II.4 OTHER NON-INTEREST EXPENSES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expenses during the first quarter of 2004 were S/.307.6 million (US$88.9 million), 19.2% under those of the same period in 2003. Expenses decreased mainly because of lower merger costs, which amounted to S/.55.7 million (US$16.1 million) in the first quarter of 2003 related to the BSCH-Peru merger, that compares to S/.6.4 million (US$1.8 million) in the current quarter for costs related to the merger of Solucion Financiera. Additionally, decreased personnel and general and administrative costs are noteworthy.</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expenses reached S/.269.9 million (US$78.0 million) in the first quarter of 2004, decreasing 6.7% compared to the year-ago period. First quarter 2004 “adjusted” operating expenses are determined by excluding: (i) provisions for assets received in lieu of loan repayment (S/.22.2 million); (ii) non-recurring expenses related to the systems’ restructuring costs (S/.2.0 million); (iii) employee profit sharing expenses (S/.7.0 million); and, (iv) merger costs related to Solución Financiera (S/.6.4 million).</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this quarter, approximately 41% of non-interest expenses were attributable to employee salaries and other expenses related to personnel. This concept decreased 9.2% to S/.125.7 million (US$36.4 million) when compared to the first quarter of 2003. Personnel expenses declined mainly because in the first quarter 2003 higher expenses were registered by subsidiaries prior to their mergers. At the end of March 2004 the number of employees stood at 7,652, increasing from 7,530 employees as of December 2003 and from 7,629 at March 2003, mainly due to sales personnel at Banco de Crédito.</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which represented 33% of non-interest expenses, reached S/.100.9 million (US$29.2 million) in the first quarter of 2004, decreasing 7.8% when compared to expenses in the year-ago period. Lower expenses are mainly due to decreased marketing and communications expenses. 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184785</wp:posOffset>
            </wp:positionV>
            <wp:extent cx="436054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60545" cy="34290"/>
                    </a:xfrm>
                    <a:prstGeom prst="rect">
                      <a:avLst/>
                    </a:prstGeom>
                    <a:noFill/>
                  </pic:spPr>
                </pic:pic>
              </a:graphicData>
            </a:graphic>
          </wp:anchor>
        </w:drawing>
      </w:r>
    </w:p>
    <w:p>
      <w:pPr>
        <w:spacing w:after="0" w:line="398"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1660" w:type="dxa"/>
            <w:vAlign w:val="bottom"/>
          </w:tcPr>
          <w:p>
            <w:pPr>
              <w:jc w:val="right"/>
              <w:ind w:right="412"/>
              <w:spacing w:after="0"/>
              <w:rPr>
                <w:sz w:val="20"/>
                <w:szCs w:val="20"/>
                <w:color w:val="auto"/>
              </w:rPr>
            </w:pPr>
            <w:r>
              <w:rPr>
                <w:rFonts w:ascii="Arial" w:cs="Arial" w:eastAsia="Arial" w:hAnsi="Arial"/>
                <w:sz w:val="18"/>
                <w:szCs w:val="18"/>
                <w:b w:val="1"/>
                <w:bCs w:val="1"/>
                <w:color w:val="auto"/>
              </w:rPr>
              <w:t>1Q03</w:t>
            </w:r>
          </w:p>
        </w:tc>
        <w:tc>
          <w:tcPr>
            <w:tcW w:w="980" w:type="dxa"/>
            <w:vAlign w:val="bottom"/>
          </w:tcPr>
          <w:p>
            <w:pPr>
              <w:jc w:val="right"/>
              <w:ind w:right="352"/>
              <w:spacing w:after="0"/>
              <w:rPr>
                <w:sz w:val="20"/>
                <w:szCs w:val="20"/>
                <w:color w:val="auto"/>
              </w:rPr>
            </w:pPr>
            <w:r>
              <w:rPr>
                <w:rFonts w:ascii="Arial" w:cs="Arial" w:eastAsia="Arial" w:hAnsi="Arial"/>
                <w:sz w:val="18"/>
                <w:szCs w:val="18"/>
                <w:b w:val="1"/>
                <w:bCs w:val="1"/>
                <w:color w:val="auto"/>
              </w:rPr>
              <w:t>1Q04</w:t>
            </w: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Chnge.</w:t>
            </w:r>
          </w:p>
        </w:tc>
      </w:tr>
      <w:tr>
        <w:trPr>
          <w:trHeight w:val="110"/>
        </w:trPr>
        <w:tc>
          <w:tcPr>
            <w:tcW w:w="32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r>
        <w:trPr>
          <w:trHeight w:val="309"/>
        </w:trPr>
        <w:tc>
          <w:tcPr>
            <w:tcW w:w="328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14.6</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Communications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10.9</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Third party fees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15.5</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Insurance and security</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26.8</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26.4</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15.1</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Other G&amp;A</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4.9</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92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8"/>
        </w:trPr>
        <w:tc>
          <w:tcPr>
            <w:tcW w:w="3280" w:type="dxa"/>
            <w:vAlign w:val="bottom"/>
          </w:tcPr>
          <w:p>
            <w:pPr>
              <w:ind w:left="120"/>
              <w:spacing w:after="0"/>
              <w:rPr>
                <w:sz w:val="20"/>
                <w:szCs w:val="20"/>
                <w:color w:val="auto"/>
              </w:rPr>
            </w:pPr>
            <w:r>
              <w:rPr>
                <w:rFonts w:ascii="Arial" w:cs="Arial" w:eastAsia="Arial" w:hAnsi="Arial"/>
                <w:sz w:val="18"/>
                <w:szCs w:val="18"/>
                <w:b w:val="1"/>
                <w:bCs w:val="1"/>
                <w:color w:val="auto"/>
              </w:rPr>
              <w:t>Total G&amp;A</w:t>
            </w:r>
          </w:p>
        </w:tc>
        <w:tc>
          <w:tcPr>
            <w:tcW w:w="1660" w:type="dxa"/>
            <w:vAlign w:val="bottom"/>
          </w:tcPr>
          <w:p>
            <w:pPr>
              <w:jc w:val="right"/>
              <w:ind w:right="72"/>
              <w:spacing w:after="0"/>
              <w:rPr>
                <w:sz w:val="20"/>
                <w:szCs w:val="20"/>
                <w:color w:val="auto"/>
              </w:rPr>
            </w:pPr>
            <w:r>
              <w:rPr>
                <w:rFonts w:ascii="Arial" w:cs="Arial" w:eastAsia="Arial" w:hAnsi="Arial"/>
                <w:sz w:val="18"/>
                <w:szCs w:val="18"/>
                <w:b w:val="1"/>
                <w:bCs w:val="1"/>
                <w:color w:val="auto"/>
              </w:rPr>
              <w:t>109.5</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100.9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110"/>
        </w:trPr>
        <w:tc>
          <w:tcPr>
            <w:tcW w:w="32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-1401445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Other caption within Other Non-Interest Expenses, decreased from S/.30.4 million (US$8.8 million) in the first quarter of 2003 to S/.26.6 million (US$7.7 million) in the current quarter, mainly disbursements by subsidiaries decreased after their mergers, that are partly offset by increased contingencies provisions.</w:t>
      </w:r>
    </w:p>
    <w:p>
      <w:pPr>
        <w:sectPr>
          <w:pgSz w:w="11900" w:h="16858" w:orient="portrait"/>
          <w:cols w:equalWidth="0" w:num="1">
            <w:col w:w="11420"/>
          </w:cols>
          <w:pgMar w:left="240" w:top="131" w:right="239" w:bottom="0" w:gutter="0" w:footer="0" w:header="0"/>
        </w:sectPr>
      </w:pPr>
    </w:p>
    <w:bookmarkStart w:id="8" w:name="page9"/>
    <w:bookmarkEnd w:id="8"/>
    <w:p>
      <w:pPr>
        <w:jc w:val="both"/>
        <w:ind w:right="20"/>
        <w:spacing w:after="0" w:line="332" w:lineRule="auto"/>
        <w:rPr>
          <w:sz w:val="20"/>
          <w:szCs w:val="20"/>
          <w:color w:val="auto"/>
        </w:rPr>
      </w:pPr>
      <w:r>
        <w:rPr>
          <w:rFonts w:ascii="Arial" w:cs="Arial" w:eastAsia="Arial" w:hAnsi="Arial"/>
          <w:sz w:val="16"/>
          <w:szCs w:val="16"/>
          <w:color w:val="auto"/>
        </w:rPr>
        <w:t>The ratio of “adjusted” operating expenses (determined by excluding provisions for assets received in lieu of loan repayment, employee profit sharing expense and non-recurring expenses) as a percentage of average total assets, increased from 4.4% in the first quarter of 2003 to 4.6% in the current period.</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Efficiency ratio, “adjusted” operating expenses, as a percentage of total income (excluding non-recurring income), also grew from 54.3% to 55.7% when comparing the first quarters of 2003 and 2004,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II.5 ASSETS AND LIABILITIES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assets of BCP reached S/.22.9 billion (US$6.6 billion) at the end of March 2004, decreasing 11.0% with respect to the year-ago balance, and by 3.7% compared to assets at December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total loans were S/.13.8 billion (US$4.0 billion) at the end of March 2004, decreasing 10.2% compared to March 2003, and are lower by 5.3% with respect to loans at the preceding fourth quarter 2003. At March 31, 2004, the loan portfolio, net of provisions, represented 55.6% of total assets, lower than 56.4% at December 2003. At the end of the first quarter of 2004, the Nuevos Soles portion of the loan portfolio was 17.5%, slightly under 17.7% in December 2003, but remains over 16.7% as of March 2003.</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2004 total deposits were S/.19.5 billion (US$5.6 billion), decreasing 11.2% compared to first quarter 2003 deposits, and declined 3.2% during the current quarter. During the first quarter 2004, time deposits decreased by 9.7%, and savings deposits by 8.9%, while demand deposits grew 15.8%. Deposits denominated in Nuevos Soles were 24.7% of total deposits, increasing during the current quarter from 23.8% at December 2003, and is also over 22.2% at the end of March 2003.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During the current quarter, Banco de Crédito increased its loan and deposit contribution, mostly due to the merger of Solucion Financiera, which took place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2004. 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2503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rPr>
              <w:t>Loans, net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Total Deposits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37"/>
        </w:trPr>
        <w:tc>
          <w:tcPr>
            <w:tcW w:w="7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r>
      <w:tr>
        <w:trPr>
          <w:trHeight w:val="356"/>
        </w:trPr>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(In % and constant S/.Mn.)</w:t>
            </w:r>
          </w:p>
        </w:tc>
        <w:tc>
          <w:tcPr>
            <w:tcW w:w="112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rPr>
              <w:t>31.03.03</w:t>
            </w:r>
          </w:p>
        </w:tc>
        <w:tc>
          <w:tcPr>
            <w:tcW w:w="100" w:type="dxa"/>
            <w:vAlign w:val="bottom"/>
          </w:tcPr>
          <w:p>
            <w:pPr>
              <w:spacing w:after="0"/>
              <w:rPr>
                <w:sz w:val="24"/>
                <w:szCs w:val="24"/>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31.12.03</w:t>
            </w:r>
          </w:p>
        </w:tc>
        <w:tc>
          <w:tcPr>
            <w:tcW w:w="14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31.03.04</w:t>
            </w:r>
          </w:p>
        </w:tc>
        <w:tc>
          <w:tcPr>
            <w:tcW w:w="2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31.03.03</w:t>
            </w:r>
          </w:p>
        </w:tc>
        <w:tc>
          <w:tcPr>
            <w:tcW w:w="2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31.12.03</w:t>
            </w:r>
          </w:p>
        </w:tc>
        <w:tc>
          <w:tcPr>
            <w:tcW w:w="14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31.03.04</w:t>
            </w:r>
          </w:p>
        </w:tc>
      </w:tr>
      <w:tr>
        <w:trPr>
          <w:trHeight w:val="137"/>
        </w:trPr>
        <w:tc>
          <w:tcPr>
            <w:tcW w:w="700" w:type="dxa"/>
            <w:vAlign w:val="bottom"/>
            <w:tcBorders>
              <w:bottom w:val="single" w:sz="8" w:color="9A9A9A"/>
            </w:tcBorders>
          </w:tcPr>
          <w:p>
            <w:pPr>
              <w:spacing w:after="0"/>
              <w:rPr>
                <w:sz w:val="11"/>
                <w:szCs w:val="11"/>
                <w:color w:val="auto"/>
              </w:rPr>
            </w:pPr>
          </w:p>
        </w:tc>
        <w:tc>
          <w:tcPr>
            <w:tcW w:w="38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r>
      <w:tr>
        <w:trPr>
          <w:trHeight w:val="343"/>
        </w:trPr>
        <w:tc>
          <w:tcPr>
            <w:tcW w:w="4500" w:type="dxa"/>
            <w:vAlign w:val="bottom"/>
            <w:gridSpan w:val="2"/>
          </w:tcPr>
          <w:p>
            <w:pPr>
              <w:spacing w:after="0"/>
              <w:rPr>
                <w:sz w:val="20"/>
                <w:szCs w:val="20"/>
                <w:color w:val="auto"/>
              </w:rPr>
            </w:pPr>
            <w:r>
              <w:rPr>
                <w:rFonts w:ascii="Arial" w:cs="Arial" w:eastAsia="Arial" w:hAnsi="Arial"/>
                <w:sz w:val="18"/>
                <w:szCs w:val="18"/>
                <w:color w:val="auto"/>
              </w:rPr>
              <w:t>Banco de Crédito del Perú</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86.4%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24"/>
                <w:szCs w:val="2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90.6%</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89.6%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91.3%</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6.5%</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5.6%</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6.3%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Banco de Crédito Overseas</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0.1%</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0.0%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Crédito Leasing</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3.1%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Solución Financiera de Crédito</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1.0%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color w:val="auto"/>
                <w:w w:val="91"/>
              </w:rPr>
              <w:t>TOTAL%</w:t>
            </w:r>
          </w:p>
        </w:tc>
        <w:tc>
          <w:tcPr>
            <w:tcW w:w="380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6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85"/>
              </w:rPr>
              <w:t>100.</w:t>
            </w:r>
            <w:r>
              <w:rPr>
                <w:rFonts w:ascii="Arial" w:cs="Arial" w:eastAsia="Arial" w:hAnsi="Arial"/>
                <w:sz w:val="18"/>
                <w:szCs w:val="18"/>
                <w:u w:val="single" w:color="auto"/>
                <w:color w:val="auto"/>
                <w:w w:val="85"/>
              </w:rPr>
              <w:t>0%</w:t>
            </w:r>
          </w:p>
        </w:tc>
        <w:tc>
          <w:tcPr>
            <w:tcW w:w="10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tcPr>
          <w:p>
            <w:pPr>
              <w:spacing w:after="0"/>
              <w:rPr>
                <w:sz w:val="17"/>
                <w:szCs w:val="17"/>
                <w:color w:val="auto"/>
              </w:rPr>
            </w:pPr>
          </w:p>
        </w:tc>
        <w:tc>
          <w:tcPr>
            <w:tcW w:w="10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0" w:type="dxa"/>
            <w:vAlign w:val="bottom"/>
          </w:tcPr>
          <w:p>
            <w:pPr>
              <w:spacing w:after="0"/>
              <w:rPr>
                <w:sz w:val="17"/>
                <w:szCs w:val="17"/>
                <w:color w:val="auto"/>
              </w:rPr>
            </w:pPr>
          </w:p>
        </w:tc>
        <w:tc>
          <w:tcPr>
            <w:tcW w:w="116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auto"/>
              </w:rPr>
              <w:t>100.0%</w:t>
            </w:r>
          </w:p>
        </w:tc>
        <w:tc>
          <w:tcPr>
            <w:tcW w:w="1260" w:type="dxa"/>
            <w:vAlign w:val="bottom"/>
            <w:gridSpan w:val="4"/>
          </w:tcPr>
          <w:p>
            <w:pPr>
              <w:jc w:val="right"/>
              <w:ind w:right="140"/>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70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3800" w:type="dxa"/>
            <w:vAlign w:val="bottom"/>
          </w:tcPr>
          <w:p>
            <w:pPr>
              <w:ind w:left="1140"/>
              <w:spacing w:after="0"/>
              <w:rPr>
                <w:sz w:val="20"/>
                <w:szCs w:val="20"/>
                <w:color w:val="auto"/>
              </w:rPr>
            </w:pPr>
            <w:r>
              <w:rPr>
                <w:rFonts w:ascii="Arial" w:cs="Arial" w:eastAsia="Arial" w:hAnsi="Arial"/>
                <w:sz w:val="18"/>
                <w:szCs w:val="18"/>
                <w:b w:val="1"/>
                <w:bCs w:val="1"/>
                <w:color w:val="auto"/>
              </w:rPr>
              <w:t>Total BCP</w:t>
            </w:r>
          </w:p>
        </w:tc>
        <w:tc>
          <w:tcPr>
            <w:tcW w:w="46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2"/>
              </w:rPr>
              <w:t>S/.13,854</w:t>
            </w:r>
          </w:p>
        </w:tc>
        <w:tc>
          <w:tcPr>
            <w:tcW w:w="38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5"/>
              </w:rPr>
              <w:t>S/.13,426</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S/.12,745</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S/.21,915</w:t>
            </w:r>
          </w:p>
        </w:tc>
        <w:tc>
          <w:tcPr>
            <w:tcW w:w="44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5"/>
              </w:rPr>
              <w:t>S/.20,107</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S/.19,468</w:t>
            </w:r>
          </w:p>
        </w:tc>
      </w:tr>
      <w:tr>
        <w:trPr>
          <w:trHeight w:val="156"/>
        </w:trPr>
        <w:tc>
          <w:tcPr>
            <w:tcW w:w="700" w:type="dxa"/>
            <w:vAlign w:val="bottom"/>
            <w:tcBorders>
              <w:bottom w:val="single" w:sz="8" w:color="9A9A9A"/>
            </w:tcBorders>
          </w:tcPr>
          <w:p>
            <w:pPr>
              <w:spacing w:after="0"/>
              <w:rPr>
                <w:sz w:val="13"/>
                <w:szCs w:val="13"/>
                <w:color w:val="auto"/>
              </w:rPr>
            </w:pPr>
          </w:p>
        </w:tc>
        <w:tc>
          <w:tcPr>
            <w:tcW w:w="3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top w:val="single" w:sz="8" w:color="auto"/>
              <w:bottom w:val="single" w:sz="8" w:color="9A9A9A"/>
            </w:tcBorders>
          </w:tcPr>
          <w:p>
            <w:pPr>
              <w:spacing w:after="0"/>
              <w:rPr>
                <w:sz w:val="13"/>
                <w:szCs w:val="13"/>
                <w:color w:val="auto"/>
              </w:rPr>
            </w:pPr>
          </w:p>
        </w:tc>
        <w:tc>
          <w:tcPr>
            <w:tcW w:w="540" w:type="dxa"/>
            <w:vAlign w:val="bottom"/>
            <w:tcBorders>
              <w:top w:val="single" w:sz="8" w:color="auto"/>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40" w:type="dxa"/>
            <w:vAlign w:val="bottom"/>
            <w:tcBorders>
              <w:top w:val="single" w:sz="8" w:color="auto"/>
              <w:bottom w:val="single" w:sz="8" w:color="9A9A9A"/>
            </w:tcBorders>
          </w:tcPr>
          <w:p>
            <w:pPr>
              <w:spacing w:after="0"/>
              <w:rPr>
                <w:sz w:val="13"/>
                <w:szCs w:val="13"/>
                <w:color w:val="auto"/>
              </w:rPr>
            </w:pPr>
          </w:p>
        </w:tc>
        <w:tc>
          <w:tcPr>
            <w:tcW w:w="540" w:type="dxa"/>
            <w:vAlign w:val="bottom"/>
            <w:tcBorders>
              <w:top w:val="single" w:sz="8" w:color="auto"/>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top w:val="single" w:sz="8" w:color="auto"/>
              <w:bottom w:val="single" w:sz="8" w:color="9A9A9A"/>
            </w:tcBorders>
          </w:tcPr>
          <w:p>
            <w:pPr>
              <w:spacing w:after="0"/>
              <w:rPr>
                <w:sz w:val="13"/>
                <w:szCs w:val="13"/>
                <w:color w:val="auto"/>
              </w:rPr>
            </w:pPr>
          </w:p>
        </w:tc>
        <w:tc>
          <w:tcPr>
            <w:tcW w:w="540" w:type="dxa"/>
            <w:vAlign w:val="bottom"/>
            <w:tcBorders>
              <w:top w:val="single" w:sz="8" w:color="auto"/>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top w:val="single" w:sz="8" w:color="auto"/>
              <w:bottom w:val="single" w:sz="8" w:color="9A9A9A"/>
            </w:tcBorders>
          </w:tcPr>
          <w:p>
            <w:pPr>
              <w:spacing w:after="0"/>
              <w:rPr>
                <w:sz w:val="13"/>
                <w:szCs w:val="13"/>
                <w:color w:val="auto"/>
              </w:rPr>
            </w:pPr>
          </w:p>
        </w:tc>
        <w:tc>
          <w:tcPr>
            <w:tcW w:w="560" w:type="dxa"/>
            <w:vAlign w:val="bottom"/>
            <w:tcBorders>
              <w:top w:val="single" w:sz="8" w:color="auto"/>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top w:val="single" w:sz="8" w:color="auto"/>
              <w:bottom w:val="single" w:sz="8" w:color="9A9A9A"/>
            </w:tcBorders>
          </w:tcPr>
          <w:p>
            <w:pPr>
              <w:spacing w:after="0"/>
              <w:rPr>
                <w:sz w:val="13"/>
                <w:szCs w:val="13"/>
                <w:color w:val="auto"/>
              </w:rPr>
            </w:pPr>
          </w:p>
        </w:tc>
        <w:tc>
          <w:tcPr>
            <w:tcW w:w="540" w:type="dxa"/>
            <w:vAlign w:val="bottom"/>
            <w:tcBorders>
              <w:top w:val="single" w:sz="8" w:color="auto"/>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top w:val="single" w:sz="8" w:color="auto"/>
              <w:bottom w:val="single" w:sz="8" w:color="9A9A9A"/>
            </w:tcBorders>
          </w:tcPr>
          <w:p>
            <w:pPr>
              <w:spacing w:after="0"/>
              <w:rPr>
                <w:sz w:val="13"/>
                <w:szCs w:val="13"/>
                <w:color w:val="auto"/>
              </w:rPr>
            </w:pPr>
          </w:p>
        </w:tc>
        <w:tc>
          <w:tcPr>
            <w:tcW w:w="540" w:type="dxa"/>
            <w:vAlign w:val="bottom"/>
            <w:tcBorders>
              <w:top w:val="single" w:sz="8" w:color="auto"/>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-1590040</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-1590040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-1264285</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-20955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composition by business segment developed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204470</wp:posOffset>
            </wp:positionV>
            <wp:extent cx="508127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8127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(In % of total and constant S/. Mn)</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31.03.03</w:t>
            </w:r>
          </w:p>
        </w:tc>
        <w:tc>
          <w:tcPr>
            <w:tcW w:w="1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31.12.03</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31.03.04</w:t>
            </w:r>
          </w:p>
        </w:tc>
      </w:tr>
      <w:tr>
        <w:trPr>
          <w:trHeight w:val="110"/>
        </w:trPr>
        <w:tc>
          <w:tcPr>
            <w:tcW w:w="36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309"/>
        </w:trPr>
        <w:tc>
          <w:tcPr>
            <w:tcW w:w="36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Middle market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 small business</w:t>
            </w:r>
          </w:p>
        </w:tc>
        <w:tc>
          <w:tcPr>
            <w:tcW w:w="2080" w:type="dxa"/>
            <w:vAlign w:val="bottom"/>
            <w:gridSpan w:val="3"/>
          </w:tcPr>
          <w:p>
            <w:pPr>
              <w:jc w:val="right"/>
              <w:ind w:right="160"/>
              <w:spacing w:after="0"/>
              <w:rPr>
                <w:sz w:val="20"/>
                <w:szCs w:val="20"/>
                <w:color w:val="auto"/>
              </w:rPr>
            </w:pPr>
            <w:r>
              <w:rPr>
                <w:rFonts w:ascii="Arial" w:cs="Arial" w:eastAsia="Arial" w:hAnsi="Arial"/>
                <w:sz w:val="18"/>
                <w:szCs w:val="18"/>
                <w:color w:val="auto"/>
              </w:rPr>
              <w:t>11.0%</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 home mortgage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14.3%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 consumer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 credit cards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184"/>
        </w:trPr>
        <w:tc>
          <w:tcPr>
            <w:tcW w:w="3680" w:type="dxa"/>
            <w:vAlign w:val="bottom"/>
            <w:gridSpan w:val="2"/>
          </w:tcPr>
          <w:p>
            <w:pPr>
              <w:spacing w:after="0" w:line="184" w:lineRule="exact"/>
              <w:rPr>
                <w:sz w:val="20"/>
                <w:szCs w:val="20"/>
                <w:color w:val="auto"/>
              </w:rPr>
            </w:pPr>
            <w:r>
              <w:rPr>
                <w:rFonts w:ascii="Arial" w:cs="Arial" w:eastAsia="Arial" w:hAnsi="Arial"/>
                <w:sz w:val="18"/>
                <w:szCs w:val="18"/>
                <w:color w:val="auto"/>
              </w:rPr>
              <w:t>Total</w:t>
            </w:r>
          </w:p>
        </w:tc>
        <w:tc>
          <w:tcPr>
            <w:tcW w:w="19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60" w:type="dxa"/>
            <w:vAlign w:val="bottom"/>
          </w:tcPr>
          <w:p>
            <w:pPr>
              <w:spacing w:after="0"/>
              <w:rPr>
                <w:sz w:val="15"/>
                <w:szCs w:val="15"/>
                <w:color w:val="auto"/>
              </w:rPr>
            </w:pPr>
          </w:p>
        </w:tc>
        <w:tc>
          <w:tcPr>
            <w:tcW w:w="1180" w:type="dxa"/>
            <w:vAlign w:val="bottom"/>
            <w:gridSpan w:val="3"/>
          </w:tcPr>
          <w:p>
            <w:pPr>
              <w:jc w:val="right"/>
              <w:ind w:right="14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p>
        </w:tc>
        <w:tc>
          <w:tcPr>
            <w:tcW w:w="3320" w:type="dxa"/>
            <w:vAlign w:val="bottom"/>
          </w:tcPr>
          <w:p>
            <w:pPr>
              <w:ind w:left="1400"/>
              <w:spacing w:after="0"/>
              <w:rPr>
                <w:sz w:val="20"/>
                <w:szCs w:val="20"/>
                <w:color w:val="auto"/>
              </w:rPr>
            </w:pPr>
            <w:r>
              <w:rPr>
                <w:rFonts w:ascii="Arial" w:cs="Arial" w:eastAsia="Arial" w:hAnsi="Arial"/>
                <w:sz w:val="18"/>
                <w:szCs w:val="18"/>
                <w:b w:val="1"/>
                <w:bCs w:val="1"/>
                <w:color w:val="auto"/>
              </w:rPr>
              <w:t>Total Loans</w:t>
            </w:r>
          </w:p>
        </w:tc>
        <w:tc>
          <w:tcPr>
            <w:tcW w:w="2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S/.15,399</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S/.14,602</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S/.13,823</w:t>
            </w:r>
          </w:p>
        </w:tc>
      </w:tr>
      <w:tr>
        <w:trPr>
          <w:trHeight w:val="110"/>
        </w:trPr>
        <w:tc>
          <w:tcPr>
            <w:tcW w:w="36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-1401445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-20955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quarter, loan balances decreased 5.3%, with corporate loans lower by 7.8% to S/.5,743 million (US$1,660 million), while retail loans decreased 4.5% to S/.4,457 million (US$1,047 million) and middle market loans by 2.2% to S/.3,623 million (US$1,047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00" w:type="dxa"/>
            <w:vAlign w:val="bottom"/>
          </w:tcPr>
          <w:p>
            <w:pPr>
              <w:jc w:val="right"/>
              <w:ind w:right="452"/>
              <w:spacing w:after="0"/>
              <w:rPr>
                <w:sz w:val="20"/>
                <w:szCs w:val="20"/>
                <w:color w:val="auto"/>
              </w:rPr>
            </w:pPr>
            <w:r>
              <w:rPr>
                <w:rFonts w:ascii="Arial" w:cs="Arial" w:eastAsia="Arial" w:hAnsi="Arial"/>
                <w:sz w:val="18"/>
                <w:szCs w:val="18"/>
                <w:b w:val="1"/>
                <w:bCs w:val="1"/>
                <w:color w:val="auto"/>
              </w:rPr>
              <w:t>31.03.03</w:t>
            </w:r>
          </w:p>
        </w:tc>
        <w:tc>
          <w:tcPr>
            <w:tcW w:w="1380" w:type="dxa"/>
            <w:vAlign w:val="bottom"/>
          </w:tcPr>
          <w:p>
            <w:pPr>
              <w:jc w:val="right"/>
              <w:ind w:right="452"/>
              <w:spacing w:after="0"/>
              <w:rPr>
                <w:sz w:val="20"/>
                <w:szCs w:val="20"/>
                <w:color w:val="auto"/>
              </w:rPr>
            </w:pPr>
            <w:r>
              <w:rPr>
                <w:rFonts w:ascii="Arial" w:cs="Arial" w:eastAsia="Arial" w:hAnsi="Arial"/>
                <w:sz w:val="18"/>
                <w:szCs w:val="18"/>
                <w:b w:val="1"/>
                <w:bCs w:val="1"/>
                <w:color w:val="auto"/>
              </w:rPr>
              <w:t>31.12.03</w:t>
            </w: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31.03.04</w:t>
            </w:r>
          </w:p>
        </w:tc>
        <w:tc>
          <w:tcPr>
            <w:tcW w:w="138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31.03.04 vs</w:t>
            </w: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w w:val="96"/>
              </w:rPr>
              <w:t>31.03.04 vs</w:t>
            </w:r>
          </w:p>
        </w:tc>
      </w:tr>
      <w:tr>
        <w:trPr>
          <w:trHeight w:val="228"/>
        </w:trPr>
        <w:tc>
          <w:tcPr>
            <w:tcW w:w="36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b w:val="1"/>
                <w:bCs w:val="1"/>
                <w:color w:val="auto"/>
              </w:rPr>
              <w:t>31.12.03</w:t>
            </w:r>
          </w:p>
        </w:tc>
        <w:tc>
          <w:tcPr>
            <w:tcW w:w="1240" w:type="dxa"/>
            <w:vAlign w:val="bottom"/>
          </w:tcPr>
          <w:p>
            <w:pPr>
              <w:jc w:val="right"/>
              <w:ind w:right="292"/>
              <w:spacing w:after="0"/>
              <w:rPr>
                <w:sz w:val="20"/>
                <w:szCs w:val="20"/>
                <w:color w:val="auto"/>
              </w:rPr>
            </w:pPr>
            <w:r>
              <w:rPr>
                <w:rFonts w:ascii="Arial" w:cs="Arial" w:eastAsia="Arial" w:hAnsi="Arial"/>
                <w:sz w:val="18"/>
                <w:szCs w:val="18"/>
                <w:b w:val="1"/>
                <w:bCs w:val="1"/>
                <w:color w:val="auto"/>
              </w:rPr>
              <w:t>31.03.03</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Small business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1,664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1,418</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1,423</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Mortgage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1,876</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2,046</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2,103</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Consumer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674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695</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445</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-36.1%</w:t>
            </w: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Credit card loans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522</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505</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486</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8"/>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Retail</w:t>
            </w:r>
          </w:p>
        </w:tc>
        <w:tc>
          <w:tcPr>
            <w:tcW w:w="2500" w:type="dxa"/>
            <w:vAlign w:val="bottom"/>
          </w:tcPr>
          <w:p>
            <w:pPr>
              <w:jc w:val="right"/>
              <w:ind w:right="112"/>
              <w:spacing w:after="0"/>
              <w:rPr>
                <w:sz w:val="20"/>
                <w:szCs w:val="20"/>
                <w:color w:val="auto"/>
              </w:rPr>
            </w:pPr>
            <w:r>
              <w:rPr>
                <w:rFonts w:ascii="Arial" w:cs="Arial" w:eastAsia="Arial" w:hAnsi="Arial"/>
                <w:sz w:val="18"/>
                <w:szCs w:val="18"/>
                <w:b w:val="1"/>
                <w:bCs w:val="1"/>
                <w:color w:val="auto"/>
              </w:rPr>
              <w:t>4,737</w:t>
            </w: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4,665</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4,457</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-4.5%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Lower consumer loans during first quarter 2004 is mainly because approximately S/.240 million are reported beginning in March 2004 as micro-business loans, which are shown as part of the Small Business concept in the preceding table.</w:t>
      </w:r>
    </w:p>
    <w:p>
      <w:pPr>
        <w:sectPr>
          <w:pgSz w:w="11900" w:h="16838" w:orient="portrait"/>
          <w:cols w:equalWidth="0" w:num="1">
            <w:col w:w="11420"/>
          </w:cols>
          <w:pgMar w:left="240" w:top="131" w:right="239" w:bottom="0" w:gutter="0" w:footer="0" w:header="0"/>
        </w:sectPr>
      </w:pPr>
    </w:p>
    <w:bookmarkStart w:id="9" w:name="page10"/>
    <w:bookmarkEnd w:id="9"/>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Contingent Credits and Managed Funds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2004 contingent credits were S/.5,715 million (US$1,652 million), 11.7% over the December 2003 figure, mainly due to the inclussion, beginning in the fourth quarter 2003, of credit card un-used but approved lines of credit, which were not considered in previous periods, as can be seen in the Other contingent accounts caption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00" w:type="dxa"/>
            <w:vAlign w:val="bottom"/>
          </w:tcPr>
          <w:p>
            <w:pPr>
              <w:jc w:val="right"/>
              <w:ind w:right="452"/>
              <w:spacing w:after="0"/>
              <w:rPr>
                <w:sz w:val="20"/>
                <w:szCs w:val="20"/>
                <w:color w:val="auto"/>
              </w:rPr>
            </w:pPr>
            <w:r>
              <w:rPr>
                <w:rFonts w:ascii="Arial" w:cs="Arial" w:eastAsia="Arial" w:hAnsi="Arial"/>
                <w:sz w:val="18"/>
                <w:szCs w:val="18"/>
                <w:b w:val="1"/>
                <w:bCs w:val="1"/>
                <w:color w:val="auto"/>
              </w:rPr>
              <w:t>31.03.03</w:t>
            </w:r>
          </w:p>
        </w:tc>
        <w:tc>
          <w:tcPr>
            <w:tcW w:w="1380" w:type="dxa"/>
            <w:vAlign w:val="bottom"/>
          </w:tcPr>
          <w:p>
            <w:pPr>
              <w:jc w:val="right"/>
              <w:ind w:right="452"/>
              <w:spacing w:after="0"/>
              <w:rPr>
                <w:sz w:val="20"/>
                <w:szCs w:val="20"/>
                <w:color w:val="auto"/>
              </w:rPr>
            </w:pPr>
            <w:r>
              <w:rPr>
                <w:rFonts w:ascii="Arial" w:cs="Arial" w:eastAsia="Arial" w:hAnsi="Arial"/>
                <w:sz w:val="18"/>
                <w:szCs w:val="18"/>
                <w:b w:val="1"/>
                <w:bCs w:val="1"/>
                <w:color w:val="auto"/>
              </w:rPr>
              <w:t>31.12.03</w:t>
            </w: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31.03.04</w:t>
            </w:r>
          </w:p>
        </w:tc>
        <w:tc>
          <w:tcPr>
            <w:tcW w:w="138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31.03.04 vs</w:t>
            </w: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w w:val="96"/>
              </w:rPr>
              <w:t>31.03.04 vs</w:t>
            </w:r>
          </w:p>
        </w:tc>
      </w:tr>
      <w:tr>
        <w:trPr>
          <w:trHeight w:val="228"/>
        </w:trPr>
        <w:tc>
          <w:tcPr>
            <w:tcW w:w="36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b w:val="1"/>
                <w:bCs w:val="1"/>
                <w:color w:val="auto"/>
              </w:rPr>
              <w:t>31.12.03</w:t>
            </w:r>
          </w:p>
        </w:tc>
        <w:tc>
          <w:tcPr>
            <w:tcW w:w="1240" w:type="dxa"/>
            <w:vAlign w:val="bottom"/>
          </w:tcPr>
          <w:p>
            <w:pPr>
              <w:jc w:val="right"/>
              <w:ind w:right="292"/>
              <w:spacing w:after="0"/>
              <w:rPr>
                <w:sz w:val="20"/>
                <w:szCs w:val="20"/>
                <w:color w:val="auto"/>
              </w:rPr>
            </w:pPr>
            <w:r>
              <w:rPr>
                <w:rFonts w:ascii="Arial" w:cs="Arial" w:eastAsia="Arial" w:hAnsi="Arial"/>
                <w:sz w:val="18"/>
                <w:szCs w:val="18"/>
                <w:b w:val="1"/>
                <w:bCs w:val="1"/>
                <w:color w:val="auto"/>
              </w:rPr>
              <w:t>31.03.03</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2,379</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2,306</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2,203</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Letters of Credit</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528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474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512</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Acceptances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140</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176</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139</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-21.0%</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1,382</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1,013</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1,183</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12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689</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2,014</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1,678</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-16.7%</w:t>
            </w:r>
          </w:p>
        </w:tc>
        <w:tc>
          <w:tcPr>
            <w:tcW w:w="124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28"/>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Contingent Credits</w:t>
            </w:r>
          </w:p>
        </w:tc>
        <w:tc>
          <w:tcPr>
            <w:tcW w:w="2500" w:type="dxa"/>
            <w:vAlign w:val="bottom"/>
          </w:tcPr>
          <w:p>
            <w:pPr>
              <w:jc w:val="right"/>
              <w:ind w:right="112"/>
              <w:spacing w:after="0"/>
              <w:rPr>
                <w:sz w:val="20"/>
                <w:szCs w:val="20"/>
                <w:color w:val="auto"/>
              </w:rPr>
            </w:pPr>
            <w:r>
              <w:rPr>
                <w:rFonts w:ascii="Arial" w:cs="Arial" w:eastAsia="Arial" w:hAnsi="Arial"/>
                <w:sz w:val="18"/>
                <w:szCs w:val="18"/>
                <w:b w:val="1"/>
                <w:bCs w:val="1"/>
                <w:color w:val="auto"/>
              </w:rPr>
              <w:t>5,117</w:t>
            </w:r>
          </w:p>
        </w:tc>
        <w:tc>
          <w:tcPr>
            <w:tcW w:w="1380" w:type="dxa"/>
            <w:vAlign w:val="bottom"/>
          </w:tcPr>
          <w:p>
            <w:pPr>
              <w:jc w:val="right"/>
              <w:ind w:right="132"/>
              <w:spacing w:after="0"/>
              <w:rPr>
                <w:sz w:val="20"/>
                <w:szCs w:val="20"/>
                <w:color w:val="auto"/>
              </w:rPr>
            </w:pPr>
            <w:r>
              <w:rPr>
                <w:rFonts w:ascii="Arial" w:cs="Arial" w:eastAsia="Arial" w:hAnsi="Arial"/>
                <w:sz w:val="18"/>
                <w:szCs w:val="18"/>
                <w:b w:val="1"/>
                <w:bCs w:val="1"/>
                <w:color w:val="auto"/>
              </w:rPr>
              <w:t>5,984</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5,715</w:t>
            </w:r>
          </w:p>
        </w:tc>
        <w:tc>
          <w:tcPr>
            <w:tcW w:w="1380" w:type="dxa"/>
            <w:vAlign w:val="bottom"/>
          </w:tcPr>
          <w:p>
            <w:pPr>
              <w:jc w:val="right"/>
              <w:ind w:right="72"/>
              <w:spacing w:after="0"/>
              <w:rPr>
                <w:sz w:val="20"/>
                <w:szCs w:val="20"/>
                <w:color w:val="auto"/>
              </w:rPr>
            </w:pPr>
            <w:r>
              <w:rPr>
                <w:rFonts w:ascii="Arial" w:cs="Arial" w:eastAsia="Arial" w:hAnsi="Arial"/>
                <w:sz w:val="18"/>
                <w:szCs w:val="18"/>
                <w:b w:val="1"/>
                <w:bCs w:val="1"/>
                <w:color w:val="auto"/>
              </w:rPr>
              <w:t>-4.5%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110"/>
        </w:trPr>
        <w:tc>
          <w:tcPr>
            <w:tcW w:w="36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Third party funds managed by several subsidiaries of BCP amounted to S/.3,628 million (US$1,049 million) as of March 31, 2004, increasing 15.0% compared to the year-ago quarter, but decreased 1.5% during first quarter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preliminary statistics from the Peruvian Banking Association (ASBANC) for Peruvian commercial banks as of March 31, 2004, Banco de Crédito del Perú had a total loan market share of 34.6% (34.4% at December 31, 2003 and 35.3% at March 31, 2003), and 36.6% of deposits (36.1% at December 31, 2003 and 38.5% at March 31,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BCP’s market share in Peruvian mutual funds, through its subsidiary Credifondo, was 49.4% as of March 31, 2004 (50.3% at December 31, 2003 and 52.2% at March 31,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II.6 LOAN QUALITY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past due loans amounted to S/.831 million (US$240.0 million) at March 31, 2004, decreasing 37.2% from the balance of S/.1,322 million (US$382.2 million) as of the end of March 2003, and are also 6.2% below past due loans at the beginning of year 2004.</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ratio of past due loans as a percentage of total loans was 6.0% at March 31, 2004, slightly improving during this quarter compared to 6.1% at December 2003. The ratio of past due, refinanced and restructured loans as a percentage of total loans remained almost unchanged at 11.6% during first quarter 2004, but declines from 15.1% at March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March 2004, refinanced loans amounted to S/.770.7 million (US$222.7 million), lower than the balance at March 2003 that was S/.996.7 million (US$288.1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first quarter 2004, outstanding balances of loan loss provisions totaled S/.1,077.9 million (US$311.5 million), decreasing 8.3% compared to the preceding quarter mainly due to charge-offs. The coverage ratio of loan provisions to past due loans decreased from 132.7% at the end of the preceding fourth quarter 2003, to 129.8% at March 2004.</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Of total provisions outstanding at the end of the current quarter, S/.172.5 million (US$49.9 million) correspond to generic provisions assigned to loans in the Normal (A) risk category, decreasing from the balance at December 31, 2003 of S/.208.5 million (US$60.2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believed to be unrecoverable, fully provisioned in prior periods, were written-off during the first quarter 2004 amounting to S/.111.9 million (US$32.3 million), of which approximately 11% were related to consumer and mortgage loans. This compares to charge-offs in the fourth quarter of 2003 of S/.251.3 million (US$72.6 million), and S/.61.2 million (US$17.7 million) in the year-ago first quarter.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Loans classified as Substandard (i.e., Deficient, Doubtful and Loss) were 14.6% of the loan portfolio in March 2004, decreasing from 15.3% that resulted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2003 and from 17.8% in March 2003.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200025</wp:posOffset>
            </wp:positionV>
            <wp:extent cx="508127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81270" cy="342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3680" w:type="dxa"/>
            <w:vAlign w:val="bottom"/>
            <w:gridSpan w:val="3"/>
          </w:tcPr>
          <w:p>
            <w:pPr>
              <w:spacing w:after="0"/>
              <w:rPr>
                <w:sz w:val="20"/>
                <w:szCs w:val="20"/>
                <w:color w:val="auto"/>
              </w:rPr>
            </w:pPr>
            <w:r>
              <w:rPr>
                <w:rFonts w:ascii="Arial" w:cs="Arial" w:eastAsia="Arial" w:hAnsi="Arial"/>
                <w:sz w:val="18"/>
                <w:szCs w:val="18"/>
                <w:i w:val="1"/>
                <w:iCs w:val="1"/>
                <w:color w:val="auto"/>
              </w:rPr>
              <w:t>(% of Total loans and S/.Mn const.)</w:t>
            </w: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31.03.03</w:t>
            </w:r>
          </w:p>
        </w:tc>
        <w:tc>
          <w:tcPr>
            <w:tcW w:w="1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31.12.03</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31.03.04</w:t>
            </w:r>
          </w:p>
        </w:tc>
      </w:tr>
      <w:tr>
        <w:trPr>
          <w:trHeight w:val="110"/>
        </w:trPr>
        <w:tc>
          <w:tcPr>
            <w:tcW w:w="20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309"/>
        </w:trPr>
        <w:tc>
          <w:tcPr>
            <w:tcW w:w="3680" w:type="dxa"/>
            <w:vAlign w:val="bottom"/>
            <w:gridSpan w:val="3"/>
          </w:tcPr>
          <w:p>
            <w:pPr>
              <w:spacing w:after="0"/>
              <w:rPr>
                <w:sz w:val="20"/>
                <w:szCs w:val="20"/>
                <w:color w:val="auto"/>
              </w:rPr>
            </w:pPr>
            <w:r>
              <w:rPr>
                <w:rFonts w:ascii="Arial" w:cs="Arial" w:eastAsia="Arial" w:hAnsi="Arial"/>
                <w:sz w:val="18"/>
                <w:szCs w:val="18"/>
                <w:color w:val="auto"/>
              </w:rPr>
              <w:t>A: Normal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24"/>
                <w:szCs w:val="2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B: Potential Problem</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C: Deficient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D: Doubtful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E: Loss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184"/>
        </w:trPr>
        <w:tc>
          <w:tcPr>
            <w:tcW w:w="2020" w:type="dxa"/>
            <w:vAlign w:val="bottom"/>
          </w:tcPr>
          <w:p>
            <w:pPr>
              <w:spacing w:after="0"/>
              <w:rPr>
                <w:sz w:val="15"/>
                <w:szCs w:val="15"/>
                <w:color w:val="auto"/>
              </w:rPr>
            </w:pPr>
          </w:p>
        </w:tc>
        <w:tc>
          <w:tcPr>
            <w:tcW w:w="1660" w:type="dxa"/>
            <w:vAlign w:val="bottom"/>
            <w:gridSpan w:val="2"/>
          </w:tcPr>
          <w:p>
            <w:pPr>
              <w:jc w:val="center"/>
              <w:ind w:right="1300"/>
              <w:spacing w:after="0" w:line="184" w:lineRule="exact"/>
              <w:rPr>
                <w:sz w:val="20"/>
                <w:szCs w:val="20"/>
                <w:color w:val="auto"/>
              </w:rPr>
            </w:pPr>
            <w:r>
              <w:rPr>
                <w:rFonts w:ascii="Arial" w:cs="Arial" w:eastAsia="Arial" w:hAnsi="Arial"/>
                <w:sz w:val="18"/>
                <w:szCs w:val="18"/>
                <w:color w:val="auto"/>
                <w:w w:val="89"/>
              </w:rPr>
              <w:t>Total</w:t>
            </w:r>
          </w:p>
        </w:tc>
        <w:tc>
          <w:tcPr>
            <w:tcW w:w="19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60" w:type="dxa"/>
            <w:vAlign w:val="bottom"/>
          </w:tcPr>
          <w:p>
            <w:pPr>
              <w:spacing w:after="0"/>
              <w:rPr>
                <w:sz w:val="15"/>
                <w:szCs w:val="15"/>
                <w:color w:val="auto"/>
              </w:rPr>
            </w:pPr>
          </w:p>
        </w:tc>
        <w:tc>
          <w:tcPr>
            <w:tcW w:w="1180" w:type="dxa"/>
            <w:vAlign w:val="bottom"/>
            <w:gridSpan w:val="3"/>
          </w:tcPr>
          <w:p>
            <w:pPr>
              <w:jc w:val="right"/>
              <w:ind w:right="14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0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2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3680" w:type="dxa"/>
            <w:vAlign w:val="bottom"/>
            <w:gridSpan w:val="3"/>
          </w:tcPr>
          <w:p>
            <w:pPr>
              <w:jc w:val="center"/>
              <w:ind w:left="632"/>
              <w:spacing w:after="0"/>
              <w:rPr>
                <w:sz w:val="20"/>
                <w:szCs w:val="20"/>
                <w:color w:val="auto"/>
              </w:rPr>
            </w:pPr>
            <w:r>
              <w:rPr>
                <w:rFonts w:ascii="Arial" w:cs="Arial" w:eastAsia="Arial" w:hAnsi="Arial"/>
                <w:sz w:val="18"/>
                <w:szCs w:val="18"/>
                <w:b w:val="1"/>
                <w:bCs w:val="1"/>
                <w:color w:val="auto"/>
                <w:w w:val="87"/>
              </w:rPr>
              <w:t>Total Loans</w:t>
            </w:r>
          </w:p>
        </w:tc>
        <w:tc>
          <w:tcPr>
            <w:tcW w:w="2080" w:type="dxa"/>
            <w:vAlign w:val="bottom"/>
            <w:gridSpan w:val="3"/>
          </w:tcPr>
          <w:p>
            <w:pPr>
              <w:ind w:left="1260"/>
              <w:spacing w:after="0"/>
              <w:rPr>
                <w:sz w:val="20"/>
                <w:szCs w:val="20"/>
                <w:color w:val="auto"/>
              </w:rPr>
            </w:pPr>
            <w:r>
              <w:rPr>
                <w:rFonts w:ascii="Arial" w:cs="Arial" w:eastAsia="Arial" w:hAnsi="Arial"/>
                <w:sz w:val="18"/>
                <w:szCs w:val="18"/>
                <w:b w:val="1"/>
                <w:bCs w:val="1"/>
                <w:color w:val="auto"/>
              </w:rPr>
              <w:t>S/.15,399</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S/.14,602</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S/.13,823</w:t>
            </w:r>
          </w:p>
        </w:tc>
      </w:tr>
      <w:tr>
        <w:trPr>
          <w:trHeight w:val="110"/>
        </w:trPr>
        <w:tc>
          <w:tcPr>
            <w:tcW w:w="20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-1127125</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-20955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loss provisions, net of recoveries, charged against results in first quarter 2004 amounted to S/.47.1 million (US$13.6 million), lower than S/.120.4 million (US$34.8 million) in the year-ago period, mainly due to improved loan quality. Provision expense in the fourth quarter of 2003 was S/.47.4 million (US$13.7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II.7 CAPITAL ADEQUACY</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At the end of the first quarter of 2004, BCP’s unconsolidated ratio of risk-weighted assets to regulatory capital was 8.1 to 1.0 (12.3%), while the corresponding consolidated ratio was 7.2 to 1.0 (13.9%). Risk-weighted assets include S/.1,254 million (US$364.2 million) of market-risk exposure whose coverage required</w:t>
      </w:r>
    </w:p>
    <w:p>
      <w:pPr>
        <w:sectPr>
          <w:pgSz w:w="11900" w:h="16912" w:orient="portrait"/>
          <w:cols w:equalWidth="0" w:num="1">
            <w:col w:w="11420"/>
          </w:cols>
          <w:pgMar w:left="240" w:top="131" w:right="239" w:bottom="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S/.114.0 million (US$32.9 million) of regulatory capital at March 31, 2004. Peruvian regulations limit risk-weighted assets to a ratio of 11.0 to 1.0 (9.1%).</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2004, BCP’s consolidated “regulatory capital” was S/.2,324 million (US$671.6 million), increasing compared to S/.2,243 million (US$648.2 million) in the preceding quarter mostly due to higher reserves. Regulatory capital included S/.188.8 million ($54.6 million) in subordinated debt in the current period, remaining similar to the balance at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201930</wp:posOffset>
            </wp:positionV>
            <wp:extent cx="504698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46980" cy="342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76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24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BCP unconsolidated</w:t>
            </w:r>
          </w:p>
        </w:tc>
        <w:tc>
          <w:tcPr>
            <w:tcW w:w="23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BCP consolidated</w:t>
            </w:r>
          </w:p>
        </w:tc>
      </w:tr>
      <w:tr>
        <w:trPr>
          <w:trHeight w:val="137"/>
        </w:trPr>
        <w:tc>
          <w:tcPr>
            <w:tcW w:w="316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356"/>
        </w:trPr>
        <w:tc>
          <w:tcPr>
            <w:tcW w:w="316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31.03.03</w:t>
            </w: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31.03.04</w:t>
            </w:r>
          </w:p>
        </w:tc>
        <w:tc>
          <w:tcPr>
            <w:tcW w:w="40" w:type="dxa"/>
            <w:vAlign w:val="bottom"/>
          </w:tcPr>
          <w:p>
            <w:pPr>
              <w:spacing w:after="0"/>
              <w:rPr>
                <w:sz w:val="24"/>
                <w:szCs w:val="24"/>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31.03.03</w:t>
            </w: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31.03.04</w:t>
            </w:r>
          </w:p>
        </w:tc>
      </w:tr>
      <w:tr>
        <w:trPr>
          <w:trHeight w:val="137"/>
        </w:trPr>
        <w:tc>
          <w:tcPr>
            <w:tcW w:w="316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343"/>
        </w:trPr>
        <w:tc>
          <w:tcPr>
            <w:tcW w:w="3160" w:type="dxa"/>
            <w:vAlign w:val="bottom"/>
          </w:tcPr>
          <w:p>
            <w:pPr>
              <w:spacing w:after="0"/>
              <w:rPr>
                <w:sz w:val="20"/>
                <w:szCs w:val="20"/>
                <w:color w:val="auto"/>
              </w:rPr>
            </w:pPr>
            <w:r>
              <w:rPr>
                <w:rFonts w:ascii="Arial" w:cs="Arial" w:eastAsia="Arial" w:hAnsi="Arial"/>
                <w:sz w:val="18"/>
                <w:szCs w:val="18"/>
                <w:color w:val="auto"/>
              </w:rPr>
              <w:t>Regulatory capital</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1,713</w:t>
            </w:r>
          </w:p>
        </w:tc>
        <w:tc>
          <w:tcPr>
            <w:tcW w:w="1060" w:type="dxa"/>
            <w:vAlign w:val="bottom"/>
          </w:tcPr>
          <w:p>
            <w:pPr>
              <w:jc w:val="right"/>
              <w:spacing w:after="0"/>
              <w:rPr>
                <w:sz w:val="20"/>
                <w:szCs w:val="20"/>
                <w:color w:val="auto"/>
              </w:rPr>
            </w:pPr>
            <w:r>
              <w:rPr>
                <w:rFonts w:ascii="Arial" w:cs="Arial" w:eastAsia="Arial" w:hAnsi="Arial"/>
                <w:sz w:val="18"/>
                <w:szCs w:val="18"/>
                <w:color w:val="auto"/>
              </w:rPr>
              <w:t>1,871</w:t>
            </w:r>
          </w:p>
        </w:tc>
        <w:tc>
          <w:tcPr>
            <w:tcW w:w="40" w:type="dxa"/>
            <w:vAlign w:val="bottom"/>
          </w:tcPr>
          <w:p>
            <w:pPr>
              <w:spacing w:after="0"/>
              <w:rPr>
                <w:sz w:val="24"/>
                <w:szCs w:val="24"/>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2,283</w:t>
            </w:r>
          </w:p>
        </w:tc>
        <w:tc>
          <w:tcPr>
            <w:tcW w:w="1060" w:type="dxa"/>
            <w:vAlign w:val="bottom"/>
          </w:tcPr>
          <w:p>
            <w:pPr>
              <w:jc w:val="right"/>
              <w:spacing w:after="0"/>
              <w:rPr>
                <w:sz w:val="20"/>
                <w:szCs w:val="20"/>
                <w:color w:val="auto"/>
              </w:rPr>
            </w:pPr>
            <w:r>
              <w:rPr>
                <w:rFonts w:ascii="Arial" w:cs="Arial" w:eastAsia="Arial" w:hAnsi="Arial"/>
                <w:sz w:val="18"/>
                <w:szCs w:val="18"/>
                <w:color w:val="auto"/>
              </w:rPr>
              <w:t>2,324</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Risk weighted assets</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15,940</w:t>
            </w:r>
          </w:p>
        </w:tc>
        <w:tc>
          <w:tcPr>
            <w:tcW w:w="1060" w:type="dxa"/>
            <w:vAlign w:val="bottom"/>
          </w:tcPr>
          <w:p>
            <w:pPr>
              <w:jc w:val="right"/>
              <w:spacing w:after="0"/>
              <w:rPr>
                <w:sz w:val="20"/>
                <w:szCs w:val="20"/>
                <w:color w:val="auto"/>
              </w:rPr>
            </w:pPr>
            <w:r>
              <w:rPr>
                <w:rFonts w:ascii="Arial" w:cs="Arial" w:eastAsia="Arial" w:hAnsi="Arial"/>
                <w:sz w:val="18"/>
                <w:szCs w:val="18"/>
                <w:color w:val="auto"/>
              </w:rPr>
              <w:t>15,172</w:t>
            </w:r>
          </w:p>
        </w:tc>
        <w:tc>
          <w:tcPr>
            <w:tcW w:w="4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18,217</w:t>
            </w:r>
          </w:p>
        </w:tc>
        <w:tc>
          <w:tcPr>
            <w:tcW w:w="1060" w:type="dxa"/>
            <w:vAlign w:val="bottom"/>
          </w:tcPr>
          <w:p>
            <w:pPr>
              <w:jc w:val="right"/>
              <w:spacing w:after="0"/>
              <w:rPr>
                <w:sz w:val="20"/>
                <w:szCs w:val="20"/>
                <w:color w:val="auto"/>
              </w:rPr>
            </w:pPr>
            <w:r>
              <w:rPr>
                <w:rFonts w:ascii="Arial" w:cs="Arial" w:eastAsia="Arial" w:hAnsi="Arial"/>
                <w:sz w:val="18"/>
                <w:szCs w:val="18"/>
                <w:color w:val="auto"/>
              </w:rPr>
              <w:t>16,818</w:t>
            </w:r>
          </w:p>
        </w:tc>
      </w:tr>
      <w:tr>
        <w:trPr>
          <w:trHeight w:val="486"/>
        </w:trPr>
        <w:tc>
          <w:tcPr>
            <w:tcW w:w="316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9.3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8.0</w:t>
            </w: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12.5%</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137"/>
        </w:trPr>
        <w:tc>
          <w:tcPr>
            <w:tcW w:w="316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-1281430</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-1281430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-955675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6123940</wp:posOffset>
            </wp:positionH>
            <wp:positionV relativeFrom="paragraph">
              <wp:posOffset>-20955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 ATLANTIC SECURITY HOLDING CORPORATION AND SUBSIDIARIES (“ASHC”)</w:t>
      </w:r>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Consolidated net income for the quarter ended March 31, 2004 was US$7.7 million, higher than US$3.8 million in the same period of 2003. Net income in the first quarter of 2004 increase compared to the same period of 2003, mainly due to lower market risk provisions and higher dividends received from Credicorp.</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interest income, before risk provisions and not including dividend income, was US$3.4 million in the first quarter of 2004, lower than US$3.9 million in the same quarter of last year. Net interest margin as a percentage of interest earning assets, without considering dividends, was 1.9% during first quarter 2004, similar to the 2.0% margin in the preceding fourth quarter 2003, but decreases compared to 2.5% in first quarter 2003. Compared with the year-ago quarter, the margin decreased mainly due to cost of funds required for the purchase of part of BCOL’s investment portfolio.</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first quarter 2004 US$4.8 million were registered as dividend income from Credicorp, increasing from US$3.1 million in the same year-ago period.</w:t>
      </w: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first quarter of 2004 charges against income for market risk provisions amounted to US$0.5 million, slightly over US$0.4 million charged in the preceding fourth quarter 2003, but declines compared to US$3.6 million provisioned in the year-ago period. In the current quarter provisions for credit risks amounted to US$0.5 million, while US$1.4 million was expensed in the preceding period, and US$0.6 million was expensed in the prior year first quarter.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which includes fee income, realized gains on securities transactions before risk provisions and others, amounted to US$2.4 million in the first quarter of 2004, similar to this revenue in the year-ago quarter. Fee income was US$1.1 million in the current period, increasing from US$1.0 million in the year-ago quarter.</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loan portfolio, net of provisions, was US$154.4 million as of March 31, 2004, remaining almost unchanged during the quarter, but decreased from loan balances of US$156.0 million at March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marketable securities portfolio was US$452.7 million at March 2004, increasing over US$430.1 million last December 2003, and also from US$327.6 million at the end of March 2003, following the increase of available funds.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amounted to US$638.1 million at March 31, 2004, increasing from the balance of US$629.4 million at the end of the preceding fourth quarter 2003, and also compared to US$573.0 million at the end of March 2003.</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Funds under management were US$704.6 million at March 31, 2004, 6.1% higher than US$664.1 million at the end of December 2003, and grows 30.0% compared to US$542.1 million at March 2003. The increase is principally due to the introduction of new structured products and funds under management with higher yields than interest paid on bank deposits, and, to a lesser extent, to higher market valuation of this portfolio.</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equity reached US$121.9 million at the end of March 2004, slightly over US$119.3 million at March 2003. Compared to the year-ago period, the equity account of reserves for market value of investments increases from a balance of unrealized losses of US$2.2 million at the end of March 2003, to unrealized gains of US$12.2 million at the end of the current quarter, due to improved values in capital markets of the available for sale proprietary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2003, the loan portfolio had 2.3% past dues, which were 146.0% covered by loan-loss provisions.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were 0.9%, annualized, in the first quarter of 2004 similar to the ratio during the same period in 2003. This ratio declines to 0.5% in the first quarter of 2004, when funds under management are included within total assets, remaining unchanged compared to the prior year quarter.</w:t>
      </w:r>
    </w:p>
    <w:p>
      <w:pPr>
        <w:sectPr>
          <w:pgSz w:w="11900" w:h="16838" w:orient="portrait"/>
          <w:cols w:equalWidth="0" w:num="1">
            <w:col w:w="11420"/>
          </w:cols>
          <w:pgMar w:left="240" w:top="1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IV. EL PACIFICO-PERUANO SUIZA AND SUBSIDIARIES (“PPS”)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the quarter ended March 31, 2004 a consolidated net income of S/.7.8 million (US$2.2 million), increasing over net income of S/.6.2 million (US$1.8 million) in the year-ago quarter. In first quarter 2004 technical results increased over the prior year period mainly because of higher retained premiums and lower claims.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acquisition of Novasalud EPS was finalized in March 2004, and is expected to be merged with Pacífico EPS in the following three months. With this acquisition PPS will further the development of its private health insurance business line, seeking economies of scale in order to improve operating efficiencies and profitability. During fiscal year 2003 Novasalud EPS reported total fees of S/.126.8 million (US$36.6 million). Consolidated financial statements reported by PPS as of March 31, 2004 do not include results from Novasalud EPS.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premiums and Pacífico Salud health fees in the first quarter of 2004 were S/.243.5 million (US$70.4 million), 2.9% below premiums of S/.250.9 million (US$72.5 million) in the year-ago quarter. Net premiums earned and health fees, net of reinsured premiums and reserves, were S/.143.7 million (US$41.5 million) in first quarter 2004, 15.4% over premiums in the prior year quarter. Net premiums earned increased mainly due to a higher retention rate and increased health fees from Pacífico Salud.</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Additions to technical reserves for premiums grew by S/.62.4 million (US$18.0 million) in the first quarter of 2004, 20.2% higher than additions in the same quarter of last year. Most of reserves in the first quarter of 2004 were established by Pacífico Vida, for its life annuities and life insurance lines.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Comparing cumulative results for first quarters 2004 and 2003, consolidated total premiums and fees consisted of:</w:t>
      </w:r>
    </w:p>
    <w:p>
      <w:pPr>
        <w:spacing w:after="0" w:line="1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insurance lines, that amounted to 54.0% of total premiums and decreased 5.8%;</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at Pacífico Salud, that were 11.1% of total premiums and increased 13.0%;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Pacífico Vida, which amounted to 34.9% of the total and decreased 2.7%.</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Cumulative through March 31, 2004, growth of Pacífico Salud and the health and medical assistance insurance line (21.3% of total premiums) was 3.5%; fire insurance lines (15.1% of total premiums) decreased 19.5%; while the automobile insurance line (7.2% of total premiums) grew 12.5%. Through March 2004, pension fund benefits insurance (5.0% of total premiums) decreased 34.3%, while group life insurance and individual life insurance policies (12.2% of total premiums) grew 10.9%, and life annuities (16.6% of total premiums) increased 2.8%, compared to the prior year. Decreased pension fund insurance premiums is due to regulatory changes in procedures for the purchase of insurance coverage by Private Pension Funds (“AFPs”), after the end of the Transitory Arrangement, which caused increased competition and lower fees.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consolidated underwriting results was S/.20.7 million (US$6.0 million) in the first quarter of 2004, increasing from S/.15.3 million (US$4.4 million) in the prior year quarter. The ratio of net underwriting results (net premiums and health fees less reserves and claims as a percentage of total premiums) was 8.5% in the first quarter of 2004, compared to the 6.1% ratio in the prior year quarter, mainly due to higher retained premiums and lower claims.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insurance claims and health services costs incurred in the first quarter of 2004 were S/.101.3 million (US$29.3 million), 12.3% over claims in the same quarter of 2003. The net loss ratio (net claims to net premiums) decreases to 49.2% in the current quarter from 51.2% in first quarter 2003. The net loss ratio continues high in pension fund insurance (180.6%), health (87.0%) and in Pacífico Salud (86.3%).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ratio (the sum of net claims and health services, general expenses and commissions, as a percentage of net earned premiums and health fees, without including Pacifico Vida) increased slightly from 92.4% in the first quarter of 2003 to 92.6% in the current quarter.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over net premiums earned decreased from 20.3% to 17.4% comparing the first quarters of 2003 and 2004, respectively.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Adjustments for exposure to inflation and exchange differences resulted in a loss of S/.6.2 million (US$1.8 million) in first quarter 2004, compared to a loss of S/.5.8 million (US$1.7 million) in the same period of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real estate and financial assets were S/.1,362 million (US$393.5 million) at the end of the current quarter, increasing 18.3% from the year-ago balance.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2004, total assets were S/.1,808 million (US$522.4 million) increasing 18.2% compared to the year-ago balance. At the end of the current period net equity amounted to S/.330.2 million (US$95.4 million) 6.7% below net equity at March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February 28, 2004, had total premiums of US$145.2 million, 2.0% over premiums in the same period in 2003, growing mainly due to sales life annuities. For the two months of 2004, PPS's market share in total premiums was 27.9% (29.9% in the year-ago period), with the share in general risks and health lines being 29.6% (31.1% in the same period of 2003) and in life insurance and pension fund benefits lines of 25.0% (27.5% in the same period of 2003).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Tables To Follow ***</w:t>
      </w:r>
    </w:p>
    <w:p>
      <w:pPr>
        <w:sectPr>
          <w:pgSz w:w="11900" w:h="16838" w:orient="portrait"/>
          <w:cols w:equalWidth="0" w:num="1">
            <w:col w:w="11420"/>
          </w:cols>
          <w:pgMar w:left="240" w:top="131"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2503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ind w:left="440"/>
              <w:spacing w:after="0"/>
              <w:rPr>
                <w:sz w:val="20"/>
                <w:szCs w:val="20"/>
                <w:color w:val="auto"/>
              </w:rPr>
            </w:pPr>
            <w:r>
              <w:rPr>
                <w:rFonts w:ascii="Arial" w:cs="Arial" w:eastAsia="Arial" w:hAnsi="Arial"/>
                <w:sz w:val="18"/>
                <w:szCs w:val="18"/>
                <w:b w:val="1"/>
                <w:bCs w:val="1"/>
                <w:color w:val="auto"/>
                <w:w w:val="97"/>
              </w:rPr>
              <w:t>As of</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37"/>
        </w:trPr>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r>
      <w:tr>
        <w:trPr>
          <w:trHeight w:val="356"/>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91"/>
              </w:rPr>
              <w:t>ASSETS</w:t>
            </w:r>
          </w:p>
        </w:tc>
        <w:tc>
          <w:tcPr>
            <w:tcW w:w="17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Dec. 31, 2002</w:t>
            </w:r>
          </w:p>
        </w:tc>
        <w:tc>
          <w:tcPr>
            <w:tcW w:w="1980" w:type="dxa"/>
            <w:vAlign w:val="bottom"/>
            <w:gridSpan w:val="5"/>
          </w:tcPr>
          <w:p>
            <w:pPr>
              <w:ind w:left="340"/>
              <w:spacing w:after="0"/>
              <w:rPr>
                <w:sz w:val="20"/>
                <w:szCs w:val="20"/>
                <w:color w:val="auto"/>
              </w:rPr>
            </w:pPr>
            <w:r>
              <w:rPr>
                <w:rFonts w:ascii="Arial" w:cs="Arial" w:eastAsia="Arial" w:hAnsi="Arial"/>
                <w:sz w:val="18"/>
                <w:szCs w:val="18"/>
                <w:b w:val="1"/>
                <w:bCs w:val="1"/>
                <w:color w:val="auto"/>
              </w:rPr>
              <w:t>Mar. 31, 2003</w:t>
            </w:r>
          </w:p>
        </w:tc>
        <w:tc>
          <w:tcPr>
            <w:tcW w:w="1460" w:type="dxa"/>
            <w:vAlign w:val="bottom"/>
            <w:gridSpan w:val="4"/>
          </w:tcPr>
          <w:p>
            <w:pPr>
              <w:ind w:left="100"/>
              <w:spacing w:after="0"/>
              <w:rPr>
                <w:sz w:val="20"/>
                <w:szCs w:val="20"/>
                <w:color w:val="auto"/>
              </w:rPr>
            </w:pPr>
            <w:r>
              <w:rPr>
                <w:rFonts w:ascii="Arial" w:cs="Arial" w:eastAsia="Arial" w:hAnsi="Arial"/>
                <w:sz w:val="18"/>
                <w:szCs w:val="18"/>
                <w:b w:val="1"/>
                <w:bCs w:val="1"/>
                <w:color w:val="auto"/>
              </w:rPr>
              <w:t>Dec. 31, 2003</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Mar. 31, 2004</w:t>
            </w:r>
          </w:p>
        </w:tc>
      </w:tr>
      <w:tr>
        <w:trPr>
          <w:trHeight w:val="137"/>
        </w:trPr>
        <w:tc>
          <w:tcPr>
            <w:tcW w:w="5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r>
      <w:tr>
        <w:trPr>
          <w:trHeight w:val="304"/>
        </w:trPr>
        <w:tc>
          <w:tcPr>
            <w:tcW w:w="2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CASH AND DUE FROM BANKS</w:t>
            </w:r>
          </w:p>
        </w:tc>
        <w:tc>
          <w:tcPr>
            <w:tcW w:w="206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2"/>
        </w:trPr>
        <w:tc>
          <w:tcPr>
            <w:tcW w:w="4540" w:type="dxa"/>
            <w:vAlign w:val="bottom"/>
            <w:gridSpan w:val="8"/>
          </w:tcPr>
          <w:p>
            <w:pPr>
              <w:ind w:left="120"/>
              <w:spacing w:after="0"/>
              <w:rPr>
                <w:sz w:val="20"/>
                <w:szCs w:val="20"/>
                <w:color w:val="auto"/>
              </w:rPr>
            </w:pPr>
            <w:r>
              <w:rPr>
                <w:rFonts w:ascii="Arial" w:cs="Arial" w:eastAsia="Arial" w:hAnsi="Arial"/>
                <w:sz w:val="18"/>
                <w:szCs w:val="18"/>
                <w:color w:val="auto"/>
              </w:rPr>
              <w:t>Cash and non interest bearing deposits in banks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314,404</w:t>
            </w:r>
          </w:p>
        </w:tc>
        <w:tc>
          <w:tcPr>
            <w:tcW w:w="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243,401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240,294</w:t>
            </w:r>
          </w:p>
        </w:tc>
        <w:tc>
          <w:tcPr>
            <w:tcW w:w="20" w:type="dxa"/>
            <w:vAlign w:val="bottom"/>
          </w:tcPr>
          <w:p>
            <w:pPr>
              <w:spacing w:after="0"/>
              <w:rPr>
                <w:sz w:val="22"/>
                <w:szCs w:val="22"/>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255,941</w:t>
            </w:r>
          </w:p>
        </w:tc>
      </w:tr>
      <w:tr>
        <w:trPr>
          <w:trHeight w:val="205"/>
        </w:trPr>
        <w:tc>
          <w:tcPr>
            <w:tcW w:w="4540" w:type="dxa"/>
            <w:vAlign w:val="bottom"/>
            <w:gridSpan w:val="8"/>
          </w:tcPr>
          <w:p>
            <w:pPr>
              <w:ind w:left="120"/>
              <w:spacing w:after="0" w:line="205" w:lineRule="exact"/>
              <w:rPr>
                <w:sz w:val="20"/>
                <w:szCs w:val="20"/>
                <w:color w:val="auto"/>
              </w:rPr>
            </w:pPr>
            <w:r>
              <w:rPr>
                <w:rFonts w:ascii="Arial" w:cs="Arial" w:eastAsia="Arial" w:hAnsi="Arial"/>
                <w:sz w:val="18"/>
                <w:szCs w:val="18"/>
                <w:color w:val="auto"/>
              </w:rPr>
              <w:t>Interest bearing deposits in banks</w:t>
            </w:r>
          </w:p>
        </w:tc>
        <w:tc>
          <w:tcPr>
            <w:tcW w:w="16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1,867,987</w:t>
            </w:r>
          </w:p>
        </w:tc>
        <w:tc>
          <w:tcPr>
            <w:tcW w:w="20" w:type="dxa"/>
            <w:vAlign w:val="bottom"/>
          </w:tcPr>
          <w:p>
            <w:pPr>
              <w:spacing w:after="0"/>
              <w:rPr>
                <w:sz w:val="17"/>
                <w:szCs w:val="17"/>
                <w:color w:val="auto"/>
              </w:rPr>
            </w:pPr>
          </w:p>
        </w:tc>
        <w:tc>
          <w:tcPr>
            <w:tcW w:w="17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1,901,274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1,372,436</w:t>
            </w:r>
          </w:p>
        </w:tc>
        <w:tc>
          <w:tcPr>
            <w:tcW w:w="20" w:type="dxa"/>
            <w:vAlign w:val="bottom"/>
          </w:tcPr>
          <w:p>
            <w:pPr>
              <w:spacing w:after="0"/>
              <w:rPr>
                <w:sz w:val="17"/>
                <w:szCs w:val="17"/>
                <w:color w:val="auto"/>
              </w:rPr>
            </w:pPr>
          </w:p>
        </w:tc>
        <w:tc>
          <w:tcPr>
            <w:tcW w:w="168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1,298,914</w:t>
            </w: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2,182,391</w:t>
            </w:r>
          </w:p>
        </w:tc>
        <w:tc>
          <w:tcPr>
            <w:tcW w:w="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2,144,675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1,612,730</w:t>
            </w:r>
          </w:p>
        </w:tc>
        <w:tc>
          <w:tcPr>
            <w:tcW w:w="2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1,554,855</w:t>
            </w:r>
          </w:p>
        </w:tc>
      </w:tr>
      <w:tr>
        <w:trPr>
          <w:trHeight w:val="505"/>
        </w:trPr>
        <w:tc>
          <w:tcPr>
            <w:tcW w:w="4540" w:type="dxa"/>
            <w:vAlign w:val="bottom"/>
            <w:gridSpan w:val="8"/>
          </w:tcPr>
          <w:p>
            <w:pPr>
              <w:spacing w:after="0"/>
              <w:rPr>
                <w:sz w:val="20"/>
                <w:szCs w:val="20"/>
                <w:color w:val="auto"/>
              </w:rPr>
            </w:pPr>
            <w:r>
              <w:rPr>
                <w:rFonts w:ascii="Arial" w:cs="Arial" w:eastAsia="Arial" w:hAnsi="Arial"/>
                <w:sz w:val="18"/>
                <w:szCs w:val="18"/>
                <w:color w:val="auto"/>
              </w:rPr>
              <w:t>MARKETABLE SECURITIES, net</w:t>
            </w:r>
          </w:p>
        </w:tc>
        <w:tc>
          <w:tcPr>
            <w:tcW w:w="940" w:type="dxa"/>
            <w:vAlign w:val="bottom"/>
          </w:tcPr>
          <w:p>
            <w:pPr>
              <w:spacing w:after="0"/>
              <w:rPr>
                <w:sz w:val="24"/>
                <w:szCs w:val="2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79,925</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74,981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127,365</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100,991</w:t>
            </w:r>
          </w:p>
        </w:tc>
      </w:tr>
      <w:tr>
        <w:trPr>
          <w:trHeight w:val="448"/>
        </w:trPr>
        <w:tc>
          <w:tcPr>
            <w:tcW w:w="4540" w:type="dxa"/>
            <w:vAlign w:val="bottom"/>
            <w:gridSpan w:val="8"/>
          </w:tcPr>
          <w:p>
            <w:pPr>
              <w:spacing w:after="0"/>
              <w:rPr>
                <w:sz w:val="20"/>
                <w:szCs w:val="20"/>
                <w:color w:val="auto"/>
              </w:rPr>
            </w:pPr>
            <w:r>
              <w:rPr>
                <w:rFonts w:ascii="Arial" w:cs="Arial" w:eastAsia="Arial" w:hAnsi="Arial"/>
                <w:sz w:val="18"/>
                <w:szCs w:val="18"/>
                <w:color w:val="auto"/>
              </w:rPr>
              <w:t>LOANS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4,817,662</w:t>
            </w:r>
          </w:p>
        </w:tc>
        <w:tc>
          <w:tcPr>
            <w:tcW w:w="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4,639,592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4,481,496</w:t>
            </w:r>
          </w:p>
        </w:tc>
        <w:tc>
          <w:tcPr>
            <w:tcW w:w="2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4,401,684</w:t>
            </w:r>
          </w:p>
        </w:tc>
      </w:tr>
      <w:tr>
        <w:trPr>
          <w:trHeight w:val="20"/>
        </w:trPr>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62"/>
        </w:trPr>
        <w:tc>
          <w:tcPr>
            <w:tcW w:w="4540" w:type="dxa"/>
            <w:vAlign w:val="bottom"/>
            <w:gridSpan w:val="8"/>
          </w:tcPr>
          <w:p>
            <w:pPr>
              <w:ind w:left="120"/>
              <w:spacing w:after="0"/>
              <w:rPr>
                <w:sz w:val="20"/>
                <w:szCs w:val="20"/>
                <w:color w:val="auto"/>
              </w:rPr>
            </w:pPr>
            <w:r>
              <w:rPr>
                <w:rFonts w:ascii="Arial" w:cs="Arial" w:eastAsia="Arial" w:hAnsi="Arial"/>
                <w:sz w:val="18"/>
                <w:szCs w:val="18"/>
                <w:color w:val="auto"/>
              </w:rPr>
              <w:t>Current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4,412,345</w:t>
            </w:r>
          </w:p>
        </w:tc>
        <w:tc>
          <w:tcPr>
            <w:tcW w:w="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4,255,538</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4,225,001</w:t>
            </w:r>
          </w:p>
        </w:tc>
        <w:tc>
          <w:tcPr>
            <w:tcW w:w="20" w:type="dxa"/>
            <w:vAlign w:val="bottom"/>
          </w:tcPr>
          <w:p>
            <w:pPr>
              <w:spacing w:after="0"/>
              <w:rPr>
                <w:sz w:val="22"/>
                <w:szCs w:val="22"/>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4,151,861</w:t>
            </w:r>
          </w:p>
        </w:tc>
      </w:tr>
      <w:tr>
        <w:trPr>
          <w:trHeight w:val="243"/>
        </w:trPr>
        <w:tc>
          <w:tcPr>
            <w:tcW w:w="4540" w:type="dxa"/>
            <w:vAlign w:val="bottom"/>
            <w:gridSpan w:val="8"/>
          </w:tcPr>
          <w:p>
            <w:pPr>
              <w:ind w:left="120"/>
              <w:spacing w:after="0"/>
              <w:rPr>
                <w:sz w:val="20"/>
                <w:szCs w:val="20"/>
                <w:color w:val="auto"/>
              </w:rPr>
            </w:pPr>
            <w:r>
              <w:rPr>
                <w:rFonts w:ascii="Arial" w:cs="Arial" w:eastAsia="Arial" w:hAnsi="Arial"/>
                <w:sz w:val="18"/>
                <w:szCs w:val="18"/>
                <w:color w:val="auto"/>
              </w:rPr>
              <w:t>Past Due</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405,317</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384,054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256,495</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249,823</w:t>
            </w:r>
          </w:p>
        </w:tc>
      </w:tr>
      <w:tr>
        <w:trPr>
          <w:trHeight w:val="243"/>
        </w:trPr>
        <w:tc>
          <w:tcPr>
            <w:tcW w:w="4540" w:type="dxa"/>
            <w:vAlign w:val="bottom"/>
            <w:gridSpan w:val="8"/>
          </w:tcPr>
          <w:p>
            <w:pPr>
              <w:ind w:left="120"/>
              <w:spacing w:after="0"/>
              <w:rPr>
                <w:sz w:val="20"/>
                <w:szCs w:val="20"/>
                <w:color w:val="auto"/>
              </w:rPr>
            </w:pPr>
            <w:r>
              <w:rPr>
                <w:rFonts w:ascii="Arial" w:cs="Arial" w:eastAsia="Arial" w:hAnsi="Arial"/>
                <w:sz w:val="18"/>
                <w:szCs w:val="18"/>
                <w:color w:val="auto"/>
              </w:rPr>
              <w:t>Less - Reserve for possible loan losses</w:t>
            </w:r>
          </w:p>
        </w:tc>
        <w:tc>
          <w:tcPr>
            <w:tcW w:w="1700" w:type="dxa"/>
            <w:vAlign w:val="bottom"/>
            <w:gridSpan w:val="4"/>
          </w:tcPr>
          <w:p>
            <w:pPr>
              <w:jc w:val="right"/>
              <w:ind w:right="20"/>
              <w:spacing w:after="0"/>
              <w:rPr>
                <w:sz w:val="20"/>
                <w:szCs w:val="20"/>
                <w:color w:val="auto"/>
              </w:rPr>
            </w:pPr>
            <w:r>
              <w:rPr>
                <w:rFonts w:ascii="Arial" w:cs="Arial" w:eastAsia="Arial" w:hAnsi="Arial"/>
                <w:sz w:val="18"/>
                <w:szCs w:val="18"/>
                <w:color w:val="auto"/>
              </w:rPr>
              <w:t>(420,809)</w:t>
            </w:r>
          </w:p>
        </w:tc>
        <w:tc>
          <w:tcPr>
            <w:tcW w:w="1720" w:type="dxa"/>
            <w:vAlign w:val="bottom"/>
            <w:gridSpan w:val="4"/>
          </w:tcPr>
          <w:p>
            <w:pPr>
              <w:jc w:val="right"/>
              <w:ind w:right="20"/>
              <w:spacing w:after="0"/>
              <w:rPr>
                <w:sz w:val="20"/>
                <w:szCs w:val="20"/>
                <w:color w:val="auto"/>
              </w:rPr>
            </w:pPr>
            <w:r>
              <w:rPr>
                <w:rFonts w:ascii="Arial" w:cs="Arial" w:eastAsia="Arial" w:hAnsi="Arial"/>
                <w:sz w:val="18"/>
                <w:szCs w:val="18"/>
                <w:color w:val="auto"/>
              </w:rPr>
              <w:t>(430,712)</w:t>
            </w:r>
          </w:p>
        </w:tc>
        <w:tc>
          <w:tcPr>
            <w:tcW w:w="260" w:type="dxa"/>
            <w:vAlign w:val="bottom"/>
          </w:tcPr>
          <w:p>
            <w:pPr>
              <w:spacing w:after="0"/>
              <w:rPr>
                <w:sz w:val="21"/>
                <w:szCs w:val="21"/>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(326,677)</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(313,606)</w:t>
            </w:r>
          </w:p>
        </w:tc>
      </w:tr>
      <w:tr>
        <w:trPr>
          <w:trHeight w:val="205"/>
        </w:trPr>
        <w:tc>
          <w:tcPr>
            <w:tcW w:w="4540" w:type="dxa"/>
            <w:vAlign w:val="bottom"/>
            <w:gridSpan w:val="8"/>
          </w:tcPr>
          <w:p>
            <w:pPr>
              <w:spacing w:after="0" w:line="205" w:lineRule="exact"/>
              <w:rPr>
                <w:sz w:val="20"/>
                <w:szCs w:val="20"/>
                <w:color w:val="auto"/>
              </w:rPr>
            </w:pPr>
            <w:r>
              <w:rPr>
                <w:rFonts w:ascii="Arial" w:cs="Arial" w:eastAsia="Arial" w:hAnsi="Arial"/>
                <w:sz w:val="18"/>
                <w:szCs w:val="18"/>
                <w:color w:val="auto"/>
              </w:rPr>
              <w:t>LOANS NET</w:t>
            </w:r>
          </w:p>
        </w:tc>
        <w:tc>
          <w:tcPr>
            <w:tcW w:w="16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4,396,853</w:t>
            </w:r>
          </w:p>
        </w:tc>
        <w:tc>
          <w:tcPr>
            <w:tcW w:w="20" w:type="dxa"/>
            <w:vAlign w:val="bottom"/>
          </w:tcPr>
          <w:p>
            <w:pPr>
              <w:spacing w:after="0"/>
              <w:rPr>
                <w:sz w:val="17"/>
                <w:szCs w:val="17"/>
                <w:color w:val="auto"/>
              </w:rPr>
            </w:pPr>
          </w:p>
        </w:tc>
        <w:tc>
          <w:tcPr>
            <w:tcW w:w="17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4,208,880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4,154,819</w:t>
            </w:r>
          </w:p>
        </w:tc>
        <w:tc>
          <w:tcPr>
            <w:tcW w:w="20" w:type="dxa"/>
            <w:vAlign w:val="bottom"/>
          </w:tcPr>
          <w:p>
            <w:pPr>
              <w:spacing w:after="0"/>
              <w:rPr>
                <w:sz w:val="17"/>
                <w:szCs w:val="17"/>
                <w:color w:val="auto"/>
              </w:rPr>
            </w:pPr>
          </w:p>
        </w:tc>
        <w:tc>
          <w:tcPr>
            <w:tcW w:w="168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4,088,078</w:t>
            </w: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505"/>
        </w:trPr>
        <w:tc>
          <w:tcPr>
            <w:tcW w:w="4540" w:type="dxa"/>
            <w:vAlign w:val="bottom"/>
            <w:gridSpan w:val="8"/>
          </w:tcPr>
          <w:p>
            <w:pPr>
              <w:spacing w:after="0"/>
              <w:rPr>
                <w:sz w:val="20"/>
                <w:szCs w:val="20"/>
                <w:color w:val="auto"/>
              </w:rPr>
            </w:pPr>
            <w:r>
              <w:rPr>
                <w:rFonts w:ascii="Arial" w:cs="Arial" w:eastAsia="Arial" w:hAnsi="Arial"/>
                <w:sz w:val="18"/>
                <w:szCs w:val="18"/>
                <w:color w:val="auto"/>
              </w:rPr>
              <w:t>INVESTMENT SECURITIES AVAILABLE FOR SALE</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1,166,381</w:t>
            </w:r>
          </w:p>
        </w:tc>
        <w:tc>
          <w:tcPr>
            <w:tcW w:w="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1,309,496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1,612,887</w:t>
            </w:r>
          </w:p>
        </w:tc>
        <w:tc>
          <w:tcPr>
            <w:tcW w:w="2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1,812,966</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REINSURANCE ASSETS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29,677</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27,838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45,904</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49,519</w:t>
            </w:r>
          </w:p>
        </w:tc>
      </w:tr>
      <w:tr>
        <w:trPr>
          <w:trHeight w:val="237"/>
        </w:trPr>
        <w:tc>
          <w:tcPr>
            <w:tcW w:w="4540" w:type="dxa"/>
            <w:vAlign w:val="bottom"/>
            <w:gridSpan w:val="8"/>
          </w:tcPr>
          <w:p>
            <w:pPr>
              <w:spacing w:after="0"/>
              <w:rPr>
                <w:sz w:val="20"/>
                <w:szCs w:val="20"/>
                <w:color w:val="auto"/>
              </w:rPr>
            </w:pPr>
            <w:r>
              <w:rPr>
                <w:rFonts w:ascii="Arial" w:cs="Arial" w:eastAsia="Arial" w:hAnsi="Arial"/>
                <w:sz w:val="18"/>
                <w:szCs w:val="18"/>
                <w:color w:val="auto"/>
              </w:rPr>
              <w:t>PREMIUMS AND OTHER POLICYHOLDER</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2"/>
        </w:trPr>
        <w:tc>
          <w:tcPr>
            <w:tcW w:w="4540" w:type="dxa"/>
            <w:vAlign w:val="bottom"/>
            <w:gridSpan w:val="8"/>
          </w:tcPr>
          <w:p>
            <w:pPr>
              <w:spacing w:after="0"/>
              <w:rPr>
                <w:sz w:val="20"/>
                <w:szCs w:val="20"/>
                <w:color w:val="auto"/>
              </w:rPr>
            </w:pPr>
            <w:r>
              <w:rPr>
                <w:rFonts w:ascii="Arial" w:cs="Arial" w:eastAsia="Arial" w:hAnsi="Arial"/>
                <w:sz w:val="18"/>
                <w:szCs w:val="18"/>
                <w:color w:val="auto"/>
              </w:rPr>
              <w:t>RECEIVABLES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61,856</w:t>
            </w:r>
          </w:p>
        </w:tc>
        <w:tc>
          <w:tcPr>
            <w:tcW w:w="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51,512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60,057</w:t>
            </w:r>
          </w:p>
        </w:tc>
        <w:tc>
          <w:tcPr>
            <w:tcW w:w="2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52,026</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PROPERTY, PLANT and EQUIPMENT, net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288,889</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284,572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264,533</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255,290</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DUE FROM CUSTOMERS ON ACCEPTANCES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36,068</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37,939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50,178</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41,024</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OTHER ASSETS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376,660</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437,110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370,672</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338,631</w:t>
            </w:r>
          </w:p>
        </w:tc>
      </w:tr>
      <w:tr>
        <w:trPr>
          <w:trHeight w:val="486"/>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94"/>
              </w:rPr>
              <w:t>TOTAL ASSETS</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8,618,700</w:t>
            </w:r>
          </w:p>
        </w:tc>
        <w:tc>
          <w:tcPr>
            <w:tcW w:w="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8,577,003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8,299,146</w:t>
            </w:r>
          </w:p>
        </w:tc>
        <w:tc>
          <w:tcPr>
            <w:tcW w:w="2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8,293,380</w:t>
            </w:r>
          </w:p>
        </w:tc>
      </w:tr>
      <w:tr>
        <w:trPr>
          <w:trHeight w:val="380"/>
        </w:trPr>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r>
        <w:trPr>
          <w:trHeight w:val="343"/>
        </w:trPr>
        <w:tc>
          <w:tcPr>
            <w:tcW w:w="4540" w:type="dxa"/>
            <w:vAlign w:val="bottom"/>
            <w:gridSpan w:val="8"/>
          </w:tcPr>
          <w:p>
            <w:pPr>
              <w:jc w:val="center"/>
              <w:ind w:right="20"/>
              <w:spacing w:after="0"/>
              <w:rPr>
                <w:sz w:val="20"/>
                <w:szCs w:val="20"/>
                <w:color w:val="auto"/>
              </w:rPr>
            </w:pPr>
            <w:r>
              <w:rPr>
                <w:rFonts w:ascii="Arial" w:cs="Arial" w:eastAsia="Arial" w:hAnsi="Arial"/>
                <w:sz w:val="18"/>
                <w:szCs w:val="18"/>
                <w:b w:val="1"/>
                <w:bCs w:val="1"/>
                <w:color w:val="auto"/>
              </w:rPr>
              <w:t>LIABILITIES AND SHAREHOLDERS' EQUITY</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48"/>
        </w:trPr>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DEPOSITS AND OBLIGATIONS:</w:t>
            </w:r>
          </w:p>
        </w:tc>
        <w:tc>
          <w:tcPr>
            <w:tcW w:w="20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2"/>
        </w:trPr>
        <w:tc>
          <w:tcPr>
            <w:tcW w:w="4540" w:type="dxa"/>
            <w:vAlign w:val="bottom"/>
            <w:gridSpan w:val="8"/>
          </w:tcPr>
          <w:p>
            <w:pPr>
              <w:ind w:left="120"/>
              <w:spacing w:after="0"/>
              <w:rPr>
                <w:sz w:val="20"/>
                <w:szCs w:val="20"/>
                <w:color w:val="auto"/>
              </w:rPr>
            </w:pPr>
            <w:r>
              <w:rPr>
                <w:rFonts w:ascii="Arial" w:cs="Arial" w:eastAsia="Arial" w:hAnsi="Arial"/>
                <w:sz w:val="18"/>
                <w:szCs w:val="18"/>
                <w:color w:val="auto"/>
              </w:rPr>
              <w:t>Non-interest bearing</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853,138</w:t>
            </w:r>
          </w:p>
        </w:tc>
        <w:tc>
          <w:tcPr>
            <w:tcW w:w="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867,013</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860,585</w:t>
            </w:r>
          </w:p>
        </w:tc>
        <w:tc>
          <w:tcPr>
            <w:tcW w:w="20" w:type="dxa"/>
            <w:vAlign w:val="bottom"/>
          </w:tcPr>
          <w:p>
            <w:pPr>
              <w:spacing w:after="0"/>
              <w:rPr>
                <w:sz w:val="22"/>
                <w:szCs w:val="22"/>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905,355</w:t>
            </w:r>
          </w:p>
        </w:tc>
      </w:tr>
      <w:tr>
        <w:trPr>
          <w:trHeight w:val="205"/>
        </w:trPr>
        <w:tc>
          <w:tcPr>
            <w:tcW w:w="4540" w:type="dxa"/>
            <w:vAlign w:val="bottom"/>
            <w:gridSpan w:val="8"/>
          </w:tcPr>
          <w:p>
            <w:pPr>
              <w:ind w:left="120"/>
              <w:spacing w:after="0" w:line="205" w:lineRule="exact"/>
              <w:rPr>
                <w:sz w:val="20"/>
                <w:szCs w:val="20"/>
                <w:color w:val="auto"/>
              </w:rPr>
            </w:pPr>
            <w:r>
              <w:rPr>
                <w:rFonts w:ascii="Arial" w:cs="Arial" w:eastAsia="Arial" w:hAnsi="Arial"/>
                <w:sz w:val="18"/>
                <w:szCs w:val="18"/>
                <w:color w:val="auto"/>
              </w:rPr>
              <w:t>Interest bearing</w:t>
            </w:r>
          </w:p>
        </w:tc>
        <w:tc>
          <w:tcPr>
            <w:tcW w:w="16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5,932,799</w:t>
            </w:r>
          </w:p>
        </w:tc>
        <w:tc>
          <w:tcPr>
            <w:tcW w:w="20" w:type="dxa"/>
            <w:vAlign w:val="bottom"/>
          </w:tcPr>
          <w:p>
            <w:pPr>
              <w:spacing w:after="0"/>
              <w:rPr>
                <w:sz w:val="17"/>
                <w:szCs w:val="17"/>
                <w:color w:val="auto"/>
              </w:rPr>
            </w:pPr>
          </w:p>
        </w:tc>
        <w:tc>
          <w:tcPr>
            <w:tcW w:w="17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5,831,799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5,444,254</w:t>
            </w:r>
          </w:p>
        </w:tc>
        <w:tc>
          <w:tcPr>
            <w:tcW w:w="20" w:type="dxa"/>
            <w:vAlign w:val="bottom"/>
          </w:tcPr>
          <w:p>
            <w:pPr>
              <w:spacing w:after="0"/>
              <w:rPr>
                <w:sz w:val="17"/>
                <w:szCs w:val="17"/>
                <w:color w:val="auto"/>
              </w:rPr>
            </w:pPr>
          </w:p>
        </w:tc>
        <w:tc>
          <w:tcPr>
            <w:tcW w:w="168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5,379,947</w:t>
            </w: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6,785,937</w:t>
            </w:r>
          </w:p>
        </w:tc>
        <w:tc>
          <w:tcPr>
            <w:tcW w:w="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6,698,812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6,304,839</w:t>
            </w:r>
          </w:p>
        </w:tc>
        <w:tc>
          <w:tcPr>
            <w:tcW w:w="2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6,285,302</w:t>
            </w:r>
          </w:p>
        </w:tc>
      </w:tr>
      <w:tr>
        <w:trPr>
          <w:trHeight w:val="505"/>
        </w:trPr>
        <w:tc>
          <w:tcPr>
            <w:tcW w:w="4540" w:type="dxa"/>
            <w:vAlign w:val="bottom"/>
            <w:gridSpan w:val="8"/>
          </w:tcPr>
          <w:p>
            <w:pPr>
              <w:spacing w:after="0"/>
              <w:rPr>
                <w:sz w:val="20"/>
                <w:szCs w:val="20"/>
                <w:color w:val="auto"/>
              </w:rPr>
            </w:pPr>
            <w:r>
              <w:rPr>
                <w:rFonts w:ascii="Arial" w:cs="Arial" w:eastAsia="Arial" w:hAnsi="Arial"/>
                <w:sz w:val="18"/>
                <w:szCs w:val="18"/>
                <w:color w:val="auto"/>
              </w:rPr>
              <w:t>DUE TO BANKS AND CORRESPONDENTS</w:t>
            </w:r>
          </w:p>
        </w:tc>
        <w:tc>
          <w:tcPr>
            <w:tcW w:w="940" w:type="dxa"/>
            <w:vAlign w:val="bottom"/>
          </w:tcPr>
          <w:p>
            <w:pPr>
              <w:spacing w:after="0"/>
              <w:rPr>
                <w:sz w:val="24"/>
                <w:szCs w:val="24"/>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309,698</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293,475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273,234</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255,077</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ACCEPTANCES OUTSTANDING</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36,068</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37,939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50,178</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41,024</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RESERVE FOR PROPERTY AND CASUALTY CLAIMS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224,754</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246,637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303,587</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324,987</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RESERVE FOR UNEARNED PREMIUMS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48,703</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49,388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66,084</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66,563</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REINSURANCE PAYABLE</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23,253</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18,761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33,043</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22,811</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OTHER LIABILITIES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301,746</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358,431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284,607</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309,084</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color w:val="auto"/>
              </w:rPr>
              <w:t>MINORITY INTEREST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64,742</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65,161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72,841</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70,372</w:t>
            </w:r>
          </w:p>
        </w:tc>
      </w:tr>
      <w:tr>
        <w:trPr>
          <w:trHeight w:val="486"/>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rPr>
              <w:t>TOTAL LIABILITIES</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7,794,901</w:t>
            </w:r>
          </w:p>
        </w:tc>
        <w:tc>
          <w:tcPr>
            <w:tcW w:w="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7,768,604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7,388,413</w:t>
            </w:r>
          </w:p>
        </w:tc>
        <w:tc>
          <w:tcPr>
            <w:tcW w:w="2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7,375,220</w:t>
            </w:r>
          </w:p>
        </w:tc>
      </w:tr>
      <w:tr>
        <w:trPr>
          <w:trHeight w:val="448"/>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18"/>
                <w:szCs w:val="18"/>
                <w:color w:val="auto"/>
                <w:w w:val="94"/>
              </w:rPr>
              <w:t>NET SHAREHOLDERS' EQUITY</w:t>
            </w:r>
          </w:p>
        </w:tc>
        <w:tc>
          <w:tcPr>
            <w:tcW w:w="104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823,799</w:t>
            </w:r>
          </w:p>
        </w:tc>
        <w:tc>
          <w:tcPr>
            <w:tcW w:w="2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808,399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910,733</w:t>
            </w:r>
          </w:p>
        </w:tc>
        <w:tc>
          <w:tcPr>
            <w:tcW w:w="2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918,160</w:t>
            </w:r>
          </w:p>
        </w:tc>
      </w:tr>
      <w:tr>
        <w:trPr>
          <w:trHeight w:val="20"/>
        </w:trPr>
        <w:tc>
          <w:tcPr>
            <w:tcW w:w="1000" w:type="dxa"/>
            <w:vAlign w:val="bottom"/>
            <w:gridSpan w:val="3"/>
          </w:tcPr>
          <w:p>
            <w:pPr>
              <w:spacing w:after="0" w:line="20" w:lineRule="exact"/>
              <w:rPr>
                <w:sz w:val="1"/>
                <w:szCs w:val="1"/>
                <w:color w:val="auto"/>
              </w:rPr>
            </w:pPr>
          </w:p>
        </w:tc>
        <w:tc>
          <w:tcPr>
            <w:tcW w:w="2500" w:type="dxa"/>
            <w:vAlign w:val="bottom"/>
            <w:gridSpan w:val="3"/>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492"/>
        </w:trPr>
        <w:tc>
          <w:tcPr>
            <w:tcW w:w="454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8"/>
              </w:rPr>
              <w:t>TOTAL LIABILITIES and NET SHAREHOLDERS'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4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rPr>
              <w:t>EQUITY</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8,618,700</w:t>
            </w:r>
          </w:p>
        </w:tc>
        <w:tc>
          <w:tcPr>
            <w:tcW w:w="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8,577,003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8,299,146</w:t>
            </w:r>
          </w:p>
        </w:tc>
        <w:tc>
          <w:tcPr>
            <w:tcW w:w="2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8,293,380</w:t>
            </w:r>
          </w:p>
        </w:tc>
      </w:tr>
      <w:tr>
        <w:trPr>
          <w:trHeight w:val="486"/>
        </w:trPr>
        <w:tc>
          <w:tcPr>
            <w:tcW w:w="4540" w:type="dxa"/>
            <w:vAlign w:val="bottom"/>
            <w:gridSpan w:val="8"/>
          </w:tcPr>
          <w:p>
            <w:pPr>
              <w:spacing w:after="0"/>
              <w:rPr>
                <w:sz w:val="20"/>
                <w:szCs w:val="20"/>
                <w:color w:val="auto"/>
              </w:rPr>
            </w:pPr>
            <w:r>
              <w:rPr>
                <w:rFonts w:ascii="Arial" w:cs="Arial" w:eastAsia="Arial" w:hAnsi="Arial"/>
                <w:sz w:val="18"/>
                <w:szCs w:val="18"/>
                <w:b w:val="1"/>
                <w:bCs w:val="1"/>
                <w:color w:val="auto"/>
              </w:rPr>
              <w:t>CONTINGENT CREDITS</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1,637,050</w:t>
            </w:r>
          </w:p>
        </w:tc>
        <w:tc>
          <w:tcPr>
            <w:tcW w:w="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1,508,022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1,768,605</w:t>
            </w:r>
          </w:p>
        </w:tc>
        <w:tc>
          <w:tcPr>
            <w:tcW w:w="20" w:type="dxa"/>
            <w:vAlign w:val="bottom"/>
          </w:tcPr>
          <w:p>
            <w:pPr>
              <w:spacing w:after="0"/>
              <w:rPr>
                <w:sz w:val="24"/>
                <w:szCs w:val="24"/>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1,761,503</w:t>
            </w:r>
          </w:p>
        </w:tc>
      </w:tr>
      <w:tr>
        <w:trPr>
          <w:trHeight w:val="243"/>
        </w:trPr>
        <w:tc>
          <w:tcPr>
            <w:tcW w:w="4540" w:type="dxa"/>
            <w:vAlign w:val="bottom"/>
            <w:gridSpan w:val="8"/>
          </w:tcPr>
          <w:p>
            <w:pPr>
              <w:spacing w:after="0"/>
              <w:rPr>
                <w:sz w:val="20"/>
                <w:szCs w:val="20"/>
                <w:color w:val="auto"/>
              </w:rPr>
            </w:pPr>
            <w:r>
              <w:rPr>
                <w:rFonts w:ascii="Arial" w:cs="Arial" w:eastAsia="Arial" w:hAnsi="Arial"/>
                <w:sz w:val="18"/>
                <w:szCs w:val="18"/>
                <w:b w:val="1"/>
                <w:bCs w:val="1"/>
                <w:color w:val="auto"/>
              </w:rPr>
              <w:t>FUNDS UNDER MANAGEMENT</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1,369,712</w:t>
            </w:r>
          </w:p>
        </w:tc>
        <w:tc>
          <w:tcPr>
            <w:tcW w:w="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1,445,339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1,724,130</w:t>
            </w:r>
          </w:p>
        </w:tc>
        <w:tc>
          <w:tcPr>
            <w:tcW w:w="20" w:type="dxa"/>
            <w:vAlign w:val="bottom"/>
          </w:tcPr>
          <w:p>
            <w:pPr>
              <w:spacing w:after="0"/>
              <w:rPr>
                <w:sz w:val="21"/>
                <w:szCs w:val="21"/>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1,783,246</w:t>
            </w:r>
          </w:p>
        </w:tc>
      </w:tr>
      <w:tr>
        <w:trPr>
          <w:trHeight w:val="137"/>
        </w:trPr>
        <w:tc>
          <w:tcPr>
            <w:tcW w:w="5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7187565</wp:posOffset>
            </wp:positionH>
            <wp:positionV relativeFrom="paragraph">
              <wp:posOffset>-7893050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-7567295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-7567295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-7567295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-7567295</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-7567295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-3870960</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-3870960</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-3870960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6107430</wp:posOffset>
            </wp:positionH>
            <wp:positionV relativeFrom="paragraph">
              <wp:posOffset>-3870960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-3870960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7187565</wp:posOffset>
            </wp:positionH>
            <wp:positionV relativeFrom="paragraph">
              <wp:posOffset>-20955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13" w:name="page14"/>
    <w:bookmarkEnd w:id="13"/>
    <w:p>
      <w:pPr>
        <w:jc w:val="center"/>
        <w:ind w:right="-11"/>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2</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2503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2"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6"/>
          </w:tcPr>
          <w:p>
            <w:pPr>
              <w:ind w:left="80"/>
              <w:spacing w:after="0"/>
              <w:rPr>
                <w:sz w:val="20"/>
                <w:szCs w:val="20"/>
                <w:color w:val="auto"/>
              </w:rPr>
            </w:pPr>
            <w:r>
              <w:rPr>
                <w:rFonts w:ascii="Arial" w:cs="Arial" w:eastAsia="Arial" w:hAnsi="Arial"/>
                <w:sz w:val="18"/>
                <w:szCs w:val="18"/>
                <w:b w:val="1"/>
                <w:bCs w:val="1"/>
                <w:color w:val="auto"/>
                <w:w w:val="91"/>
              </w:rPr>
              <w:t>Three months ended</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2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31.03.03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31.12.03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31.03.04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INTEREST INCOME</w:t>
            </w:r>
          </w:p>
        </w:tc>
        <w:tc>
          <w:tcPr>
            <w:tcW w:w="10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Interest on loans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113,349</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109,896</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101,275</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Interest and dividends on investments: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Interest on deposits with banks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6,146</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4,525</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05"/>
        </w:trPr>
        <w:tc>
          <w:tcPr>
            <w:tcW w:w="6240" w:type="dxa"/>
            <w:vAlign w:val="bottom"/>
            <w:gridSpan w:val="3"/>
          </w:tcPr>
          <w:p>
            <w:pPr>
              <w:ind w:left="120"/>
              <w:spacing w:after="0" w:line="205" w:lineRule="exact"/>
              <w:rPr>
                <w:sz w:val="20"/>
                <w:szCs w:val="20"/>
                <w:color w:val="auto"/>
              </w:rPr>
            </w:pPr>
            <w:r>
              <w:rPr>
                <w:rFonts w:ascii="Arial" w:cs="Arial" w:eastAsia="Arial" w:hAnsi="Arial"/>
                <w:sz w:val="18"/>
                <w:szCs w:val="18"/>
                <w:color w:val="auto"/>
              </w:rPr>
              <w:t>Interest on trading securities (1)</w:t>
            </w:r>
          </w:p>
        </w:tc>
        <w:tc>
          <w:tcPr>
            <w:tcW w:w="16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18,349</w:t>
            </w:r>
          </w:p>
        </w:tc>
        <w:tc>
          <w:tcPr>
            <w:tcW w:w="1720" w:type="dxa"/>
            <w:vAlign w:val="bottom"/>
            <w:gridSpan w:val="6"/>
          </w:tcPr>
          <w:p>
            <w:pPr>
              <w:jc w:val="right"/>
              <w:ind w:right="40"/>
              <w:spacing w:after="0" w:line="205" w:lineRule="exact"/>
              <w:rPr>
                <w:sz w:val="20"/>
                <w:szCs w:val="20"/>
                <w:color w:val="auto"/>
              </w:rPr>
            </w:pPr>
            <w:r>
              <w:rPr>
                <w:rFonts w:ascii="Arial" w:cs="Arial" w:eastAsia="Arial" w:hAnsi="Arial"/>
                <w:sz w:val="18"/>
                <w:szCs w:val="18"/>
                <w:color w:val="auto"/>
              </w:rPr>
              <w:t>22,721</w:t>
            </w:r>
          </w:p>
        </w:tc>
        <w:tc>
          <w:tcPr>
            <w:tcW w:w="20" w:type="dxa"/>
            <w:vAlign w:val="bottom"/>
          </w:tcPr>
          <w:p>
            <w:pPr>
              <w:spacing w:after="0"/>
              <w:rPr>
                <w:sz w:val="17"/>
                <w:szCs w:val="17"/>
                <w:color w:val="auto"/>
              </w:rPr>
            </w:pPr>
          </w:p>
        </w:tc>
        <w:tc>
          <w:tcPr>
            <w:tcW w:w="170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22,259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Total Interest Income</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137,851</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137,964</w:t>
            </w:r>
          </w:p>
        </w:tc>
        <w:tc>
          <w:tcPr>
            <w:tcW w:w="20" w:type="dxa"/>
            <w:vAlign w:val="bottom"/>
          </w:tcPr>
          <w:p>
            <w:pPr>
              <w:spacing w:after="0"/>
              <w:rPr>
                <w:sz w:val="19"/>
                <w:szCs w:val="19"/>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126,960</w:t>
            </w:r>
          </w:p>
        </w:tc>
        <w:tc>
          <w:tcPr>
            <w:tcW w:w="0" w:type="dxa"/>
            <w:vAlign w:val="bottom"/>
          </w:tcPr>
          <w:p>
            <w:pPr>
              <w:spacing w:after="0"/>
              <w:rPr>
                <w:sz w:val="1"/>
                <w:szCs w:val="1"/>
                <w:color w:val="auto"/>
              </w:rPr>
            </w:pPr>
          </w:p>
        </w:tc>
      </w:tr>
      <w:tr>
        <w:trPr>
          <w:trHeight w:val="505"/>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Interest on deposits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36,566</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29,293</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27,055</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Interest on borrowed funds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3,658</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6,094</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5"/>
        </w:trPr>
        <w:tc>
          <w:tcPr>
            <w:tcW w:w="6240" w:type="dxa"/>
            <w:vAlign w:val="bottom"/>
            <w:gridSpan w:val="3"/>
          </w:tcPr>
          <w:p>
            <w:pPr>
              <w:ind w:left="120"/>
              <w:spacing w:after="0" w:line="205" w:lineRule="exact"/>
              <w:rPr>
                <w:sz w:val="20"/>
                <w:szCs w:val="20"/>
                <w:color w:val="auto"/>
              </w:rPr>
            </w:pPr>
            <w:r>
              <w:rPr>
                <w:rFonts w:ascii="Arial" w:cs="Arial" w:eastAsia="Arial" w:hAnsi="Arial"/>
                <w:sz w:val="18"/>
                <w:szCs w:val="18"/>
                <w:color w:val="auto"/>
              </w:rPr>
              <w:t>Other interest expense</w:t>
            </w:r>
          </w:p>
        </w:tc>
        <w:tc>
          <w:tcPr>
            <w:tcW w:w="1240" w:type="dxa"/>
            <w:vAlign w:val="bottom"/>
            <w:gridSpan w:val="3"/>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Arial" w:cs="Arial" w:eastAsia="Arial" w:hAnsi="Arial"/>
                <w:sz w:val="18"/>
                <w:szCs w:val="18"/>
                <w:color w:val="auto"/>
                <w:w w:val="84"/>
              </w:rPr>
              <w:t>3,203</w:t>
            </w:r>
          </w:p>
        </w:tc>
        <w:tc>
          <w:tcPr>
            <w:tcW w:w="1720" w:type="dxa"/>
            <w:vAlign w:val="bottom"/>
            <w:gridSpan w:val="6"/>
          </w:tcPr>
          <w:p>
            <w:pPr>
              <w:jc w:val="right"/>
              <w:ind w:right="40"/>
              <w:spacing w:after="0" w:line="205" w:lineRule="exact"/>
              <w:rPr>
                <w:sz w:val="20"/>
                <w:szCs w:val="20"/>
                <w:color w:val="auto"/>
              </w:rPr>
            </w:pPr>
            <w:r>
              <w:rPr>
                <w:rFonts w:ascii="Arial" w:cs="Arial" w:eastAsia="Arial" w:hAnsi="Arial"/>
                <w:sz w:val="18"/>
                <w:szCs w:val="18"/>
                <w:color w:val="auto"/>
              </w:rPr>
              <w:t>3,801</w:t>
            </w:r>
          </w:p>
        </w:tc>
        <w:tc>
          <w:tcPr>
            <w:tcW w:w="20" w:type="dxa"/>
            <w:vAlign w:val="bottom"/>
          </w:tcPr>
          <w:p>
            <w:pPr>
              <w:spacing w:after="0"/>
              <w:rPr>
                <w:sz w:val="17"/>
                <w:szCs w:val="17"/>
                <w:color w:val="auto"/>
              </w:rPr>
            </w:pPr>
          </w:p>
        </w:tc>
        <w:tc>
          <w:tcPr>
            <w:tcW w:w="170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Total Interest Expense</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43,427</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39,188</w:t>
            </w:r>
          </w:p>
        </w:tc>
        <w:tc>
          <w:tcPr>
            <w:tcW w:w="20" w:type="dxa"/>
            <w:vAlign w:val="bottom"/>
          </w:tcPr>
          <w:p>
            <w:pPr>
              <w:spacing w:after="0"/>
              <w:rPr>
                <w:sz w:val="19"/>
                <w:szCs w:val="19"/>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36,971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Net Interest Income</w:t>
            </w:r>
          </w:p>
        </w:tc>
        <w:tc>
          <w:tcPr>
            <w:tcW w:w="244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94,424</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98,776</w:t>
            </w:r>
          </w:p>
        </w:tc>
        <w:tc>
          <w:tcPr>
            <w:tcW w:w="20" w:type="dxa"/>
            <w:vAlign w:val="bottom"/>
          </w:tcPr>
          <w:p>
            <w:pPr>
              <w:spacing w:after="0"/>
              <w:rPr>
                <w:sz w:val="19"/>
                <w:szCs w:val="19"/>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89,989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240" w:type="dxa"/>
            <w:vAlign w:val="bottom"/>
            <w:gridSpan w:val="3"/>
          </w:tcPr>
          <w:p>
            <w:pPr>
              <w:spacing w:after="0"/>
              <w:rPr>
                <w:sz w:val="20"/>
                <w:szCs w:val="20"/>
                <w:color w:val="auto"/>
              </w:rPr>
            </w:pPr>
            <w:r>
              <w:rPr>
                <w:rFonts w:ascii="Arial" w:cs="Arial" w:eastAsia="Arial" w:hAnsi="Arial"/>
                <w:sz w:val="18"/>
                <w:szCs w:val="18"/>
                <w:color w:val="auto"/>
              </w:rPr>
              <w:t>Provision for possible loan losses, net</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34,228</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16,175</w:t>
            </w:r>
          </w:p>
        </w:tc>
        <w:tc>
          <w:tcPr>
            <w:tcW w:w="20" w:type="dxa"/>
            <w:vAlign w:val="bottom"/>
          </w:tcPr>
          <w:p>
            <w:pPr>
              <w:spacing w:after="0"/>
              <w:rPr>
                <w:sz w:val="22"/>
                <w:szCs w:val="22"/>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18,974</w:t>
            </w:r>
          </w:p>
        </w:tc>
        <w:tc>
          <w:tcPr>
            <w:tcW w:w="0" w:type="dxa"/>
            <w:vAlign w:val="bottom"/>
          </w:tcPr>
          <w:p>
            <w:pPr>
              <w:spacing w:after="0"/>
              <w:rPr>
                <w:sz w:val="1"/>
                <w:szCs w:val="1"/>
                <w:color w:val="auto"/>
              </w:rPr>
            </w:pPr>
          </w:p>
        </w:tc>
      </w:tr>
      <w:tr>
        <w:trPr>
          <w:trHeight w:val="486"/>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Net interest income after provision for possible loan losses</w:t>
            </w: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60,196</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82,601</w:t>
            </w:r>
          </w:p>
        </w:tc>
        <w:tc>
          <w:tcPr>
            <w:tcW w:w="20" w:type="dxa"/>
            <w:vAlign w:val="bottom"/>
          </w:tcPr>
          <w:p>
            <w:pPr>
              <w:spacing w:after="0"/>
              <w:rPr>
                <w:sz w:val="24"/>
                <w:szCs w:val="24"/>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71,015</w:t>
            </w:r>
          </w:p>
        </w:tc>
        <w:tc>
          <w:tcPr>
            <w:tcW w:w="0" w:type="dxa"/>
            <w:vAlign w:val="bottom"/>
          </w:tcPr>
          <w:p>
            <w:pPr>
              <w:spacing w:after="0"/>
              <w:rPr>
                <w:sz w:val="1"/>
                <w:szCs w:val="1"/>
                <w:color w:val="auto"/>
              </w:rPr>
            </w:pPr>
          </w:p>
        </w:tc>
      </w:tr>
      <w:tr>
        <w:trPr>
          <w:trHeight w:val="486"/>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OTHER INCOME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Fees and commissions from banking services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46,199</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46,816</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47,148</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Net gains from sales of securities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(214)</w:t>
            </w:r>
          </w:p>
        </w:tc>
        <w:tc>
          <w:tcPr>
            <w:tcW w:w="1740" w:type="dxa"/>
            <w:vAlign w:val="bottom"/>
            <w:gridSpan w:val="7"/>
          </w:tcPr>
          <w:p>
            <w:pPr>
              <w:jc w:val="right"/>
              <w:ind w:right="20"/>
              <w:spacing w:after="0"/>
              <w:rPr>
                <w:sz w:val="20"/>
                <w:szCs w:val="20"/>
                <w:color w:val="auto"/>
              </w:rPr>
            </w:pPr>
            <w:r>
              <w:rPr>
                <w:rFonts w:ascii="Arial" w:cs="Arial" w:eastAsia="Arial" w:hAnsi="Arial"/>
                <w:sz w:val="18"/>
                <w:szCs w:val="18"/>
                <w:color w:val="auto"/>
              </w:rPr>
              <w:t>(2,791)</w:t>
            </w: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Net gains on foreign exchange transactions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6,361</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6,107</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Net premiums earned</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31,901</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27,281</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38,029</w:t>
            </w:r>
          </w:p>
        </w:tc>
        <w:tc>
          <w:tcPr>
            <w:tcW w:w="0" w:type="dxa"/>
            <w:vAlign w:val="bottom"/>
          </w:tcPr>
          <w:p>
            <w:pPr>
              <w:spacing w:after="0"/>
              <w:rPr>
                <w:sz w:val="1"/>
                <w:szCs w:val="1"/>
                <w:color w:val="auto"/>
              </w:rPr>
            </w:pPr>
          </w:p>
        </w:tc>
      </w:tr>
      <w:tr>
        <w:trPr>
          <w:trHeight w:val="205"/>
        </w:trPr>
        <w:tc>
          <w:tcPr>
            <w:tcW w:w="6240" w:type="dxa"/>
            <w:vAlign w:val="bottom"/>
            <w:gridSpan w:val="3"/>
          </w:tcPr>
          <w:p>
            <w:pPr>
              <w:ind w:left="120"/>
              <w:spacing w:after="0" w:line="205" w:lineRule="exact"/>
              <w:rPr>
                <w:sz w:val="20"/>
                <w:szCs w:val="20"/>
                <w:color w:val="auto"/>
              </w:rPr>
            </w:pPr>
            <w:r>
              <w:rPr>
                <w:rFonts w:ascii="Arial" w:cs="Arial" w:eastAsia="Arial" w:hAnsi="Arial"/>
                <w:sz w:val="18"/>
                <w:szCs w:val="18"/>
                <w:color w:val="auto"/>
              </w:rPr>
              <w:t>Other income (1)</w:t>
            </w:r>
          </w:p>
        </w:tc>
        <w:tc>
          <w:tcPr>
            <w:tcW w:w="16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22,683</w:t>
            </w:r>
          </w:p>
        </w:tc>
        <w:tc>
          <w:tcPr>
            <w:tcW w:w="1720" w:type="dxa"/>
            <w:vAlign w:val="bottom"/>
            <w:gridSpan w:val="6"/>
          </w:tcPr>
          <w:p>
            <w:pPr>
              <w:jc w:val="right"/>
              <w:ind w:right="40"/>
              <w:spacing w:after="0" w:line="205" w:lineRule="exact"/>
              <w:rPr>
                <w:sz w:val="20"/>
                <w:szCs w:val="20"/>
                <w:color w:val="auto"/>
              </w:rPr>
            </w:pPr>
            <w:r>
              <w:rPr>
                <w:rFonts w:ascii="Arial" w:cs="Arial" w:eastAsia="Arial" w:hAnsi="Arial"/>
                <w:sz w:val="18"/>
                <w:szCs w:val="18"/>
                <w:color w:val="auto"/>
              </w:rPr>
              <w:t>12,162</w:t>
            </w:r>
          </w:p>
        </w:tc>
        <w:tc>
          <w:tcPr>
            <w:tcW w:w="20" w:type="dxa"/>
            <w:vAlign w:val="bottom"/>
          </w:tcPr>
          <w:p>
            <w:pPr>
              <w:spacing w:after="0"/>
              <w:rPr>
                <w:sz w:val="17"/>
                <w:szCs w:val="17"/>
                <w:color w:val="auto"/>
              </w:rPr>
            </w:pPr>
          </w:p>
        </w:tc>
        <w:tc>
          <w:tcPr>
            <w:tcW w:w="170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14,228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106,930</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89,576</w:t>
            </w:r>
          </w:p>
        </w:tc>
        <w:tc>
          <w:tcPr>
            <w:tcW w:w="20" w:type="dxa"/>
            <w:vAlign w:val="bottom"/>
          </w:tcPr>
          <w:p>
            <w:pPr>
              <w:spacing w:after="0"/>
              <w:rPr>
                <w:sz w:val="19"/>
                <w:szCs w:val="19"/>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108,829</w:t>
            </w:r>
          </w:p>
        </w:tc>
        <w:tc>
          <w:tcPr>
            <w:tcW w:w="0" w:type="dxa"/>
            <w:vAlign w:val="bottom"/>
          </w:tcPr>
          <w:p>
            <w:pPr>
              <w:spacing w:after="0"/>
              <w:rPr>
                <w:sz w:val="1"/>
                <w:szCs w:val="1"/>
                <w:color w:val="auto"/>
              </w:rPr>
            </w:pPr>
          </w:p>
        </w:tc>
      </w:tr>
      <w:tr>
        <w:trPr>
          <w:trHeight w:val="505"/>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CLAIMS ON INSURANCE ACTIVITIES</w:t>
            </w: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Net claims incurred</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4,755</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6,743</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7,423</w:t>
            </w:r>
          </w:p>
        </w:tc>
        <w:tc>
          <w:tcPr>
            <w:tcW w:w="0" w:type="dxa"/>
            <w:vAlign w:val="bottom"/>
          </w:tcPr>
          <w:p>
            <w:pPr>
              <w:spacing w:after="0"/>
              <w:rPr>
                <w:sz w:val="1"/>
                <w:szCs w:val="1"/>
                <w:color w:val="auto"/>
              </w:rPr>
            </w:pPr>
          </w:p>
        </w:tc>
      </w:tr>
      <w:tr>
        <w:trPr>
          <w:trHeight w:val="205"/>
        </w:trPr>
        <w:tc>
          <w:tcPr>
            <w:tcW w:w="6240" w:type="dxa"/>
            <w:vAlign w:val="bottom"/>
            <w:gridSpan w:val="3"/>
          </w:tcPr>
          <w:p>
            <w:pPr>
              <w:ind w:left="120"/>
              <w:spacing w:after="0" w:line="205" w:lineRule="exact"/>
              <w:rPr>
                <w:sz w:val="20"/>
                <w:szCs w:val="20"/>
                <w:color w:val="auto"/>
              </w:rPr>
            </w:pPr>
            <w:r>
              <w:rPr>
                <w:rFonts w:ascii="Arial" w:cs="Arial" w:eastAsia="Arial" w:hAnsi="Arial"/>
                <w:sz w:val="18"/>
                <w:szCs w:val="18"/>
                <w:color w:val="auto"/>
              </w:rPr>
              <w:t>Increase in future policy benefits for life and health</w:t>
            </w:r>
          </w:p>
        </w:tc>
        <w:tc>
          <w:tcPr>
            <w:tcW w:w="16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20,448</w:t>
            </w:r>
          </w:p>
        </w:tc>
        <w:tc>
          <w:tcPr>
            <w:tcW w:w="1720" w:type="dxa"/>
            <w:vAlign w:val="bottom"/>
            <w:gridSpan w:val="6"/>
          </w:tcPr>
          <w:p>
            <w:pPr>
              <w:jc w:val="right"/>
              <w:ind w:right="40"/>
              <w:spacing w:after="0" w:line="205" w:lineRule="exact"/>
              <w:rPr>
                <w:sz w:val="20"/>
                <w:szCs w:val="20"/>
                <w:color w:val="auto"/>
              </w:rPr>
            </w:pPr>
            <w:r>
              <w:rPr>
                <w:rFonts w:ascii="Arial" w:cs="Arial" w:eastAsia="Arial" w:hAnsi="Arial"/>
                <w:sz w:val="18"/>
                <w:szCs w:val="18"/>
                <w:color w:val="auto"/>
              </w:rPr>
              <w:t>16,715</w:t>
            </w:r>
          </w:p>
        </w:tc>
        <w:tc>
          <w:tcPr>
            <w:tcW w:w="20" w:type="dxa"/>
            <w:vAlign w:val="bottom"/>
          </w:tcPr>
          <w:p>
            <w:pPr>
              <w:spacing w:after="0"/>
              <w:rPr>
                <w:sz w:val="17"/>
                <w:szCs w:val="17"/>
                <w:color w:val="auto"/>
              </w:rPr>
            </w:pPr>
          </w:p>
        </w:tc>
        <w:tc>
          <w:tcPr>
            <w:tcW w:w="170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21,239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25,203</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23,458</w:t>
            </w:r>
          </w:p>
        </w:tc>
        <w:tc>
          <w:tcPr>
            <w:tcW w:w="20" w:type="dxa"/>
            <w:vAlign w:val="bottom"/>
          </w:tcPr>
          <w:p>
            <w:pPr>
              <w:spacing w:after="0"/>
              <w:rPr>
                <w:sz w:val="19"/>
                <w:szCs w:val="19"/>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28,662</w:t>
            </w:r>
          </w:p>
        </w:tc>
        <w:tc>
          <w:tcPr>
            <w:tcW w:w="0" w:type="dxa"/>
            <w:vAlign w:val="bottom"/>
          </w:tcPr>
          <w:p>
            <w:pPr>
              <w:spacing w:after="0"/>
              <w:rPr>
                <w:sz w:val="1"/>
                <w:szCs w:val="1"/>
                <w:color w:val="auto"/>
              </w:rPr>
            </w:pPr>
          </w:p>
        </w:tc>
      </w:tr>
      <w:tr>
        <w:trPr>
          <w:trHeight w:val="262"/>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Salaries and employee benefits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46,064</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48,713</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44,363</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General, administrative, and other taxes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38,833</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38,223</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37,477</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11,749</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11,700</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Other</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12,451</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15,287</w:t>
            </w:r>
          </w:p>
        </w:tc>
        <w:tc>
          <w:tcPr>
            <w:tcW w:w="20" w:type="dxa"/>
            <w:vAlign w:val="bottom"/>
          </w:tcPr>
          <w:p>
            <w:pPr>
              <w:spacing w:after="0"/>
              <w:rPr>
                <w:sz w:val="21"/>
                <w:szCs w:val="21"/>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05"/>
        </w:trPr>
        <w:tc>
          <w:tcPr>
            <w:tcW w:w="6240" w:type="dxa"/>
            <w:vAlign w:val="bottom"/>
            <w:gridSpan w:val="3"/>
          </w:tcPr>
          <w:p>
            <w:pPr>
              <w:ind w:left="120"/>
              <w:spacing w:after="0" w:line="205" w:lineRule="exact"/>
              <w:rPr>
                <w:sz w:val="20"/>
                <w:szCs w:val="20"/>
                <w:color w:val="auto"/>
              </w:rPr>
            </w:pPr>
            <w:r>
              <w:rPr>
                <w:rFonts w:ascii="Arial" w:cs="Arial" w:eastAsia="Arial" w:hAnsi="Arial"/>
                <w:sz w:val="18"/>
                <w:szCs w:val="18"/>
                <w:color w:val="auto"/>
              </w:rPr>
              <w:t>Merger costs</w:t>
            </w:r>
          </w:p>
        </w:tc>
        <w:tc>
          <w:tcPr>
            <w:tcW w:w="16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15,465</w:t>
            </w:r>
          </w:p>
        </w:tc>
        <w:tc>
          <w:tcPr>
            <w:tcW w:w="1720" w:type="dxa"/>
            <w:vAlign w:val="bottom"/>
            <w:gridSpan w:val="6"/>
          </w:tcPr>
          <w:p>
            <w:pPr>
              <w:jc w:val="right"/>
              <w:ind w:right="40"/>
              <w:spacing w:after="0" w:line="205" w:lineRule="exact"/>
              <w:rPr>
                <w:sz w:val="20"/>
                <w:szCs w:val="20"/>
                <w:color w:val="auto"/>
              </w:rPr>
            </w:pPr>
            <w:r>
              <w:rPr>
                <w:rFonts w:ascii="Arial" w:cs="Arial" w:eastAsia="Arial" w:hAnsi="Arial"/>
                <w:sz w:val="18"/>
                <w:szCs w:val="18"/>
                <w:color w:val="auto"/>
              </w:rPr>
              <w:t>1,100</w:t>
            </w:r>
          </w:p>
        </w:tc>
        <w:tc>
          <w:tcPr>
            <w:tcW w:w="20" w:type="dxa"/>
            <w:vAlign w:val="bottom"/>
          </w:tcPr>
          <w:p>
            <w:pPr>
              <w:spacing w:after="0"/>
              <w:rPr>
                <w:sz w:val="17"/>
                <w:szCs w:val="17"/>
                <w:color w:val="auto"/>
              </w:rPr>
            </w:pPr>
          </w:p>
        </w:tc>
        <w:tc>
          <w:tcPr>
            <w:tcW w:w="170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6"/>
              </w:rPr>
              <w:t>124,562</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color w:val="auto"/>
              </w:rPr>
              <w:t>115,023</w:t>
            </w:r>
          </w:p>
        </w:tc>
        <w:tc>
          <w:tcPr>
            <w:tcW w:w="20" w:type="dxa"/>
            <w:vAlign w:val="bottom"/>
          </w:tcPr>
          <w:p>
            <w:pPr>
              <w:spacing w:after="0"/>
              <w:rPr>
                <w:sz w:val="19"/>
                <w:szCs w:val="19"/>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color w:val="auto"/>
              </w:rPr>
              <w:t>109,985</w:t>
            </w:r>
          </w:p>
        </w:tc>
        <w:tc>
          <w:tcPr>
            <w:tcW w:w="0" w:type="dxa"/>
            <w:vAlign w:val="bottom"/>
          </w:tcPr>
          <w:p>
            <w:pPr>
              <w:spacing w:after="0"/>
              <w:rPr>
                <w:sz w:val="1"/>
                <w:szCs w:val="1"/>
                <w:color w:val="auto"/>
              </w:rPr>
            </w:pPr>
          </w:p>
        </w:tc>
      </w:tr>
      <w:tr>
        <w:trPr>
          <w:trHeight w:val="505"/>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Translation result</w:t>
            </w:r>
          </w:p>
        </w:tc>
        <w:tc>
          <w:tcPr>
            <w:tcW w:w="1060" w:type="dxa"/>
            <w:vAlign w:val="bottom"/>
          </w:tcPr>
          <w:p>
            <w:pPr>
              <w:spacing w:after="0"/>
              <w:rPr>
                <w:sz w:val="24"/>
                <w:szCs w:val="24"/>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(6,723)</w:t>
            </w:r>
          </w:p>
        </w:tc>
        <w:tc>
          <w:tcPr>
            <w:tcW w:w="1120" w:type="dxa"/>
            <w:vAlign w:val="bottom"/>
            <w:gridSpan w:val="3"/>
          </w:tcPr>
          <w:p>
            <w:pPr>
              <w:spacing w:after="0"/>
              <w:rPr>
                <w:sz w:val="24"/>
                <w:szCs w:val="24"/>
                <w:color w:val="auto"/>
              </w:rPr>
            </w:pPr>
          </w:p>
        </w:tc>
        <w:tc>
          <w:tcPr>
            <w:tcW w:w="6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486"/>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 and minority interest</w:t>
            </w: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10,638</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34,771</w:t>
            </w:r>
          </w:p>
        </w:tc>
        <w:tc>
          <w:tcPr>
            <w:tcW w:w="20" w:type="dxa"/>
            <w:vAlign w:val="bottom"/>
          </w:tcPr>
          <w:p>
            <w:pPr>
              <w:spacing w:after="0"/>
              <w:rPr>
                <w:sz w:val="24"/>
                <w:szCs w:val="24"/>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44,471</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Income Tax</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(6,789)</w:t>
            </w:r>
          </w:p>
        </w:tc>
        <w:tc>
          <w:tcPr>
            <w:tcW w:w="1740" w:type="dxa"/>
            <w:vAlign w:val="bottom"/>
            <w:gridSpan w:val="7"/>
          </w:tcPr>
          <w:p>
            <w:pPr>
              <w:jc w:val="right"/>
              <w:ind w:right="20"/>
              <w:spacing w:after="0"/>
              <w:rPr>
                <w:sz w:val="20"/>
                <w:szCs w:val="20"/>
                <w:color w:val="auto"/>
              </w:rPr>
            </w:pPr>
            <w:r>
              <w:rPr>
                <w:rFonts w:ascii="Arial" w:cs="Arial" w:eastAsia="Arial" w:hAnsi="Arial"/>
                <w:sz w:val="18"/>
                <w:szCs w:val="18"/>
                <w:color w:val="auto"/>
              </w:rPr>
              <w:t>(9,835)</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(11,637)</w:t>
            </w:r>
          </w:p>
        </w:tc>
        <w:tc>
          <w:tcPr>
            <w:tcW w:w="0" w:type="dxa"/>
            <w:vAlign w:val="bottom"/>
          </w:tcPr>
          <w:p>
            <w:pPr>
              <w:spacing w:after="0"/>
              <w:rPr>
                <w:sz w:val="1"/>
                <w:szCs w:val="1"/>
                <w:color w:val="auto"/>
              </w:rPr>
            </w:pPr>
          </w:p>
        </w:tc>
      </w:tr>
      <w:tr>
        <w:trPr>
          <w:trHeight w:val="243"/>
        </w:trPr>
        <w:tc>
          <w:tcPr>
            <w:tcW w:w="6240" w:type="dxa"/>
            <w:vAlign w:val="bottom"/>
            <w:gridSpan w:val="3"/>
          </w:tcPr>
          <w:p>
            <w:pPr>
              <w:ind w:left="120"/>
              <w:spacing w:after="0"/>
              <w:rPr>
                <w:sz w:val="20"/>
                <w:szCs w:val="20"/>
                <w:color w:val="auto"/>
              </w:rPr>
            </w:pPr>
            <w:r>
              <w:rPr>
                <w:rFonts w:ascii="Arial" w:cs="Arial" w:eastAsia="Arial" w:hAnsi="Arial"/>
                <w:sz w:val="18"/>
                <w:szCs w:val="18"/>
                <w:color w:val="auto"/>
              </w:rPr>
              <w:t>Minority Interest</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(1,357)</w:t>
            </w:r>
          </w:p>
        </w:tc>
        <w:tc>
          <w:tcPr>
            <w:tcW w:w="1740" w:type="dxa"/>
            <w:vAlign w:val="bottom"/>
            <w:gridSpan w:val="7"/>
          </w:tcPr>
          <w:p>
            <w:pPr>
              <w:jc w:val="right"/>
              <w:ind w:right="20"/>
              <w:spacing w:after="0"/>
              <w:rPr>
                <w:sz w:val="20"/>
                <w:szCs w:val="20"/>
                <w:color w:val="auto"/>
              </w:rPr>
            </w:pPr>
            <w:r>
              <w:rPr>
                <w:rFonts w:ascii="Arial" w:cs="Arial" w:eastAsia="Arial" w:hAnsi="Arial"/>
                <w:sz w:val="18"/>
                <w:szCs w:val="18"/>
                <w:color w:val="auto"/>
              </w:rPr>
              <w:t>(1,099)</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486"/>
        </w:trPr>
        <w:tc>
          <w:tcPr>
            <w:tcW w:w="2400" w:type="dxa"/>
            <w:vAlign w:val="bottom"/>
          </w:tcPr>
          <w:p>
            <w:pPr>
              <w:spacing w:after="0"/>
              <w:rPr>
                <w:sz w:val="24"/>
                <w:szCs w:val="24"/>
                <w:color w:val="auto"/>
              </w:rPr>
            </w:pPr>
          </w:p>
        </w:tc>
        <w:tc>
          <w:tcPr>
            <w:tcW w:w="384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rPr>
              <w:t>NET INCOME</w:t>
            </w: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2,492</w:t>
            </w:r>
          </w:p>
        </w:tc>
        <w:tc>
          <w:tcPr>
            <w:tcW w:w="172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23,837</w:t>
            </w:r>
          </w:p>
        </w:tc>
        <w:tc>
          <w:tcPr>
            <w:tcW w:w="20" w:type="dxa"/>
            <w:vAlign w:val="bottom"/>
          </w:tcPr>
          <w:p>
            <w:pPr>
              <w:spacing w:after="0"/>
              <w:rPr>
                <w:sz w:val="24"/>
                <w:szCs w:val="24"/>
                <w:color w:val="auto"/>
              </w:rPr>
            </w:pPr>
          </w:p>
        </w:tc>
        <w:tc>
          <w:tcPr>
            <w:tcW w:w="17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30,062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7207885</wp:posOffset>
            </wp:positionH>
            <wp:positionV relativeFrom="paragraph">
              <wp:posOffset>-7214235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-6888480</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-6888480</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-6888480</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74295</wp:posOffset>
            </wp:positionV>
            <wp:extent cx="722503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ectPr>
          <w:pgSz w:w="11900" w:h="16838" w:orient="portrait"/>
          <w:cols w:equalWidth="0" w:num="1">
            <w:col w:w="11392"/>
          </w:cols>
          <w:pgMar w:left="248" w:top="131" w:right="259" w:bottom="1440" w:gutter="0" w:footer="0" w:header="0"/>
        </w:sectPr>
      </w:pPr>
    </w:p>
    <w:p>
      <w:pPr>
        <w:spacing w:after="0" w:line="275" w:lineRule="exact"/>
        <w:rPr>
          <w:sz w:val="20"/>
          <w:szCs w:val="20"/>
          <w:color w:val="auto"/>
        </w:rPr>
      </w:pPr>
    </w:p>
    <w:p>
      <w:pPr>
        <w:ind w:left="352" w:hanging="352"/>
        <w:spacing w:after="0"/>
        <w:tabs>
          <w:tab w:leader="none" w:pos="352"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Note: for comparison purposes, US$5.5Mn in 1Q03 and US$8.3Mn in 4Q04 were reclassified from other income into interest income.</w:t>
      </w:r>
    </w:p>
    <w:p>
      <w:pPr>
        <w:sectPr>
          <w:pgSz w:w="11900" w:h="16838" w:orient="portrait"/>
          <w:cols w:equalWidth="0" w:num="1">
            <w:col w:w="11392"/>
          </w:cols>
          <w:pgMar w:left="248" w:top="131" w:right="259" w:bottom="1440" w:gutter="0" w:footer="0" w:header="0"/>
          <w:type w:val="continuous"/>
        </w:sectPr>
      </w:pPr>
    </w:p>
    <w:bookmarkStart w:id="14" w:name="page15"/>
    <w:bookmarkEnd w:id="14"/>
    <w:p>
      <w:pPr>
        <w:jc w:val="center"/>
        <w:ind w:right="-11"/>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3</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2503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2"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Three months ended</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ind w:right="472"/>
              <w:spacing w:after="0"/>
              <w:rPr>
                <w:sz w:val="20"/>
                <w:szCs w:val="20"/>
                <w:color w:val="auto"/>
              </w:rPr>
            </w:pPr>
            <w:r>
              <w:rPr>
                <w:rFonts w:ascii="Arial" w:cs="Arial" w:eastAsia="Arial" w:hAnsi="Arial"/>
                <w:sz w:val="18"/>
                <w:szCs w:val="18"/>
                <w:b w:val="1"/>
                <w:bCs w:val="1"/>
                <w:color w:val="auto"/>
              </w:rPr>
              <w:t>31.03.03</w:t>
            </w:r>
          </w:p>
        </w:tc>
        <w:tc>
          <w:tcPr>
            <w:tcW w:w="172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31.12.03</w:t>
            </w:r>
          </w:p>
        </w:tc>
        <w:tc>
          <w:tcPr>
            <w:tcW w:w="20" w:type="dxa"/>
            <w:vAlign w:val="bottom"/>
          </w:tcPr>
          <w:p>
            <w:pPr>
              <w:spacing w:after="0"/>
              <w:rPr>
                <w:sz w:val="24"/>
                <w:szCs w:val="24"/>
                <w:color w:val="auto"/>
              </w:rPr>
            </w:pP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31.03.04</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Profitability</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599"/>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income per common share (US$ per share)(1)</w:t>
            </w:r>
          </w:p>
        </w:tc>
        <w:tc>
          <w:tcPr>
            <w:tcW w:w="1680" w:type="dxa"/>
            <w:vAlign w:val="bottom"/>
          </w:tcPr>
          <w:p>
            <w:pPr>
              <w:jc w:val="right"/>
              <w:spacing w:after="0"/>
              <w:rPr>
                <w:sz w:val="20"/>
                <w:szCs w:val="20"/>
                <w:color w:val="auto"/>
              </w:rPr>
            </w:pPr>
            <w:r>
              <w:rPr>
                <w:rFonts w:ascii="Arial" w:cs="Arial" w:eastAsia="Arial" w:hAnsi="Arial"/>
                <w:sz w:val="18"/>
                <w:szCs w:val="18"/>
                <w:color w:val="auto"/>
              </w:rPr>
              <w:t>0.031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0.299</w:t>
            </w:r>
          </w:p>
        </w:tc>
        <w:tc>
          <w:tcPr>
            <w:tcW w:w="1700" w:type="dxa"/>
            <w:vAlign w:val="bottom"/>
          </w:tcPr>
          <w:p>
            <w:pPr>
              <w:jc w:val="right"/>
              <w:spacing w:after="0"/>
              <w:rPr>
                <w:sz w:val="20"/>
                <w:szCs w:val="20"/>
                <w:color w:val="auto"/>
              </w:rPr>
            </w:pPr>
            <w:r>
              <w:rPr>
                <w:rFonts w:ascii="Arial" w:cs="Arial" w:eastAsia="Arial" w:hAnsi="Arial"/>
                <w:sz w:val="18"/>
                <w:szCs w:val="18"/>
                <w:color w:val="auto"/>
              </w:rPr>
              <w:t>0.377</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680" w:type="dxa"/>
            <w:vAlign w:val="bottom"/>
          </w:tcPr>
          <w:p>
            <w:pPr>
              <w:jc w:val="right"/>
              <w:spacing w:after="0"/>
              <w:rPr>
                <w:sz w:val="20"/>
                <w:szCs w:val="20"/>
                <w:color w:val="auto"/>
              </w:rPr>
            </w:pPr>
            <w:r>
              <w:rPr>
                <w:rFonts w:ascii="Arial" w:cs="Arial" w:eastAsia="Arial" w:hAnsi="Arial"/>
                <w:sz w:val="18"/>
                <w:szCs w:val="18"/>
                <w:color w:val="auto"/>
              </w:rPr>
              <w:t>5.46%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6.07%</w:t>
            </w:r>
          </w:p>
        </w:tc>
        <w:tc>
          <w:tcPr>
            <w:tcW w:w="170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680" w:type="dxa"/>
            <w:vAlign w:val="bottom"/>
          </w:tcPr>
          <w:p>
            <w:pPr>
              <w:jc w:val="right"/>
              <w:spacing w:after="0"/>
              <w:rPr>
                <w:sz w:val="20"/>
                <w:szCs w:val="20"/>
                <w:color w:val="auto"/>
              </w:rPr>
            </w:pPr>
            <w:r>
              <w:rPr>
                <w:rFonts w:ascii="Arial" w:cs="Arial" w:eastAsia="Arial" w:hAnsi="Arial"/>
                <w:sz w:val="18"/>
                <w:szCs w:val="18"/>
                <w:color w:val="auto"/>
              </w:rPr>
              <w:t>0.12%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17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680" w:type="dxa"/>
            <w:vAlign w:val="bottom"/>
          </w:tcPr>
          <w:p>
            <w:pPr>
              <w:jc w:val="right"/>
              <w:spacing w:after="0"/>
              <w:rPr>
                <w:sz w:val="20"/>
                <w:szCs w:val="20"/>
                <w:color w:val="auto"/>
              </w:rPr>
            </w:pPr>
            <w:r>
              <w:rPr>
                <w:rFonts w:ascii="Arial" w:cs="Arial" w:eastAsia="Arial" w:hAnsi="Arial"/>
                <w:sz w:val="18"/>
                <w:szCs w:val="18"/>
                <w:color w:val="auto"/>
              </w:rPr>
              <w:t>1.22%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10.58%</w:t>
            </w:r>
          </w:p>
        </w:tc>
        <w:tc>
          <w:tcPr>
            <w:tcW w:w="170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No. of outstanding shares (millions)(4)</w:t>
            </w:r>
          </w:p>
        </w:tc>
        <w:tc>
          <w:tcPr>
            <w:tcW w:w="1680" w:type="dxa"/>
            <w:vAlign w:val="bottom"/>
          </w:tcPr>
          <w:p>
            <w:pPr>
              <w:jc w:val="right"/>
              <w:spacing w:after="0"/>
              <w:rPr>
                <w:sz w:val="20"/>
                <w:szCs w:val="20"/>
                <w:color w:val="auto"/>
              </w:rPr>
            </w:pPr>
            <w:r>
              <w:rPr>
                <w:rFonts w:ascii="Arial" w:cs="Arial" w:eastAsia="Arial" w:hAnsi="Arial"/>
                <w:sz w:val="18"/>
                <w:szCs w:val="18"/>
                <w:color w:val="auto"/>
              </w:rPr>
              <w:t>79.75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79.75</w:t>
            </w:r>
          </w:p>
        </w:tc>
        <w:tc>
          <w:tcPr>
            <w:tcW w:w="1700" w:type="dxa"/>
            <w:vAlign w:val="bottom"/>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8.28%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5.72%</w:t>
            </w:r>
          </w:p>
        </w:tc>
        <w:tc>
          <w:tcPr>
            <w:tcW w:w="170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total past due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112.15%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127.36%</w:t>
            </w:r>
          </w:p>
        </w:tc>
        <w:tc>
          <w:tcPr>
            <w:tcW w:w="1700" w:type="dxa"/>
            <w:vAlign w:val="bottom"/>
          </w:tcPr>
          <w:p>
            <w:pPr>
              <w:jc w:val="right"/>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total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9.28%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7.29%</w:t>
            </w:r>
          </w:p>
        </w:tc>
        <w:tc>
          <w:tcPr>
            <w:tcW w:w="170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substandard loans (C+D+E)</w:t>
            </w:r>
          </w:p>
        </w:tc>
        <w:tc>
          <w:tcPr>
            <w:tcW w:w="1680" w:type="dxa"/>
            <w:vAlign w:val="bottom"/>
          </w:tcPr>
          <w:p>
            <w:pPr>
              <w:jc w:val="right"/>
              <w:spacing w:after="0"/>
              <w:rPr>
                <w:sz w:val="20"/>
                <w:szCs w:val="20"/>
                <w:color w:val="auto"/>
              </w:rPr>
            </w:pPr>
            <w:r>
              <w:rPr>
                <w:rFonts w:ascii="Arial" w:cs="Arial" w:eastAsia="Arial" w:hAnsi="Arial"/>
                <w:sz w:val="18"/>
                <w:szCs w:val="18"/>
                <w:color w:val="auto"/>
              </w:rPr>
              <w:t>55.57%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50.92%</w:t>
            </w:r>
          </w:p>
        </w:tc>
        <w:tc>
          <w:tcPr>
            <w:tcW w:w="1700" w:type="dxa"/>
            <w:vAlign w:val="bottom"/>
          </w:tcPr>
          <w:p>
            <w:pPr>
              <w:jc w:val="right"/>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Past due loans - reserves for loan losses as a</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percentage of shareholders'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-5.77%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Oper. expense as a percent. of total income (5)</w:t>
            </w:r>
          </w:p>
        </w:tc>
        <w:tc>
          <w:tcPr>
            <w:tcW w:w="1680" w:type="dxa"/>
            <w:vAlign w:val="bottom"/>
          </w:tcPr>
          <w:p>
            <w:pPr>
              <w:jc w:val="right"/>
              <w:spacing w:after="0"/>
              <w:rPr>
                <w:sz w:val="20"/>
                <w:szCs w:val="20"/>
                <w:color w:val="auto"/>
              </w:rPr>
            </w:pPr>
            <w:r>
              <w:rPr>
                <w:rFonts w:ascii="Arial" w:cs="Arial" w:eastAsia="Arial" w:hAnsi="Arial"/>
                <w:sz w:val="18"/>
                <w:szCs w:val="18"/>
                <w:color w:val="auto"/>
              </w:rPr>
              <w:t>50.79%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51.79%</w:t>
            </w:r>
          </w:p>
        </w:tc>
        <w:tc>
          <w:tcPr>
            <w:tcW w:w="1700" w:type="dxa"/>
            <w:vAlign w:val="bottom"/>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Oper. expense as a percent. of av. tot. assets(2)(3)(5)</w:t>
            </w:r>
          </w:p>
        </w:tc>
        <w:tc>
          <w:tcPr>
            <w:tcW w:w="1680" w:type="dxa"/>
            <w:vAlign w:val="bottom"/>
          </w:tcPr>
          <w:p>
            <w:pPr>
              <w:jc w:val="right"/>
              <w:spacing w:after="0"/>
              <w:rPr>
                <w:sz w:val="20"/>
                <w:szCs w:val="20"/>
                <w:color w:val="auto"/>
              </w:rPr>
            </w:pPr>
            <w:r>
              <w:rPr>
                <w:rFonts w:ascii="Arial" w:cs="Arial" w:eastAsia="Arial" w:hAnsi="Arial"/>
                <w:sz w:val="18"/>
                <w:szCs w:val="18"/>
                <w:color w:val="auto"/>
              </w:rPr>
              <w:t>4.62%</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4.65%</w:t>
            </w:r>
          </w:p>
        </w:tc>
        <w:tc>
          <w:tcPr>
            <w:tcW w:w="17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Total Regulatory Capital (US$Mn)</w:t>
            </w:r>
          </w:p>
        </w:tc>
        <w:tc>
          <w:tcPr>
            <w:tcW w:w="1680" w:type="dxa"/>
            <w:vAlign w:val="bottom"/>
          </w:tcPr>
          <w:p>
            <w:pPr>
              <w:jc w:val="right"/>
              <w:spacing w:after="0"/>
              <w:rPr>
                <w:sz w:val="20"/>
                <w:szCs w:val="20"/>
                <w:color w:val="auto"/>
              </w:rPr>
            </w:pPr>
            <w:r>
              <w:rPr>
                <w:rFonts w:ascii="Arial" w:cs="Arial" w:eastAsia="Arial" w:hAnsi="Arial"/>
                <w:sz w:val="18"/>
                <w:szCs w:val="18"/>
                <w:color w:val="auto"/>
              </w:rPr>
              <w:t>742.3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731.4</w:t>
            </w:r>
          </w:p>
        </w:tc>
        <w:tc>
          <w:tcPr>
            <w:tcW w:w="1700" w:type="dxa"/>
            <w:vAlign w:val="bottom"/>
          </w:tcPr>
          <w:p>
            <w:pPr>
              <w:jc w:val="right"/>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Tier I Capital (US$Mn)</w:t>
            </w:r>
          </w:p>
        </w:tc>
        <w:tc>
          <w:tcPr>
            <w:tcW w:w="1680" w:type="dxa"/>
            <w:vAlign w:val="bottom"/>
          </w:tcPr>
          <w:p>
            <w:pPr>
              <w:jc w:val="right"/>
              <w:spacing w:after="0"/>
              <w:rPr>
                <w:sz w:val="20"/>
                <w:szCs w:val="20"/>
                <w:color w:val="auto"/>
              </w:rPr>
            </w:pPr>
            <w:r>
              <w:rPr>
                <w:rFonts w:ascii="Arial" w:cs="Arial" w:eastAsia="Arial" w:hAnsi="Arial"/>
                <w:sz w:val="18"/>
                <w:szCs w:val="18"/>
                <w:color w:val="auto"/>
              </w:rPr>
              <w:t>608.8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602.0</w:t>
            </w:r>
          </w:p>
        </w:tc>
        <w:tc>
          <w:tcPr>
            <w:tcW w:w="1700" w:type="dxa"/>
            <w:vAlign w:val="bottom"/>
          </w:tcPr>
          <w:p>
            <w:pPr>
              <w:jc w:val="right"/>
              <w:spacing w:after="0"/>
              <w:rPr>
                <w:sz w:val="20"/>
                <w:szCs w:val="20"/>
                <w:color w:val="auto"/>
              </w:rPr>
            </w:pPr>
            <w:r>
              <w:rPr>
                <w:rFonts w:ascii="Arial" w:cs="Arial" w:eastAsia="Arial" w:hAnsi="Arial"/>
                <w:sz w:val="18"/>
                <w:szCs w:val="18"/>
                <w:color w:val="auto"/>
              </w:rPr>
              <w:t>767.4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Regulatory capital / risk-weighted assets (6)</w:t>
            </w:r>
          </w:p>
        </w:tc>
        <w:tc>
          <w:tcPr>
            <w:tcW w:w="1680" w:type="dxa"/>
            <w:vAlign w:val="bottom"/>
          </w:tcPr>
          <w:p>
            <w:pPr>
              <w:jc w:val="right"/>
              <w:spacing w:after="0"/>
              <w:rPr>
                <w:sz w:val="20"/>
                <w:szCs w:val="20"/>
                <w:color w:val="auto"/>
              </w:rPr>
            </w:pPr>
            <w:r>
              <w:rPr>
                <w:rFonts w:ascii="Arial" w:cs="Arial" w:eastAsia="Arial" w:hAnsi="Arial"/>
                <w:sz w:val="18"/>
                <w:szCs w:val="18"/>
                <w:color w:val="auto"/>
              </w:rPr>
              <w:t>11.65%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11.37%</w:t>
            </w:r>
          </w:p>
        </w:tc>
        <w:tc>
          <w:tcPr>
            <w:tcW w:w="170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Average balances (US$Mn) (3)</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6,915.0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6,506.8</w:t>
            </w:r>
          </w:p>
        </w:tc>
        <w:tc>
          <w:tcPr>
            <w:tcW w:w="1700" w:type="dxa"/>
            <w:vAlign w:val="bottom"/>
          </w:tcPr>
          <w:p>
            <w:pPr>
              <w:jc w:val="right"/>
              <w:spacing w:after="0"/>
              <w:rPr>
                <w:sz w:val="20"/>
                <w:szCs w:val="20"/>
                <w:color w:val="auto"/>
              </w:rPr>
            </w:pPr>
            <w:r>
              <w:rPr>
                <w:rFonts w:ascii="Arial" w:cs="Arial" w:eastAsia="Arial" w:hAnsi="Arial"/>
                <w:sz w:val="18"/>
                <w:szCs w:val="18"/>
                <w:color w:val="auto"/>
              </w:rPr>
              <w:t>6,494.7</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8,597.9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8,261.5</w:t>
            </w:r>
          </w:p>
        </w:tc>
        <w:tc>
          <w:tcPr>
            <w:tcW w:w="1700" w:type="dxa"/>
            <w:vAlign w:val="bottom"/>
          </w:tcPr>
          <w:p>
            <w:pPr>
              <w:jc w:val="right"/>
              <w:spacing w:after="0"/>
              <w:rPr>
                <w:sz w:val="20"/>
                <w:szCs w:val="20"/>
                <w:color w:val="auto"/>
              </w:rPr>
            </w:pPr>
            <w:r>
              <w:rPr>
                <w:rFonts w:ascii="Arial" w:cs="Arial" w:eastAsia="Arial" w:hAnsi="Arial"/>
                <w:sz w:val="18"/>
                <w:szCs w:val="18"/>
                <w:color w:val="auto"/>
              </w:rPr>
              <w:t>8,296.3</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816.1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901.5</w:t>
            </w:r>
          </w:p>
        </w:tc>
        <w:tc>
          <w:tcPr>
            <w:tcW w:w="1700" w:type="dxa"/>
            <w:vAlign w:val="bottom"/>
          </w:tcPr>
          <w:p>
            <w:pPr>
              <w:jc w:val="right"/>
              <w:spacing w:after="0"/>
              <w:rPr>
                <w:sz w:val="20"/>
                <w:szCs w:val="20"/>
                <w:color w:val="auto"/>
              </w:rPr>
            </w:pPr>
            <w:r>
              <w:rPr>
                <w:rFonts w:ascii="Arial" w:cs="Arial" w:eastAsia="Arial" w:hAnsi="Arial"/>
                <w:sz w:val="18"/>
                <w:szCs w:val="18"/>
                <w:color w:val="auto"/>
              </w:rPr>
              <w:t>914.4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7207885</wp:posOffset>
            </wp:positionH>
            <wp:positionV relativeFrom="paragraph">
              <wp:posOffset>-5361940</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-5036185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-5036185</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-5036185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228600</wp:posOffset>
            </wp:positionV>
            <wp:extent cx="722503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52" w:hanging="352"/>
        <w:spacing w:after="0"/>
        <w:tabs>
          <w:tab w:leader="none" w:pos="352"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 outstanding of 79.8 million in all periods.</w:t>
      </w:r>
    </w:p>
    <w:p>
      <w:pPr>
        <w:ind w:left="352" w:hanging="352"/>
        <w:spacing w:after="0" w:line="221" w:lineRule="auto"/>
        <w:tabs>
          <w:tab w:leader="none" w:pos="352"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Ratios are annualized.</w:t>
      </w:r>
    </w:p>
    <w:p>
      <w:pPr>
        <w:ind w:left="352" w:hanging="352"/>
        <w:spacing w:after="0" w:line="221" w:lineRule="auto"/>
        <w:tabs>
          <w:tab w:leader="none" w:pos="352"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Averages are determined as the average of period-beginning and period-ending balances.</w:t>
      </w:r>
    </w:p>
    <w:p>
      <w:pPr>
        <w:ind w:left="352" w:hanging="352"/>
        <w:spacing w:after="0" w:line="221" w:lineRule="auto"/>
        <w:tabs>
          <w:tab w:leader="none" w:pos="352"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Net of treasury shares. The total number of shares was of 94.38 million.</w:t>
      </w:r>
    </w:p>
    <w:p>
      <w:pPr>
        <w:ind w:left="352" w:hanging="352"/>
        <w:spacing w:after="0" w:line="221" w:lineRule="auto"/>
        <w:tabs>
          <w:tab w:leader="none" w:pos="352"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Total income includes net interest income and other income. Operating expense is net of provisions for other assets received in lieu of loan repayment and mandatory employee profit sharing expense. Non-recurring items are not included.</w:t>
      </w:r>
    </w:p>
    <w:p>
      <w:pPr>
        <w:ind w:left="352" w:hanging="352"/>
        <w:spacing w:after="0"/>
        <w:tabs>
          <w:tab w:leader="none" w:pos="352"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Risk-weighted assets include market risk assets.</w:t>
      </w:r>
    </w:p>
    <w:p>
      <w:pPr>
        <w:sectPr>
          <w:pgSz w:w="11900" w:h="16838" w:orient="portrait"/>
          <w:cols w:equalWidth="0" w:num="1">
            <w:col w:w="11412"/>
          </w:cols>
          <w:pgMar w:left="248" w:top="1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 Nuevos Soles, as of March 31, 2004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59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88"/>
              </w:rPr>
              <w:t>ASSETS</w:t>
            </w:r>
          </w:p>
        </w:tc>
        <w:tc>
          <w:tcPr>
            <w:tcW w:w="138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31.12.02</w:t>
            </w:r>
          </w:p>
        </w:tc>
        <w:tc>
          <w:tcPr>
            <w:tcW w:w="136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31.03.03</w:t>
            </w:r>
          </w:p>
        </w:tc>
        <w:tc>
          <w:tcPr>
            <w:tcW w:w="180" w:type="dxa"/>
            <w:vAlign w:val="bottom"/>
          </w:tcPr>
          <w:p>
            <w:pPr>
              <w:spacing w:after="0"/>
              <w:rPr>
                <w:sz w:val="19"/>
                <w:szCs w:val="19"/>
                <w:color w:val="auto"/>
              </w:rPr>
            </w:pPr>
          </w:p>
        </w:tc>
        <w:tc>
          <w:tcPr>
            <w:tcW w:w="120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31.12.03</w:t>
            </w:r>
          </w:p>
        </w:tc>
        <w:tc>
          <w:tcPr>
            <w:tcW w:w="160" w:type="dxa"/>
            <w:vAlign w:val="bottom"/>
          </w:tcPr>
          <w:p>
            <w:pPr>
              <w:spacing w:after="0"/>
              <w:rPr>
                <w:sz w:val="19"/>
                <w:szCs w:val="19"/>
                <w:color w:val="auto"/>
              </w:rPr>
            </w:pPr>
          </w:p>
        </w:tc>
        <w:tc>
          <w:tcPr>
            <w:tcW w:w="1200" w:type="dxa"/>
            <w:vAlign w:val="bottom"/>
            <w:gridSpan w:val="4"/>
          </w:tcPr>
          <w:p>
            <w:pPr>
              <w:jc w:val="right"/>
              <w:ind w:right="312"/>
              <w:spacing w:after="0"/>
              <w:rPr>
                <w:sz w:val="20"/>
                <w:szCs w:val="20"/>
                <w:color w:val="auto"/>
              </w:rPr>
            </w:pPr>
            <w:r>
              <w:rPr>
                <w:rFonts w:ascii="Arial" w:cs="Arial" w:eastAsia="Arial" w:hAnsi="Arial"/>
                <w:sz w:val="18"/>
                <w:szCs w:val="18"/>
                <w:b w:val="1"/>
                <w:bCs w:val="1"/>
                <w:color w:val="auto"/>
              </w:rPr>
              <w:t>31.03.04</w:t>
            </w:r>
          </w:p>
        </w:tc>
        <w:tc>
          <w:tcPr>
            <w:tcW w:w="180" w:type="dxa"/>
            <w:vAlign w:val="bottom"/>
          </w:tcPr>
          <w:p>
            <w:pPr>
              <w:spacing w:after="0"/>
              <w:rPr>
                <w:sz w:val="19"/>
                <w:szCs w:val="19"/>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31.03.04</w:t>
            </w:r>
          </w:p>
        </w:tc>
      </w:tr>
      <w:tr>
        <w:trPr>
          <w:trHeight w:val="110"/>
        </w:trPr>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r>
        <w:trPr>
          <w:trHeight w:val="309"/>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US$000(1)</w:t>
            </w:r>
          </w:p>
        </w:tc>
      </w:tr>
      <w:tr>
        <w:trPr>
          <w:trHeight w:val="184"/>
        </w:trPr>
        <w:tc>
          <w:tcPr>
            <w:tcW w:w="4580" w:type="dxa"/>
            <w:vAlign w:val="bottom"/>
            <w:gridSpan w:val="6"/>
          </w:tcPr>
          <w:p>
            <w:pPr>
              <w:spacing w:after="0" w:line="184" w:lineRule="exact"/>
              <w:rPr>
                <w:sz w:val="20"/>
                <w:szCs w:val="20"/>
                <w:color w:val="auto"/>
              </w:rPr>
            </w:pPr>
            <w:r>
              <w:rPr>
                <w:rFonts w:ascii="Arial" w:cs="Arial" w:eastAsia="Arial" w:hAnsi="Arial"/>
                <w:sz w:val="18"/>
                <w:szCs w:val="18"/>
                <w:color w:val="auto"/>
              </w:rPr>
              <w:t>CASH AND DUE FROM BANKS</w:t>
            </w: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7,653.</w:t>
            </w:r>
            <w:r>
              <w:rPr>
                <w:rFonts w:ascii="Arial" w:cs="Arial" w:eastAsia="Arial" w:hAnsi="Arial"/>
                <w:sz w:val="18"/>
                <w:szCs w:val="18"/>
                <w:u w:val="single" w:color="auto"/>
                <w:color w:val="auto"/>
              </w:rPr>
              <w:t>673</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7,236.</w:t>
            </w:r>
            <w:r>
              <w:rPr>
                <w:rFonts w:ascii="Arial" w:cs="Arial" w:eastAsia="Arial" w:hAnsi="Arial"/>
                <w:sz w:val="18"/>
                <w:szCs w:val="18"/>
                <w:u w:val="single" w:color="auto"/>
                <w:color w:val="auto"/>
              </w:rPr>
              <w:t>232</w:t>
            </w:r>
          </w:p>
        </w:tc>
        <w:tc>
          <w:tcPr>
            <w:tcW w:w="180" w:type="dxa"/>
            <w:vAlign w:val="bottom"/>
          </w:tcPr>
          <w:p>
            <w:pPr>
              <w:spacing w:after="0"/>
              <w:rPr>
                <w:sz w:val="15"/>
                <w:szCs w:val="15"/>
                <w:color w:val="auto"/>
              </w:rPr>
            </w:pPr>
          </w:p>
        </w:tc>
        <w:tc>
          <w:tcPr>
            <w:tcW w:w="1360" w:type="dxa"/>
            <w:vAlign w:val="bottom"/>
            <w:gridSpan w:val="4"/>
          </w:tcPr>
          <w:p>
            <w:pPr>
              <w:jc w:val="right"/>
              <w:ind w:right="160"/>
              <w:spacing w:after="0" w:line="184" w:lineRule="exact"/>
              <w:rPr>
                <w:sz w:val="20"/>
                <w:szCs w:val="20"/>
                <w:color w:val="auto"/>
              </w:rPr>
            </w:pPr>
            <w:r>
              <w:rPr>
                <w:rFonts w:ascii="Arial" w:cs="Arial" w:eastAsia="Arial" w:hAnsi="Arial"/>
                <w:sz w:val="18"/>
                <w:szCs w:val="18"/>
                <w:color w:val="auto"/>
              </w:rPr>
              <w:t>5,327.</w:t>
            </w:r>
            <w:r>
              <w:rPr>
                <w:rFonts w:ascii="Arial" w:cs="Arial" w:eastAsia="Arial" w:hAnsi="Arial"/>
                <w:sz w:val="18"/>
                <w:szCs w:val="18"/>
                <w:u w:val="single" w:color="auto"/>
                <w:color w:val="auto"/>
              </w:rPr>
              <w:t>020</w:t>
            </w:r>
          </w:p>
        </w:tc>
        <w:tc>
          <w:tcPr>
            <w:tcW w:w="138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5,102.</w:t>
            </w:r>
            <w:r>
              <w:rPr>
                <w:rFonts w:ascii="Arial" w:cs="Arial" w:eastAsia="Arial" w:hAnsi="Arial"/>
                <w:sz w:val="18"/>
                <w:szCs w:val="18"/>
                <w:u w:val="single" w:color="auto"/>
                <w:color w:val="auto"/>
              </w:rPr>
              <w:t>302</w:t>
            </w:r>
          </w:p>
        </w:tc>
        <w:tc>
          <w:tcPr>
            <w:tcW w:w="118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1,474.654</w:t>
            </w:r>
          </w:p>
        </w:tc>
      </w:tr>
      <w:tr>
        <w:trPr>
          <w:trHeight w:val="228"/>
        </w:trPr>
        <w:tc>
          <w:tcPr>
            <w:tcW w:w="248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rPr>
              <w:t>Cash and Checks</w:t>
            </w:r>
          </w:p>
        </w:tc>
        <w:tc>
          <w:tcPr>
            <w:tcW w:w="2100" w:type="dxa"/>
            <w:vAlign w:val="bottom"/>
            <w:gridSpan w:val="2"/>
          </w:tcPr>
          <w:p>
            <w:pPr>
              <w:spacing w:after="0"/>
              <w:rPr>
                <w:sz w:val="19"/>
                <w:szCs w:val="19"/>
                <w:color w:val="auto"/>
              </w:rPr>
            </w:pPr>
          </w:p>
        </w:tc>
        <w:tc>
          <w:tcPr>
            <w:tcW w:w="68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1,134.823</w:t>
            </w:r>
          </w:p>
        </w:tc>
        <w:tc>
          <w:tcPr>
            <w:tcW w:w="66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848.019</w:t>
            </w:r>
          </w:p>
        </w:tc>
        <w:tc>
          <w:tcPr>
            <w:tcW w:w="1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813.669</w:t>
            </w:r>
          </w:p>
        </w:tc>
        <w:tc>
          <w:tcPr>
            <w:tcW w:w="16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859.509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$248.413</w:t>
            </w:r>
          </w:p>
        </w:tc>
      </w:tr>
      <w:tr>
        <w:trPr>
          <w:trHeight w:val="216"/>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Deposits in Central Bank of Peru</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5,000.614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5,491.489</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3,418.227</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3,038.437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$878.161</w:t>
            </w:r>
          </w:p>
        </w:tc>
      </w:tr>
      <w:tr>
        <w:trPr>
          <w:trHeight w:val="222"/>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Deposits with local and foreign banks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1,518.236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896.724</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1,095.124</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1,204.356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$348.080</w:t>
            </w:r>
          </w:p>
        </w:tc>
      </w:tr>
      <w:tr>
        <w:trPr>
          <w:trHeight w:val="432"/>
        </w:trPr>
        <w:tc>
          <w:tcPr>
            <w:tcW w:w="4580" w:type="dxa"/>
            <w:vAlign w:val="bottom"/>
            <w:gridSpan w:val="6"/>
          </w:tcPr>
          <w:p>
            <w:pPr>
              <w:spacing w:after="0"/>
              <w:rPr>
                <w:sz w:val="20"/>
                <w:szCs w:val="20"/>
                <w:color w:val="auto"/>
              </w:rPr>
            </w:pPr>
            <w:r>
              <w:rPr>
                <w:rFonts w:ascii="Arial" w:cs="Arial" w:eastAsia="Arial" w:hAnsi="Arial"/>
                <w:sz w:val="18"/>
                <w:szCs w:val="18"/>
                <w:color w:val="auto"/>
              </w:rPr>
              <w:t>TRADING and AVAIL. for SALE SECURITIES,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68.229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47.981</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141.159</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181.784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$52.539</w:t>
            </w:r>
          </w:p>
        </w:tc>
      </w:tr>
      <w:tr>
        <w:trPr>
          <w:trHeight w:val="394"/>
        </w:trPr>
        <w:tc>
          <w:tcPr>
            <w:tcW w:w="600" w:type="dxa"/>
            <w:vAlign w:val="bottom"/>
          </w:tcPr>
          <w:p>
            <w:pPr>
              <w:spacing w:after="0"/>
              <w:rPr>
                <w:sz w:val="20"/>
                <w:szCs w:val="20"/>
                <w:color w:val="auto"/>
              </w:rPr>
            </w:pPr>
            <w:r>
              <w:rPr>
                <w:rFonts w:ascii="Arial" w:cs="Arial" w:eastAsia="Arial" w:hAnsi="Arial"/>
                <w:sz w:val="18"/>
                <w:szCs w:val="18"/>
                <w:color w:val="auto"/>
                <w:w w:val="94"/>
              </w:rPr>
              <w:t>LOANS</w:t>
            </w:r>
          </w:p>
        </w:tc>
        <w:tc>
          <w:tcPr>
            <w:tcW w:w="3980" w:type="dxa"/>
            <w:vAlign w:val="bottom"/>
            <w:gridSpan w:val="5"/>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16,419.</w:t>
            </w:r>
            <w:r>
              <w:rPr>
                <w:rFonts w:ascii="Arial" w:cs="Arial" w:eastAsia="Arial" w:hAnsi="Arial"/>
                <w:sz w:val="18"/>
                <w:szCs w:val="18"/>
                <w:u w:val="single" w:color="auto"/>
                <w:color w:val="auto"/>
              </w:rPr>
              <w:t>840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15,399.</w:t>
            </w:r>
            <w:r>
              <w:rPr>
                <w:rFonts w:ascii="Arial" w:cs="Arial" w:eastAsia="Arial" w:hAnsi="Arial"/>
                <w:sz w:val="18"/>
                <w:szCs w:val="18"/>
                <w:u w:val="single" w:color="auto"/>
                <w:color w:val="auto"/>
              </w:rPr>
              <w:t>179</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14,601.</w:t>
            </w:r>
            <w:r>
              <w:rPr>
                <w:rFonts w:ascii="Arial" w:cs="Arial" w:eastAsia="Arial" w:hAnsi="Arial"/>
                <w:sz w:val="18"/>
                <w:szCs w:val="18"/>
                <w:u w:val="single" w:color="auto"/>
                <w:color w:val="auto"/>
              </w:rPr>
              <w:t>653</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13,822.</w:t>
            </w:r>
            <w:r>
              <w:rPr>
                <w:rFonts w:ascii="Arial" w:cs="Arial" w:eastAsia="Arial" w:hAnsi="Arial"/>
                <w:sz w:val="18"/>
                <w:szCs w:val="18"/>
                <w:u w:val="single" w:color="auto"/>
                <w:color w:val="auto"/>
              </w:rPr>
              <w:t>611</w:t>
            </w:r>
          </w:p>
        </w:tc>
        <w:tc>
          <w:tcPr>
            <w:tcW w:w="11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3,994.974</w:t>
            </w: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8"/>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Current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15,014.627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14,076.721</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13,715.908</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12,992.044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$3,754.926</w:t>
            </w:r>
          </w:p>
        </w:tc>
      </w:tr>
      <w:tr>
        <w:trPr>
          <w:trHeight w:val="216"/>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Past Due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1,405.213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1,322.458</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885.745</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830.568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$240.049</w:t>
            </w:r>
          </w:p>
        </w:tc>
      </w:tr>
      <w:tr>
        <w:trPr>
          <w:trHeight w:val="216"/>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Less - Reserve for possible loan losses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(1,528.188)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(1,545.408)</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(1,175.647)</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(1,077.887)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($311.528)</w:t>
            </w:r>
          </w:p>
        </w:tc>
      </w:tr>
      <w:tr>
        <w:trPr>
          <w:trHeight w:val="184"/>
        </w:trPr>
        <w:tc>
          <w:tcPr>
            <w:tcW w:w="980" w:type="dxa"/>
            <w:vAlign w:val="bottom"/>
            <w:gridSpan w:val="2"/>
          </w:tcPr>
          <w:p>
            <w:pPr>
              <w:spacing w:after="0" w:line="184" w:lineRule="exact"/>
              <w:rPr>
                <w:sz w:val="20"/>
                <w:szCs w:val="20"/>
                <w:color w:val="auto"/>
              </w:rPr>
            </w:pPr>
            <w:r>
              <w:rPr>
                <w:rFonts w:ascii="Arial" w:cs="Arial" w:eastAsia="Arial" w:hAnsi="Arial"/>
                <w:sz w:val="18"/>
                <w:szCs w:val="18"/>
                <w:color w:val="auto"/>
                <w:w w:val="94"/>
              </w:rPr>
              <w:t>LOANS NET</w:t>
            </w:r>
          </w:p>
        </w:tc>
        <w:tc>
          <w:tcPr>
            <w:tcW w:w="3600" w:type="dxa"/>
            <w:vAlign w:val="bottom"/>
            <w:gridSpan w:val="4"/>
          </w:tcPr>
          <w:p>
            <w:pPr>
              <w:spacing w:after="0"/>
              <w:rPr>
                <w:sz w:val="15"/>
                <w:szCs w:val="15"/>
                <w:color w:val="auto"/>
              </w:rPr>
            </w:pP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14,891.</w:t>
            </w:r>
            <w:r>
              <w:rPr>
                <w:rFonts w:ascii="Arial" w:cs="Arial" w:eastAsia="Arial" w:hAnsi="Arial"/>
                <w:sz w:val="18"/>
                <w:szCs w:val="18"/>
                <w:u w:val="single" w:color="auto"/>
                <w:color w:val="auto"/>
              </w:rPr>
              <w:t>652</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13,853.</w:t>
            </w:r>
            <w:r>
              <w:rPr>
                <w:rFonts w:ascii="Arial" w:cs="Arial" w:eastAsia="Arial" w:hAnsi="Arial"/>
                <w:sz w:val="18"/>
                <w:szCs w:val="18"/>
                <w:u w:val="single" w:color="auto"/>
                <w:color w:val="auto"/>
              </w:rPr>
              <w:t>771</w:t>
            </w:r>
          </w:p>
        </w:tc>
        <w:tc>
          <w:tcPr>
            <w:tcW w:w="180" w:type="dxa"/>
            <w:vAlign w:val="bottom"/>
          </w:tcPr>
          <w:p>
            <w:pPr>
              <w:spacing w:after="0"/>
              <w:rPr>
                <w:sz w:val="15"/>
                <w:szCs w:val="15"/>
                <w:color w:val="auto"/>
              </w:rPr>
            </w:pPr>
          </w:p>
        </w:tc>
        <w:tc>
          <w:tcPr>
            <w:tcW w:w="1360" w:type="dxa"/>
            <w:vAlign w:val="bottom"/>
            <w:gridSpan w:val="4"/>
          </w:tcPr>
          <w:p>
            <w:pPr>
              <w:jc w:val="right"/>
              <w:ind w:right="160"/>
              <w:spacing w:after="0" w:line="184" w:lineRule="exact"/>
              <w:rPr>
                <w:sz w:val="20"/>
                <w:szCs w:val="20"/>
                <w:color w:val="auto"/>
              </w:rPr>
            </w:pPr>
            <w:r>
              <w:rPr>
                <w:rFonts w:ascii="Arial" w:cs="Arial" w:eastAsia="Arial" w:hAnsi="Arial"/>
                <w:sz w:val="18"/>
                <w:szCs w:val="18"/>
                <w:color w:val="auto"/>
              </w:rPr>
              <w:t>13,426.</w:t>
            </w:r>
            <w:r>
              <w:rPr>
                <w:rFonts w:ascii="Arial" w:cs="Arial" w:eastAsia="Arial" w:hAnsi="Arial"/>
                <w:sz w:val="18"/>
                <w:szCs w:val="18"/>
                <w:u w:val="single" w:color="auto"/>
                <w:color w:val="auto"/>
              </w:rPr>
              <w:t>006</w:t>
            </w:r>
          </w:p>
        </w:tc>
        <w:tc>
          <w:tcPr>
            <w:tcW w:w="138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12,744.</w:t>
            </w:r>
            <w:r>
              <w:rPr>
                <w:rFonts w:ascii="Arial" w:cs="Arial" w:eastAsia="Arial" w:hAnsi="Arial"/>
                <w:sz w:val="18"/>
                <w:szCs w:val="18"/>
                <w:u w:val="single" w:color="auto"/>
                <w:color w:val="auto"/>
              </w:rPr>
              <w:t>724</w:t>
            </w:r>
          </w:p>
        </w:tc>
        <w:tc>
          <w:tcPr>
            <w:tcW w:w="118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3,683.446</w:t>
            </w: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444"/>
        </w:trPr>
        <w:tc>
          <w:tcPr>
            <w:tcW w:w="4580" w:type="dxa"/>
            <w:vAlign w:val="bottom"/>
            <w:gridSpan w:val="6"/>
          </w:tcPr>
          <w:p>
            <w:pPr>
              <w:spacing w:after="0"/>
              <w:rPr>
                <w:sz w:val="20"/>
                <w:szCs w:val="20"/>
                <w:color w:val="auto"/>
              </w:rPr>
            </w:pPr>
            <w:r>
              <w:rPr>
                <w:rFonts w:ascii="Arial" w:cs="Arial" w:eastAsia="Arial" w:hAnsi="Arial"/>
                <w:sz w:val="18"/>
                <w:szCs w:val="18"/>
                <w:color w:val="auto"/>
              </w:rPr>
              <w:t>INVESTMENT SECURITIES, PERMANENT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2,401.834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2,676.671</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3,102.749</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3,410.671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$985.743</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817.384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794.094</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752.164</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716.727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$207.147</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OTHER ASSETS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934.254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1,138.425</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1,059.233</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759.416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$219.484</w:t>
            </w:r>
          </w:p>
        </w:tc>
      </w:tr>
      <w:tr>
        <w:trPr>
          <w:trHeight w:val="432"/>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4"/>
              </w:rPr>
              <w:t>TOTAL ASSETS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26,767.026</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25,747.174</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23,808.331</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22,915.624</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$6,623.013</w:t>
            </w:r>
          </w:p>
        </w:tc>
      </w:tr>
      <w:tr>
        <w:trPr>
          <w:trHeight w:val="426"/>
        </w:trPr>
        <w:tc>
          <w:tcPr>
            <w:tcW w:w="4580" w:type="dxa"/>
            <w:vAlign w:val="bottom"/>
            <w:gridSpan w:val="6"/>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4"/>
        </w:trPr>
        <w:tc>
          <w:tcPr>
            <w:tcW w:w="4580" w:type="dxa"/>
            <w:vAlign w:val="bottom"/>
            <w:gridSpan w:val="6"/>
          </w:tcPr>
          <w:p>
            <w:pPr>
              <w:spacing w:after="0" w:line="184" w:lineRule="exact"/>
              <w:rPr>
                <w:sz w:val="20"/>
                <w:szCs w:val="20"/>
                <w:color w:val="auto"/>
              </w:rPr>
            </w:pPr>
            <w:r>
              <w:rPr>
                <w:rFonts w:ascii="Arial" w:cs="Arial" w:eastAsia="Arial" w:hAnsi="Arial"/>
                <w:sz w:val="18"/>
                <w:szCs w:val="18"/>
                <w:color w:val="auto"/>
              </w:rPr>
              <w:t>DEPOSITS AND OBLIGATIONS:</w:t>
            </w: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22,870.</w:t>
            </w:r>
            <w:r>
              <w:rPr>
                <w:rFonts w:ascii="Arial" w:cs="Arial" w:eastAsia="Arial" w:hAnsi="Arial"/>
                <w:sz w:val="18"/>
                <w:szCs w:val="18"/>
                <w:u w:val="single" w:color="auto"/>
                <w:color w:val="auto"/>
              </w:rPr>
              <w:t>236</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21,915.</w:t>
            </w:r>
            <w:r>
              <w:rPr>
                <w:rFonts w:ascii="Arial" w:cs="Arial" w:eastAsia="Arial" w:hAnsi="Arial"/>
                <w:sz w:val="18"/>
                <w:szCs w:val="18"/>
                <w:u w:val="single" w:color="auto"/>
                <w:color w:val="auto"/>
              </w:rPr>
              <w:t>360</w:t>
            </w:r>
          </w:p>
        </w:tc>
        <w:tc>
          <w:tcPr>
            <w:tcW w:w="180" w:type="dxa"/>
            <w:vAlign w:val="bottom"/>
          </w:tcPr>
          <w:p>
            <w:pPr>
              <w:spacing w:after="0"/>
              <w:rPr>
                <w:sz w:val="15"/>
                <w:szCs w:val="15"/>
                <w:color w:val="auto"/>
              </w:rPr>
            </w:pPr>
          </w:p>
        </w:tc>
        <w:tc>
          <w:tcPr>
            <w:tcW w:w="1360" w:type="dxa"/>
            <w:vAlign w:val="bottom"/>
            <w:gridSpan w:val="4"/>
          </w:tcPr>
          <w:p>
            <w:pPr>
              <w:jc w:val="right"/>
              <w:ind w:right="160"/>
              <w:spacing w:after="0" w:line="184" w:lineRule="exact"/>
              <w:rPr>
                <w:sz w:val="20"/>
                <w:szCs w:val="20"/>
                <w:color w:val="auto"/>
              </w:rPr>
            </w:pPr>
            <w:r>
              <w:rPr>
                <w:rFonts w:ascii="Arial" w:cs="Arial" w:eastAsia="Arial" w:hAnsi="Arial"/>
                <w:sz w:val="18"/>
                <w:szCs w:val="18"/>
                <w:color w:val="auto"/>
              </w:rPr>
              <w:t>20,106.</w:t>
            </w:r>
            <w:r>
              <w:rPr>
                <w:rFonts w:ascii="Arial" w:cs="Arial" w:eastAsia="Arial" w:hAnsi="Arial"/>
                <w:sz w:val="18"/>
                <w:szCs w:val="18"/>
                <w:u w:val="single" w:color="auto"/>
                <w:color w:val="auto"/>
              </w:rPr>
              <w:t>972</w:t>
            </w:r>
          </w:p>
        </w:tc>
        <w:tc>
          <w:tcPr>
            <w:tcW w:w="138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19,468.</w:t>
            </w:r>
            <w:r>
              <w:rPr>
                <w:rFonts w:ascii="Arial" w:cs="Arial" w:eastAsia="Arial" w:hAnsi="Arial"/>
                <w:sz w:val="18"/>
                <w:szCs w:val="18"/>
                <w:u w:val="single" w:color="auto"/>
                <w:color w:val="auto"/>
              </w:rPr>
              <w:t>277</w:t>
            </w:r>
          </w:p>
        </w:tc>
        <w:tc>
          <w:tcPr>
            <w:tcW w:w="118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5,626.670</w:t>
            </w:r>
          </w:p>
        </w:tc>
      </w:tr>
      <w:tr>
        <w:trPr>
          <w:trHeight w:val="228"/>
        </w:trPr>
        <w:tc>
          <w:tcPr>
            <w:tcW w:w="2500" w:type="dxa"/>
            <w:vAlign w:val="bottom"/>
            <w:tcBorders>
              <w:top w:val="single" w:sz="8" w:color="auto"/>
            </w:tcBorders>
            <w:gridSpan w:val="5"/>
          </w:tcPr>
          <w:p>
            <w:pPr>
              <w:ind w:left="140"/>
              <w:spacing w:after="0"/>
              <w:rPr>
                <w:sz w:val="20"/>
                <w:szCs w:val="20"/>
                <w:color w:val="auto"/>
              </w:rPr>
            </w:pPr>
            <w:r>
              <w:rPr>
                <w:rFonts w:ascii="Arial" w:cs="Arial" w:eastAsia="Arial" w:hAnsi="Arial"/>
                <w:sz w:val="18"/>
                <w:szCs w:val="18"/>
                <w:color w:val="auto"/>
              </w:rPr>
              <w:t>Demand deposits</w:t>
            </w:r>
          </w:p>
        </w:tc>
        <w:tc>
          <w:tcPr>
            <w:tcW w:w="2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5,138.683</w:t>
            </w:r>
          </w:p>
        </w:tc>
        <w:tc>
          <w:tcPr>
            <w:tcW w:w="58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4,855.787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4,954.789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5,736.714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$1,658.010</w:t>
            </w:r>
          </w:p>
        </w:tc>
      </w:tr>
      <w:tr>
        <w:trPr>
          <w:trHeight w:val="216"/>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Saving accounts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6,142.171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5,745.151</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5,446.573</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4,963.960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$1,434.671</w:t>
            </w:r>
          </w:p>
        </w:tc>
      </w:tr>
      <w:tr>
        <w:trPr>
          <w:trHeight w:val="222"/>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Time deposits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11,589.382</w:t>
            </w: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11,314.422</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9,705.610</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8,767.603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$2,533.989</w:t>
            </w:r>
          </w:p>
        </w:tc>
      </w:tr>
      <w:tr>
        <w:trPr>
          <w:trHeight w:val="426"/>
        </w:trPr>
        <w:tc>
          <w:tcPr>
            <w:tcW w:w="4580" w:type="dxa"/>
            <w:vAlign w:val="bottom"/>
            <w:gridSpan w:val="6"/>
          </w:tcPr>
          <w:p>
            <w:pPr>
              <w:spacing w:after="0"/>
              <w:rPr>
                <w:sz w:val="20"/>
                <w:szCs w:val="20"/>
                <w:color w:val="auto"/>
              </w:rPr>
            </w:pPr>
            <w:r>
              <w:rPr>
                <w:rFonts w:ascii="Arial" w:cs="Arial" w:eastAsia="Arial" w:hAnsi="Arial"/>
                <w:sz w:val="18"/>
                <w:szCs w:val="18"/>
                <w:color w:val="auto"/>
              </w:rPr>
              <w:t>DUE TO BANKS AND CORRESPONDENTS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582.432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530.377</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364.673</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306.205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$88.499</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OTHER LIABILITIES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1,221.968</w:t>
            </w: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1,311.172</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1,039.347</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1,017.182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$293.983</w:t>
            </w:r>
          </w:p>
        </w:tc>
      </w:tr>
      <w:tr>
        <w:trPr>
          <w:trHeight w:val="394"/>
        </w:trPr>
        <w:tc>
          <w:tcPr>
            <w:tcW w:w="4580" w:type="dxa"/>
            <w:vAlign w:val="bottom"/>
            <w:gridSpan w:val="6"/>
          </w:tcPr>
          <w:p>
            <w:pPr>
              <w:spacing w:after="0"/>
              <w:rPr>
                <w:sz w:val="20"/>
                <w:szCs w:val="20"/>
                <w:color w:val="auto"/>
              </w:rPr>
            </w:pPr>
            <w:r>
              <w:rPr>
                <w:rFonts w:ascii="Arial" w:cs="Arial" w:eastAsia="Arial" w:hAnsi="Arial"/>
                <w:sz w:val="18"/>
                <w:szCs w:val="18"/>
                <w:color w:val="auto"/>
              </w:rPr>
              <w:t>SHAREHOLDERS EQUITY: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2,092.</w:t>
            </w:r>
            <w:r>
              <w:rPr>
                <w:rFonts w:ascii="Arial" w:cs="Arial" w:eastAsia="Arial" w:hAnsi="Arial"/>
                <w:sz w:val="18"/>
                <w:szCs w:val="18"/>
                <w:u w:val="single" w:color="auto"/>
                <w:color w:val="auto"/>
              </w:rPr>
              <w:t>390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1,990.</w:t>
            </w:r>
            <w:r>
              <w:rPr>
                <w:rFonts w:ascii="Arial" w:cs="Arial" w:eastAsia="Arial" w:hAnsi="Arial"/>
                <w:sz w:val="18"/>
                <w:szCs w:val="18"/>
                <w:u w:val="single" w:color="auto"/>
                <w:color w:val="auto"/>
              </w:rPr>
              <w:t>267</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2,297.</w:t>
            </w:r>
            <w:r>
              <w:rPr>
                <w:rFonts w:ascii="Arial" w:cs="Arial" w:eastAsia="Arial" w:hAnsi="Arial"/>
                <w:sz w:val="18"/>
                <w:szCs w:val="18"/>
                <w:u w:val="single" w:color="auto"/>
                <w:color w:val="auto"/>
              </w:rPr>
              <w:t>339</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2,123.</w:t>
            </w:r>
            <w:r>
              <w:rPr>
                <w:rFonts w:ascii="Arial" w:cs="Arial" w:eastAsia="Arial" w:hAnsi="Arial"/>
                <w:sz w:val="18"/>
                <w:szCs w:val="18"/>
                <w:u w:val="single" w:color="auto"/>
                <w:color w:val="auto"/>
              </w:rPr>
              <w:t>961</w:t>
            </w:r>
          </w:p>
        </w:tc>
        <w:tc>
          <w:tcPr>
            <w:tcW w:w="11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613.862</w:t>
            </w:r>
          </w:p>
        </w:tc>
      </w:tr>
      <w:tr>
        <w:trPr>
          <w:trHeight w:val="20"/>
        </w:trPr>
        <w:tc>
          <w:tcPr>
            <w:tcW w:w="2120" w:type="dxa"/>
            <w:vAlign w:val="bottom"/>
            <w:gridSpan w:val="3"/>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8"/>
        </w:trPr>
        <w:tc>
          <w:tcPr>
            <w:tcW w:w="2120" w:type="dxa"/>
            <w:vAlign w:val="bottom"/>
            <w:gridSpan w:val="3"/>
          </w:tcPr>
          <w:p>
            <w:pPr>
              <w:ind w:left="140"/>
              <w:spacing w:after="0"/>
              <w:rPr>
                <w:sz w:val="20"/>
                <w:szCs w:val="20"/>
                <w:color w:val="auto"/>
              </w:rPr>
            </w:pPr>
            <w:r>
              <w:rPr>
                <w:rFonts w:ascii="Arial" w:cs="Arial" w:eastAsia="Arial" w:hAnsi="Arial"/>
                <w:sz w:val="18"/>
                <w:szCs w:val="18"/>
                <w:color w:val="auto"/>
              </w:rPr>
              <w:t>Capital stock</w:t>
            </w:r>
          </w:p>
        </w:tc>
        <w:tc>
          <w:tcPr>
            <w:tcW w:w="2460" w:type="dxa"/>
            <w:vAlign w:val="bottom"/>
            <w:gridSpan w:val="3"/>
          </w:tcPr>
          <w:p>
            <w:pPr>
              <w:spacing w:after="0"/>
              <w:rPr>
                <w:sz w:val="19"/>
                <w:szCs w:val="19"/>
                <w:color w:val="auto"/>
              </w:rPr>
            </w:pPr>
          </w:p>
        </w:tc>
        <w:tc>
          <w:tcPr>
            <w:tcW w:w="68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1,148.316</w:t>
            </w:r>
          </w:p>
        </w:tc>
        <w:tc>
          <w:tcPr>
            <w:tcW w:w="66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1,259.353</w:t>
            </w:r>
          </w:p>
        </w:tc>
        <w:tc>
          <w:tcPr>
            <w:tcW w:w="1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1,260.773</w:t>
            </w:r>
          </w:p>
        </w:tc>
        <w:tc>
          <w:tcPr>
            <w:tcW w:w="160" w:type="dxa"/>
            <w:vAlign w:val="bottom"/>
          </w:tcPr>
          <w:p>
            <w:pPr>
              <w:spacing w:after="0"/>
              <w:rPr>
                <w:sz w:val="19"/>
                <w:szCs w:val="19"/>
                <w:color w:val="auto"/>
              </w:rPr>
            </w:pP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1,260.773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$364.385</w:t>
            </w:r>
          </w:p>
        </w:tc>
      </w:tr>
      <w:tr>
        <w:trPr>
          <w:trHeight w:val="216"/>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Legal reserve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679.267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717.108</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717.917</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789.356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$228.138</w:t>
            </w:r>
          </w:p>
        </w:tc>
      </w:tr>
      <w:tr>
        <w:trPr>
          <w:trHeight w:val="222"/>
        </w:trPr>
        <w:tc>
          <w:tcPr>
            <w:tcW w:w="4580" w:type="dxa"/>
            <w:vAlign w:val="bottom"/>
            <w:gridSpan w:val="6"/>
          </w:tcPr>
          <w:p>
            <w:pPr>
              <w:ind w:left="140"/>
              <w:spacing w:after="0"/>
              <w:rPr>
                <w:sz w:val="20"/>
                <w:szCs w:val="20"/>
                <w:color w:val="auto"/>
              </w:rPr>
            </w:pPr>
            <w:r>
              <w:rPr>
                <w:rFonts w:ascii="Arial" w:cs="Arial" w:eastAsia="Arial" w:hAnsi="Arial"/>
                <w:sz w:val="18"/>
                <w:szCs w:val="18"/>
                <w:color w:val="auto"/>
              </w:rPr>
              <w:t>Retained earnings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264.807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13.806</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318.649</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color w:val="auto"/>
              </w:rPr>
              <w:t>73.832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$21.339</w:t>
            </w:r>
          </w:p>
        </w:tc>
      </w:tr>
      <w:tr>
        <w:trPr>
          <w:trHeight w:val="432"/>
        </w:trPr>
        <w:tc>
          <w:tcPr>
            <w:tcW w:w="600" w:type="dxa"/>
            <w:vAlign w:val="bottom"/>
          </w:tcPr>
          <w:p>
            <w:pPr>
              <w:spacing w:after="0"/>
              <w:rPr>
                <w:sz w:val="24"/>
                <w:szCs w:val="24"/>
                <w:color w:val="auto"/>
              </w:rPr>
            </w:pPr>
          </w:p>
        </w:tc>
        <w:tc>
          <w:tcPr>
            <w:tcW w:w="398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rPr>
              <w:t>TOTAL LIABILITIES AND EQUITY</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26,767.026</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25,747.176</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23,808.331</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22,915.625</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$6,623.013</w:t>
            </w:r>
          </w:p>
        </w:tc>
      </w:tr>
      <w:tr>
        <w:trPr>
          <w:trHeight w:val="420"/>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Contingent Credits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5,733.039</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5,117.379</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5,983.685</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5,715.054</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$1,651.750</w:t>
            </w: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Funds under management</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2,936.085</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3,156.388</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3,682.615</w:t>
            </w:r>
          </w:p>
        </w:tc>
        <w:tc>
          <w:tcPr>
            <w:tcW w:w="13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3,628.327</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$1,048.649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-5302250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59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Translated at S/.3.460 per US$1.00.</w:t>
      </w:r>
    </w:p>
    <w:p>
      <w:pPr>
        <w:sectPr>
          <w:pgSz w:w="11900" w:h="16838" w:orient="portrait"/>
          <w:cols w:equalWidth="0" w:num="1">
            <w:col w:w="11420"/>
          </w:cols>
          <w:pgMar w:left="240" w:top="131" w:right="239" w:bottom="1440" w:gutter="0" w:footer="0" w:header="0"/>
        </w:sectPr>
      </w:pPr>
    </w:p>
    <w:bookmarkStart w:id="16" w:name="page17"/>
    <w:bookmarkEnd w:id="16"/>
    <w:p>
      <w:pPr>
        <w:jc w:val="center"/>
        <w:ind w:right="-11"/>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5</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(Constant Nuevos Soles, as of March 31, 2004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2503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2"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10"/>
          </w:tcPr>
          <w:p>
            <w:pPr>
              <w:ind w:left="94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31.03.03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31.12.03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31.03.04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31.03.04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4540" w:type="dxa"/>
            <w:vAlign w:val="bottom"/>
            <w:gridSpan w:val="5"/>
          </w:tcPr>
          <w:p>
            <w:pPr>
              <w:spacing w:after="0"/>
              <w:rPr>
                <w:sz w:val="20"/>
                <w:szCs w:val="20"/>
                <w:color w:val="auto"/>
              </w:rPr>
            </w:pPr>
            <w:r>
              <w:rPr>
                <w:rFonts w:ascii="Arial" w:cs="Arial" w:eastAsia="Arial" w:hAnsi="Arial"/>
                <w:sz w:val="18"/>
                <w:szCs w:val="18"/>
                <w:b w:val="1"/>
                <w:bCs w:val="1"/>
                <w:color w:val="auto"/>
              </w:rPr>
              <w:t>Interest income and expense</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US$000(1)</w:t>
            </w: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430.769</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394.634</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368.309</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$106.448</w:t>
            </w:r>
          </w:p>
        </w:tc>
        <w:tc>
          <w:tcPr>
            <w:tcW w:w="0" w:type="dxa"/>
            <w:vAlign w:val="bottom"/>
          </w:tcPr>
          <w:p>
            <w:pPr>
              <w:spacing w:after="0"/>
              <w:rPr>
                <w:sz w:val="1"/>
                <w:szCs w:val="1"/>
                <w:color w:val="auto"/>
              </w:rPr>
            </w:pPr>
          </w:p>
        </w:tc>
      </w:tr>
      <w:tr>
        <w:trPr>
          <w:trHeight w:val="205"/>
        </w:trPr>
        <w:tc>
          <w:tcPr>
            <w:tcW w:w="4540" w:type="dxa"/>
            <w:vAlign w:val="bottom"/>
            <w:gridSpan w:val="5"/>
          </w:tcPr>
          <w:p>
            <w:pPr>
              <w:spacing w:after="0" w:line="205" w:lineRule="exact"/>
              <w:rPr>
                <w:sz w:val="20"/>
                <w:szCs w:val="20"/>
                <w:color w:val="auto"/>
              </w:rPr>
            </w:pPr>
            <w:r>
              <w:rPr>
                <w:rFonts w:ascii="Arial" w:cs="Arial" w:eastAsia="Arial" w:hAnsi="Arial"/>
                <w:sz w:val="18"/>
                <w:szCs w:val="18"/>
                <w:color w:val="auto"/>
              </w:rPr>
              <w:t>Less - Interest expense</w:t>
            </w:r>
          </w:p>
        </w:tc>
        <w:tc>
          <w:tcPr>
            <w:tcW w:w="1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136.</w:t>
            </w:r>
            <w:r>
              <w:rPr>
                <w:rFonts w:ascii="Arial" w:cs="Arial" w:eastAsia="Arial" w:hAnsi="Arial"/>
                <w:sz w:val="18"/>
                <w:szCs w:val="18"/>
                <w:u w:val="single" w:color="auto"/>
                <w:color w:val="auto"/>
              </w:rPr>
              <w:t>558</w:t>
            </w:r>
          </w:p>
        </w:tc>
        <w:tc>
          <w:tcPr>
            <w:tcW w:w="20" w:type="dxa"/>
            <w:vAlign w:val="bottom"/>
          </w:tcPr>
          <w:p>
            <w:pPr>
              <w:spacing w:after="0"/>
              <w:rPr>
                <w:sz w:val="17"/>
                <w:szCs w:val="17"/>
                <w:color w:val="auto"/>
              </w:rPr>
            </w:pPr>
          </w:p>
        </w:tc>
        <w:tc>
          <w:tcPr>
            <w:tcW w:w="172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776</w:t>
            </w:r>
          </w:p>
        </w:tc>
        <w:tc>
          <w:tcPr>
            <w:tcW w:w="17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105.</w:t>
            </w:r>
            <w:r>
              <w:rPr>
                <w:rFonts w:ascii="Arial" w:cs="Arial" w:eastAsia="Arial" w:hAnsi="Arial"/>
                <w:sz w:val="18"/>
                <w:szCs w:val="18"/>
                <w:u w:val="single" w:color="auto"/>
                <w:color w:val="auto"/>
              </w:rPr>
              <w:t>929</w:t>
            </w:r>
          </w:p>
        </w:tc>
        <w:tc>
          <w:tcPr>
            <w:tcW w:w="20" w:type="dxa"/>
            <w:vAlign w:val="bottom"/>
          </w:tcPr>
          <w:p>
            <w:pPr>
              <w:spacing w:after="0"/>
              <w:rPr>
                <w:sz w:val="17"/>
                <w:szCs w:val="17"/>
                <w:color w:val="auto"/>
              </w:rPr>
            </w:pPr>
          </w:p>
        </w:tc>
        <w:tc>
          <w:tcPr>
            <w:tcW w:w="1680" w:type="dxa"/>
            <w:vAlign w:val="bottom"/>
            <w:gridSpan w:val="3"/>
          </w:tcPr>
          <w:p>
            <w:pPr>
              <w:jc w:val="right"/>
              <w:spacing w:after="0" w:line="205"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Net interest income</w:t>
            </w:r>
          </w:p>
        </w:tc>
        <w:tc>
          <w:tcPr>
            <w:tcW w:w="1600" w:type="dxa"/>
            <w:vAlign w:val="bottom"/>
            <w:gridSpan w:val="2"/>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294.</w:t>
            </w:r>
            <w:r>
              <w:rPr>
                <w:rFonts w:ascii="Arial" w:cs="Arial" w:eastAsia="Arial" w:hAnsi="Arial"/>
                <w:sz w:val="18"/>
                <w:szCs w:val="18"/>
                <w:u w:val="single" w:color="auto"/>
                <w:color w:val="auto"/>
              </w:rPr>
              <w:t>211</w:t>
            </w:r>
          </w:p>
        </w:tc>
        <w:tc>
          <w:tcPr>
            <w:tcW w:w="20" w:type="dxa"/>
            <w:vAlign w:val="bottom"/>
          </w:tcPr>
          <w:p>
            <w:pPr>
              <w:spacing w:after="0"/>
              <w:rPr>
                <w:sz w:val="19"/>
                <w:szCs w:val="19"/>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293.</w:t>
            </w:r>
            <w:r>
              <w:rPr>
                <w:rFonts w:ascii="Arial" w:cs="Arial" w:eastAsia="Arial" w:hAnsi="Arial"/>
                <w:sz w:val="18"/>
                <w:szCs w:val="18"/>
                <w:u w:val="single" w:color="auto"/>
                <w:color w:val="auto"/>
              </w:rPr>
              <w:t>858</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262.</w:t>
            </w:r>
            <w:r>
              <w:rPr>
                <w:rFonts w:ascii="Arial" w:cs="Arial" w:eastAsia="Arial" w:hAnsi="Arial"/>
                <w:sz w:val="18"/>
                <w:szCs w:val="18"/>
                <w:u w:val="single" w:color="auto"/>
                <w:color w:val="auto"/>
              </w:rPr>
              <w:t>380</w:t>
            </w:r>
          </w:p>
        </w:tc>
        <w:tc>
          <w:tcPr>
            <w:tcW w:w="2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75.832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540" w:type="dxa"/>
            <w:vAlign w:val="bottom"/>
            <w:gridSpan w:val="5"/>
          </w:tcPr>
          <w:p>
            <w:pPr>
              <w:spacing w:after="0"/>
              <w:rPr>
                <w:sz w:val="20"/>
                <w:szCs w:val="20"/>
                <w:color w:val="auto"/>
              </w:rPr>
            </w:pPr>
            <w:r>
              <w:rPr>
                <w:rFonts w:ascii="Arial" w:cs="Arial" w:eastAsia="Arial" w:hAnsi="Arial"/>
                <w:sz w:val="18"/>
                <w:szCs w:val="18"/>
                <w:color w:val="auto"/>
              </w:rPr>
              <w:t>Provisions for possible loan losses, net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120.402</w:t>
            </w:r>
          </w:p>
        </w:tc>
        <w:tc>
          <w:tcPr>
            <w:tcW w:w="20" w:type="dxa"/>
            <w:vAlign w:val="bottom"/>
          </w:tcPr>
          <w:p>
            <w:pPr>
              <w:spacing w:after="0"/>
              <w:rPr>
                <w:sz w:val="24"/>
                <w:szCs w:val="24"/>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47.399</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47.144</w:t>
            </w:r>
          </w:p>
        </w:tc>
        <w:tc>
          <w:tcPr>
            <w:tcW w:w="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$13.625</w:t>
            </w:r>
          </w:p>
        </w:tc>
        <w:tc>
          <w:tcPr>
            <w:tcW w:w="0" w:type="dxa"/>
            <w:vAlign w:val="bottom"/>
          </w:tcPr>
          <w:p>
            <w:pPr>
              <w:spacing w:after="0"/>
              <w:rPr>
                <w:sz w:val="1"/>
                <w:szCs w:val="1"/>
                <w:color w:val="auto"/>
              </w:rPr>
            </w:pPr>
          </w:p>
        </w:tc>
      </w:tr>
      <w:tr>
        <w:trPr>
          <w:trHeight w:val="448"/>
        </w:trPr>
        <w:tc>
          <w:tcPr>
            <w:tcW w:w="1000" w:type="dxa"/>
            <w:vAlign w:val="bottom"/>
          </w:tcPr>
          <w:p>
            <w:pPr>
              <w:spacing w:after="0"/>
              <w:rPr>
                <w:sz w:val="24"/>
                <w:szCs w:val="24"/>
                <w:color w:val="auto"/>
              </w:rPr>
            </w:pPr>
          </w:p>
        </w:tc>
        <w:tc>
          <w:tcPr>
            <w:tcW w:w="3540" w:type="dxa"/>
            <w:vAlign w:val="bottom"/>
            <w:gridSpan w:val="4"/>
          </w:tcPr>
          <w:p>
            <w:pPr>
              <w:jc w:val="center"/>
              <w:ind w:right="1040"/>
              <w:spacing w:after="0"/>
              <w:rPr>
                <w:sz w:val="20"/>
                <w:szCs w:val="20"/>
                <w:color w:val="auto"/>
              </w:rPr>
            </w:pPr>
            <w:r>
              <w:rPr>
                <w:rFonts w:ascii="Arial" w:cs="Arial" w:eastAsia="Arial" w:hAnsi="Arial"/>
                <w:sz w:val="18"/>
                <w:szCs w:val="18"/>
                <w:color w:val="auto"/>
                <w:w w:val="88"/>
              </w:rPr>
              <w:t>Net interest income after provisions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173.</w:t>
            </w:r>
            <w:r>
              <w:rPr>
                <w:rFonts w:ascii="Arial" w:cs="Arial" w:eastAsia="Arial" w:hAnsi="Arial"/>
                <w:sz w:val="18"/>
                <w:szCs w:val="18"/>
                <w:u w:val="single" w:color="auto"/>
                <w:color w:val="auto"/>
              </w:rPr>
              <w:t>809</w:t>
            </w:r>
          </w:p>
        </w:tc>
        <w:tc>
          <w:tcPr>
            <w:tcW w:w="20" w:type="dxa"/>
            <w:vAlign w:val="bottom"/>
          </w:tcPr>
          <w:p>
            <w:pPr>
              <w:spacing w:after="0"/>
              <w:rPr>
                <w:sz w:val="24"/>
                <w:szCs w:val="24"/>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246.</w:t>
            </w:r>
            <w:r>
              <w:rPr>
                <w:rFonts w:ascii="Arial" w:cs="Arial" w:eastAsia="Arial" w:hAnsi="Arial"/>
                <w:sz w:val="18"/>
                <w:szCs w:val="18"/>
                <w:u w:val="single" w:color="auto"/>
                <w:color w:val="auto"/>
              </w:rPr>
              <w:t>459</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215.</w:t>
            </w:r>
            <w:r>
              <w:rPr>
                <w:rFonts w:ascii="Arial" w:cs="Arial" w:eastAsia="Arial" w:hAnsi="Arial"/>
                <w:sz w:val="18"/>
                <w:szCs w:val="18"/>
                <w:u w:val="single" w:color="auto"/>
                <w:color w:val="auto"/>
              </w:rPr>
              <w:t>236</w:t>
            </w:r>
          </w:p>
        </w:tc>
        <w:tc>
          <w:tcPr>
            <w:tcW w:w="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62.207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00" w:type="dxa"/>
            <w:vAlign w:val="bottom"/>
            <w:gridSpan w:val="3"/>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540" w:type="dxa"/>
            <w:vAlign w:val="bottom"/>
            <w:gridSpan w:val="5"/>
          </w:tcPr>
          <w:p>
            <w:pPr>
              <w:spacing w:after="0"/>
              <w:rPr>
                <w:sz w:val="20"/>
                <w:szCs w:val="20"/>
                <w:color w:val="auto"/>
              </w:rPr>
            </w:pPr>
            <w:r>
              <w:rPr>
                <w:rFonts w:ascii="Arial" w:cs="Arial" w:eastAsia="Arial" w:hAnsi="Arial"/>
                <w:sz w:val="18"/>
                <w:szCs w:val="18"/>
                <w:b w:val="1"/>
                <w:bCs w:val="1"/>
                <w:color w:val="auto"/>
              </w:rPr>
              <w:t>Other Income</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Fees and commissions from services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161.719</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167.750</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157.477</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$45.514</w:t>
            </w: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Net gains from sales of securities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4.674</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(0.259)</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9.807</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Net gains on foreing exchg. transacts.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22.178</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19.119</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18.816</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5"/>
        </w:trPr>
        <w:tc>
          <w:tcPr>
            <w:tcW w:w="4540" w:type="dxa"/>
            <w:vAlign w:val="bottom"/>
            <w:gridSpan w:val="5"/>
          </w:tcPr>
          <w:p>
            <w:pPr>
              <w:spacing w:after="0" w:line="205" w:lineRule="exact"/>
              <w:rPr>
                <w:sz w:val="20"/>
                <w:szCs w:val="20"/>
                <w:color w:val="auto"/>
              </w:rPr>
            </w:pPr>
            <w:r>
              <w:rPr>
                <w:rFonts w:ascii="Arial" w:cs="Arial" w:eastAsia="Arial" w:hAnsi="Arial"/>
                <w:sz w:val="18"/>
                <w:szCs w:val="18"/>
                <w:color w:val="auto"/>
              </w:rPr>
              <w:t>Other income</w:t>
            </w:r>
          </w:p>
        </w:tc>
        <w:tc>
          <w:tcPr>
            <w:tcW w:w="1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70.</w:t>
            </w:r>
            <w:r>
              <w:rPr>
                <w:rFonts w:ascii="Arial" w:cs="Arial" w:eastAsia="Arial" w:hAnsi="Arial"/>
                <w:sz w:val="18"/>
                <w:szCs w:val="18"/>
                <w:u w:val="single" w:color="auto"/>
                <w:color w:val="auto"/>
              </w:rPr>
              <w:t>197</w:t>
            </w:r>
          </w:p>
        </w:tc>
        <w:tc>
          <w:tcPr>
            <w:tcW w:w="20" w:type="dxa"/>
            <w:vAlign w:val="bottom"/>
          </w:tcPr>
          <w:p>
            <w:pPr>
              <w:spacing w:after="0"/>
              <w:rPr>
                <w:sz w:val="17"/>
                <w:szCs w:val="17"/>
                <w:color w:val="auto"/>
              </w:rPr>
            </w:pPr>
          </w:p>
        </w:tc>
        <w:tc>
          <w:tcPr>
            <w:tcW w:w="172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936</w:t>
            </w:r>
          </w:p>
        </w:tc>
        <w:tc>
          <w:tcPr>
            <w:tcW w:w="17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36.</w:t>
            </w:r>
            <w:r>
              <w:rPr>
                <w:rFonts w:ascii="Arial" w:cs="Arial" w:eastAsia="Arial" w:hAnsi="Arial"/>
                <w:sz w:val="18"/>
                <w:szCs w:val="18"/>
                <w:u w:val="single" w:color="auto"/>
                <w:color w:val="auto"/>
              </w:rPr>
              <w:t>289</w:t>
            </w:r>
          </w:p>
        </w:tc>
        <w:tc>
          <w:tcPr>
            <w:tcW w:w="20" w:type="dxa"/>
            <w:vAlign w:val="bottom"/>
          </w:tcPr>
          <w:p>
            <w:pPr>
              <w:spacing w:after="0"/>
              <w:rPr>
                <w:sz w:val="17"/>
                <w:szCs w:val="17"/>
                <w:color w:val="auto"/>
              </w:rPr>
            </w:pPr>
          </w:p>
        </w:tc>
        <w:tc>
          <w:tcPr>
            <w:tcW w:w="1680" w:type="dxa"/>
            <w:vAlign w:val="bottom"/>
            <w:gridSpan w:val="3"/>
          </w:tcPr>
          <w:p>
            <w:pPr>
              <w:jc w:val="right"/>
              <w:spacing w:after="0" w:line="205"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258.</w:t>
            </w:r>
            <w:r>
              <w:rPr>
                <w:rFonts w:ascii="Arial" w:cs="Arial" w:eastAsia="Arial" w:hAnsi="Arial"/>
                <w:sz w:val="18"/>
                <w:szCs w:val="18"/>
                <w:u w:val="single" w:color="auto"/>
                <w:color w:val="auto"/>
              </w:rPr>
              <w:t>768</w:t>
            </w:r>
          </w:p>
        </w:tc>
        <w:tc>
          <w:tcPr>
            <w:tcW w:w="20" w:type="dxa"/>
            <w:vAlign w:val="bottom"/>
          </w:tcPr>
          <w:p>
            <w:pPr>
              <w:spacing w:after="0"/>
              <w:rPr>
                <w:sz w:val="19"/>
                <w:szCs w:val="19"/>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231.</w:t>
            </w:r>
            <w:r>
              <w:rPr>
                <w:rFonts w:ascii="Arial" w:cs="Arial" w:eastAsia="Arial" w:hAnsi="Arial"/>
                <w:sz w:val="18"/>
                <w:szCs w:val="18"/>
                <w:u w:val="single" w:color="auto"/>
                <w:color w:val="auto"/>
              </w:rPr>
              <w:t>546</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222.</w:t>
            </w:r>
            <w:r>
              <w:rPr>
                <w:rFonts w:ascii="Arial" w:cs="Arial" w:eastAsia="Arial" w:hAnsi="Arial"/>
                <w:sz w:val="18"/>
                <w:szCs w:val="18"/>
                <w:u w:val="single" w:color="auto"/>
                <w:color w:val="auto"/>
              </w:rPr>
              <w:t>389</w:t>
            </w:r>
          </w:p>
        </w:tc>
        <w:tc>
          <w:tcPr>
            <w:tcW w:w="2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64.274</w:t>
            </w:r>
          </w:p>
        </w:tc>
        <w:tc>
          <w:tcPr>
            <w:tcW w:w="0" w:type="dxa"/>
            <w:vAlign w:val="bottom"/>
          </w:tcPr>
          <w:p>
            <w:pPr>
              <w:spacing w:after="0"/>
              <w:rPr>
                <w:sz w:val="1"/>
                <w:szCs w:val="1"/>
                <w:color w:val="auto"/>
              </w:rPr>
            </w:pPr>
          </w:p>
        </w:tc>
      </w:tr>
      <w:tr>
        <w:trPr>
          <w:trHeight w:val="505"/>
        </w:trPr>
        <w:tc>
          <w:tcPr>
            <w:tcW w:w="4540" w:type="dxa"/>
            <w:vAlign w:val="bottom"/>
            <w:gridSpan w:val="5"/>
          </w:tcPr>
          <w:p>
            <w:pPr>
              <w:spacing w:after="0"/>
              <w:rPr>
                <w:sz w:val="20"/>
                <w:szCs w:val="20"/>
                <w:color w:val="auto"/>
              </w:rPr>
            </w:pPr>
            <w:r>
              <w:rPr>
                <w:rFonts w:ascii="Arial" w:cs="Arial" w:eastAsia="Arial" w:hAnsi="Arial"/>
                <w:sz w:val="18"/>
                <w:szCs w:val="18"/>
                <w:b w:val="1"/>
                <w:bCs w:val="1"/>
                <w:color w:val="auto"/>
              </w:rPr>
              <w:t>Other Expenses</w:t>
            </w:r>
          </w:p>
        </w:tc>
        <w:tc>
          <w:tcPr>
            <w:tcW w:w="1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Salaries and employee benefits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138.584</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137.896</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125.771</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$36.350</w:t>
            </w: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109.477</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107.771</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100.943</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$29.174</w:t>
            </w: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34.808</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33.930</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35.583</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Taxes other than income tax</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11.675</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10.029</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12.268</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43"/>
        </w:trPr>
        <w:tc>
          <w:tcPr>
            <w:tcW w:w="4540" w:type="dxa"/>
            <w:vAlign w:val="bottom"/>
            <w:gridSpan w:val="5"/>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30.350</w:t>
            </w:r>
          </w:p>
        </w:tc>
        <w:tc>
          <w:tcPr>
            <w:tcW w:w="20" w:type="dxa"/>
            <w:vAlign w:val="bottom"/>
          </w:tcPr>
          <w:p>
            <w:pPr>
              <w:spacing w:after="0"/>
              <w:rPr>
                <w:sz w:val="21"/>
                <w:szCs w:val="21"/>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39.266</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26.642</w:t>
            </w:r>
          </w:p>
        </w:tc>
        <w:tc>
          <w:tcPr>
            <w:tcW w:w="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05"/>
        </w:trPr>
        <w:tc>
          <w:tcPr>
            <w:tcW w:w="4540" w:type="dxa"/>
            <w:vAlign w:val="bottom"/>
            <w:gridSpan w:val="5"/>
          </w:tcPr>
          <w:p>
            <w:pPr>
              <w:spacing w:after="0" w:line="205" w:lineRule="exact"/>
              <w:rPr>
                <w:sz w:val="20"/>
                <w:szCs w:val="20"/>
                <w:color w:val="auto"/>
              </w:rPr>
            </w:pPr>
            <w:r>
              <w:rPr>
                <w:rFonts w:ascii="Arial" w:cs="Arial" w:eastAsia="Arial" w:hAnsi="Arial"/>
                <w:sz w:val="18"/>
                <w:szCs w:val="18"/>
                <w:color w:val="auto"/>
              </w:rPr>
              <w:t>Merger costs</w:t>
            </w:r>
          </w:p>
        </w:tc>
        <w:tc>
          <w:tcPr>
            <w:tcW w:w="1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714</w:t>
            </w:r>
          </w:p>
        </w:tc>
        <w:tc>
          <w:tcPr>
            <w:tcW w:w="20" w:type="dxa"/>
            <w:vAlign w:val="bottom"/>
          </w:tcPr>
          <w:p>
            <w:pPr>
              <w:spacing w:after="0"/>
              <w:rPr>
                <w:sz w:val="17"/>
                <w:szCs w:val="17"/>
                <w:color w:val="auto"/>
              </w:rPr>
            </w:pPr>
          </w:p>
        </w:tc>
        <w:tc>
          <w:tcPr>
            <w:tcW w:w="172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886</w:t>
            </w:r>
          </w:p>
        </w:tc>
        <w:tc>
          <w:tcPr>
            <w:tcW w:w="17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392</w:t>
            </w:r>
          </w:p>
        </w:tc>
        <w:tc>
          <w:tcPr>
            <w:tcW w:w="20" w:type="dxa"/>
            <w:vAlign w:val="bottom"/>
          </w:tcPr>
          <w:p>
            <w:pPr>
              <w:spacing w:after="0"/>
              <w:rPr>
                <w:sz w:val="17"/>
                <w:szCs w:val="17"/>
                <w:color w:val="auto"/>
              </w:rPr>
            </w:pPr>
          </w:p>
        </w:tc>
        <w:tc>
          <w:tcPr>
            <w:tcW w:w="1680" w:type="dxa"/>
            <w:vAlign w:val="bottom"/>
            <w:gridSpan w:val="3"/>
          </w:tcPr>
          <w:p>
            <w:pPr>
              <w:jc w:val="right"/>
              <w:spacing w:after="0" w:line="205"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380.</w:t>
            </w:r>
            <w:r>
              <w:rPr>
                <w:rFonts w:ascii="Arial" w:cs="Arial" w:eastAsia="Arial" w:hAnsi="Arial"/>
                <w:sz w:val="18"/>
                <w:szCs w:val="18"/>
                <w:u w:val="single" w:color="auto"/>
                <w:color w:val="auto"/>
              </w:rPr>
              <w:t>608</w:t>
            </w:r>
          </w:p>
        </w:tc>
        <w:tc>
          <w:tcPr>
            <w:tcW w:w="20" w:type="dxa"/>
            <w:vAlign w:val="bottom"/>
          </w:tcPr>
          <w:p>
            <w:pPr>
              <w:spacing w:after="0"/>
              <w:rPr>
                <w:sz w:val="19"/>
                <w:szCs w:val="19"/>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332.</w:t>
            </w:r>
            <w:r>
              <w:rPr>
                <w:rFonts w:ascii="Arial" w:cs="Arial" w:eastAsia="Arial" w:hAnsi="Arial"/>
                <w:sz w:val="18"/>
                <w:szCs w:val="18"/>
                <w:u w:val="single" w:color="auto"/>
                <w:color w:val="auto"/>
              </w:rPr>
              <w:t>778</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307.</w:t>
            </w:r>
            <w:r>
              <w:rPr>
                <w:rFonts w:ascii="Arial" w:cs="Arial" w:eastAsia="Arial" w:hAnsi="Arial"/>
                <w:sz w:val="18"/>
                <w:szCs w:val="18"/>
                <w:u w:val="single" w:color="auto"/>
                <w:color w:val="auto"/>
              </w:rPr>
              <w:t>599</w:t>
            </w:r>
          </w:p>
        </w:tc>
        <w:tc>
          <w:tcPr>
            <w:tcW w:w="2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88.901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gridSpan w:val="4"/>
            <w:vMerge w:val="restart"/>
          </w:tcPr>
          <w:p>
            <w:pPr>
              <w:jc w:val="center"/>
              <w:ind w:right="1040"/>
              <w:spacing w:after="0"/>
              <w:rPr>
                <w:sz w:val="20"/>
                <w:szCs w:val="20"/>
                <w:color w:val="auto"/>
              </w:rPr>
            </w:pPr>
            <w:r>
              <w:rPr>
                <w:rFonts w:ascii="Arial" w:cs="Arial" w:eastAsia="Arial" w:hAnsi="Arial"/>
                <w:sz w:val="18"/>
                <w:szCs w:val="18"/>
                <w:b w:val="1"/>
                <w:bCs w:val="1"/>
                <w:color w:val="auto"/>
                <w:w w:val="87"/>
              </w:rPr>
              <w:t>Result from exposure to inflation</w:t>
            </w:r>
          </w:p>
        </w:tc>
        <w:tc>
          <w:tcPr>
            <w:tcW w:w="1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1000" w:type="dxa"/>
            <w:vAlign w:val="bottom"/>
          </w:tcPr>
          <w:p>
            <w:pPr>
              <w:spacing w:after="0"/>
              <w:rPr>
                <w:sz w:val="24"/>
                <w:szCs w:val="24"/>
                <w:color w:val="auto"/>
              </w:rPr>
            </w:pPr>
          </w:p>
        </w:tc>
        <w:tc>
          <w:tcPr>
            <w:tcW w:w="3540" w:type="dxa"/>
            <w:vAlign w:val="bottom"/>
            <w:gridSpan w:val="4"/>
            <w:vMerge w:val="continue"/>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(25.988)</w:t>
            </w:r>
          </w:p>
        </w:tc>
        <w:tc>
          <w:tcPr>
            <w:tcW w:w="20" w:type="dxa"/>
            <w:vAlign w:val="bottom"/>
          </w:tcPr>
          <w:p>
            <w:pPr>
              <w:spacing w:after="0"/>
              <w:rPr>
                <w:sz w:val="24"/>
                <w:szCs w:val="24"/>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(20.836)</w:t>
            </w: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(34.907)</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354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7"/>
              </w:rPr>
              <w:t>Income before income tax</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25.981</w:t>
            </w:r>
          </w:p>
        </w:tc>
        <w:tc>
          <w:tcPr>
            <w:tcW w:w="20" w:type="dxa"/>
            <w:vAlign w:val="bottom"/>
          </w:tcPr>
          <w:p>
            <w:pPr>
              <w:spacing w:after="0"/>
              <w:rPr>
                <w:sz w:val="24"/>
                <w:szCs w:val="24"/>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124.391</w:t>
            </w:r>
          </w:p>
        </w:tc>
        <w:tc>
          <w:tcPr>
            <w:tcW w:w="17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95.119</w:t>
            </w: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$27.491</w:t>
            </w:r>
          </w:p>
        </w:tc>
        <w:tc>
          <w:tcPr>
            <w:tcW w:w="0" w:type="dxa"/>
            <w:vAlign w:val="bottom"/>
          </w:tcPr>
          <w:p>
            <w:pPr>
              <w:spacing w:after="0"/>
              <w:rPr>
                <w:sz w:val="1"/>
                <w:szCs w:val="1"/>
                <w:color w:val="auto"/>
              </w:rPr>
            </w:pPr>
          </w:p>
        </w:tc>
      </w:tr>
      <w:tr>
        <w:trPr>
          <w:trHeight w:val="486"/>
        </w:trPr>
        <w:tc>
          <w:tcPr>
            <w:tcW w:w="4540" w:type="dxa"/>
            <w:vAlign w:val="bottom"/>
            <w:gridSpan w:val="5"/>
          </w:tcPr>
          <w:p>
            <w:pPr>
              <w:spacing w:after="0"/>
              <w:rPr>
                <w:sz w:val="20"/>
                <w:szCs w:val="20"/>
                <w:color w:val="auto"/>
              </w:rPr>
            </w:pPr>
            <w:r>
              <w:rPr>
                <w:rFonts w:ascii="Arial" w:cs="Arial" w:eastAsia="Arial" w:hAnsi="Arial"/>
                <w:sz w:val="18"/>
                <w:szCs w:val="18"/>
                <w:color w:val="auto"/>
              </w:rPr>
              <w:t>Income Tax</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13.291</w:t>
            </w:r>
          </w:p>
        </w:tc>
        <w:tc>
          <w:tcPr>
            <w:tcW w:w="20" w:type="dxa"/>
            <w:vAlign w:val="bottom"/>
          </w:tcPr>
          <w:p>
            <w:pPr>
              <w:spacing w:after="0"/>
              <w:rPr>
                <w:sz w:val="24"/>
                <w:szCs w:val="24"/>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34.426</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28.022</w:t>
            </w:r>
          </w:p>
        </w:tc>
        <w:tc>
          <w:tcPr>
            <w:tcW w:w="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rPr>
              <w:t>NET INCOME</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12.690</w:t>
            </w:r>
          </w:p>
        </w:tc>
        <w:tc>
          <w:tcPr>
            <w:tcW w:w="20" w:type="dxa"/>
            <w:vAlign w:val="bottom"/>
          </w:tcPr>
          <w:p>
            <w:pPr>
              <w:spacing w:after="0"/>
              <w:rPr>
                <w:sz w:val="24"/>
                <w:szCs w:val="24"/>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89.965</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67.097</w:t>
            </w:r>
          </w:p>
        </w:tc>
        <w:tc>
          <w:tcPr>
            <w:tcW w:w="2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$19.392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7207885</wp:posOffset>
            </wp:positionH>
            <wp:positionV relativeFrom="paragraph">
              <wp:posOffset>-5361940</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-5036185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-5036185</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-5036185</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-5036185</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228600</wp:posOffset>
            </wp:positionV>
            <wp:extent cx="722503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52" w:hanging="352"/>
        <w:spacing w:after="0"/>
        <w:tabs>
          <w:tab w:leader="none" w:pos="352"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Translated at S/.3.460 per US$1.00.</w:t>
      </w:r>
    </w:p>
    <w:p>
      <w:pPr>
        <w:sectPr>
          <w:pgSz w:w="11900" w:h="16838" w:orient="portrait"/>
          <w:cols w:equalWidth="0" w:num="1">
            <w:col w:w="11392"/>
          </w:cols>
          <w:pgMar w:left="248" w:top="131" w:right="259" w:bottom="1440" w:gutter="0" w:footer="0" w:header="0"/>
        </w:sectPr>
      </w:pPr>
    </w:p>
    <w:bookmarkStart w:id="17" w:name="page18"/>
    <w:bookmarkEnd w:id="17"/>
    <w:p>
      <w:pPr>
        <w:jc w:val="center"/>
        <w:ind w:right="-11"/>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Table 6</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2503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2"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Three months ended</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tcPr>
          <w:p>
            <w:pPr>
              <w:spacing w:after="0"/>
              <w:rPr>
                <w:sz w:val="24"/>
                <w:szCs w:val="24"/>
                <w:color w:val="auto"/>
              </w:rPr>
            </w:pPr>
          </w:p>
        </w:tc>
        <w:tc>
          <w:tcPr>
            <w:tcW w:w="1680" w:type="dxa"/>
            <w:vAlign w:val="bottom"/>
          </w:tcPr>
          <w:p>
            <w:pPr>
              <w:jc w:val="right"/>
              <w:ind w:right="472"/>
              <w:spacing w:after="0"/>
              <w:rPr>
                <w:sz w:val="20"/>
                <w:szCs w:val="20"/>
                <w:color w:val="auto"/>
              </w:rPr>
            </w:pPr>
            <w:r>
              <w:rPr>
                <w:rFonts w:ascii="Arial" w:cs="Arial" w:eastAsia="Arial" w:hAnsi="Arial"/>
                <w:sz w:val="18"/>
                <w:szCs w:val="18"/>
                <w:b w:val="1"/>
                <w:bCs w:val="1"/>
                <w:color w:val="auto"/>
              </w:rPr>
              <w:t>31.03.03</w:t>
            </w:r>
          </w:p>
        </w:tc>
        <w:tc>
          <w:tcPr>
            <w:tcW w:w="172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31.12.03</w:t>
            </w:r>
          </w:p>
        </w:tc>
        <w:tc>
          <w:tcPr>
            <w:tcW w:w="20" w:type="dxa"/>
            <w:vAlign w:val="bottom"/>
          </w:tcPr>
          <w:p>
            <w:pPr>
              <w:spacing w:after="0"/>
              <w:rPr>
                <w:sz w:val="24"/>
                <w:szCs w:val="24"/>
                <w:color w:val="auto"/>
              </w:rPr>
            </w:pPr>
          </w:p>
        </w:tc>
        <w:tc>
          <w:tcPr>
            <w:tcW w:w="1700" w:type="dxa"/>
            <w:vAlign w:val="bottom"/>
          </w:tcPr>
          <w:p>
            <w:pPr>
              <w:jc w:val="right"/>
              <w:ind w:right="472"/>
              <w:spacing w:after="0"/>
              <w:rPr>
                <w:sz w:val="20"/>
                <w:szCs w:val="20"/>
                <w:color w:val="auto"/>
              </w:rPr>
            </w:pPr>
            <w:r>
              <w:rPr>
                <w:rFonts w:ascii="Arial" w:cs="Arial" w:eastAsia="Arial" w:hAnsi="Arial"/>
                <w:sz w:val="18"/>
                <w:szCs w:val="18"/>
                <w:b w:val="1"/>
                <w:bCs w:val="1"/>
                <w:color w:val="auto"/>
              </w:rPr>
              <w:t>31.03.04</w:t>
            </w:r>
          </w:p>
        </w:tc>
        <w:tc>
          <w:tcPr>
            <w:tcW w:w="0" w:type="dxa"/>
            <w:vAlign w:val="bottom"/>
          </w:tcPr>
          <w:p>
            <w:pPr>
              <w:spacing w:after="0"/>
              <w:rPr>
                <w:sz w:val="1"/>
                <w:szCs w:val="1"/>
                <w:color w:val="auto"/>
              </w:rPr>
            </w:pPr>
          </w:p>
        </w:tc>
      </w:tr>
      <w:tr>
        <w:trPr>
          <w:trHeight w:val="137"/>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Profitability</w:t>
            </w:r>
          </w:p>
        </w:tc>
        <w:tc>
          <w:tcPr>
            <w:tcW w:w="16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income per common share (S/. per share)(1)</w:t>
            </w:r>
          </w:p>
        </w:tc>
        <w:tc>
          <w:tcPr>
            <w:tcW w:w="1680" w:type="dxa"/>
            <w:vAlign w:val="bottom"/>
          </w:tcPr>
          <w:p>
            <w:pPr>
              <w:jc w:val="right"/>
              <w:spacing w:after="0"/>
              <w:rPr>
                <w:sz w:val="20"/>
                <w:szCs w:val="20"/>
                <w:color w:val="auto"/>
              </w:rPr>
            </w:pPr>
            <w:r>
              <w:rPr>
                <w:rFonts w:ascii="Arial" w:cs="Arial" w:eastAsia="Arial" w:hAnsi="Arial"/>
                <w:sz w:val="18"/>
                <w:szCs w:val="18"/>
                <w:color w:val="auto"/>
              </w:rPr>
              <w:t>0.011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0.075</w:t>
            </w:r>
          </w:p>
        </w:tc>
        <w:tc>
          <w:tcPr>
            <w:tcW w:w="1700" w:type="dxa"/>
            <w:vAlign w:val="bottom"/>
          </w:tcPr>
          <w:p>
            <w:pPr>
              <w:jc w:val="right"/>
              <w:spacing w:after="0"/>
              <w:rPr>
                <w:sz w:val="20"/>
                <w:szCs w:val="20"/>
                <w:color w:val="auto"/>
              </w:rPr>
            </w:pPr>
            <w:r>
              <w:rPr>
                <w:rFonts w:ascii="Arial" w:cs="Arial" w:eastAsia="Arial" w:hAnsi="Arial"/>
                <w:sz w:val="18"/>
                <w:szCs w:val="18"/>
                <w:color w:val="auto"/>
              </w:rPr>
              <w:t>0.056</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680" w:type="dxa"/>
            <w:vAlign w:val="bottom"/>
          </w:tcPr>
          <w:p>
            <w:pPr>
              <w:jc w:val="right"/>
              <w:spacing w:after="0"/>
              <w:rPr>
                <w:sz w:val="20"/>
                <w:szCs w:val="20"/>
                <w:color w:val="auto"/>
              </w:rPr>
            </w:pPr>
            <w:r>
              <w:rPr>
                <w:rFonts w:ascii="Arial" w:cs="Arial" w:eastAsia="Arial" w:hAnsi="Arial"/>
                <w:sz w:val="18"/>
                <w:szCs w:val="18"/>
                <w:color w:val="auto"/>
              </w:rPr>
              <w:t>5.10%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5.60%</w:t>
            </w:r>
          </w:p>
        </w:tc>
        <w:tc>
          <w:tcPr>
            <w:tcW w:w="170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680" w:type="dxa"/>
            <w:vAlign w:val="bottom"/>
          </w:tcPr>
          <w:p>
            <w:pPr>
              <w:jc w:val="right"/>
              <w:spacing w:after="0"/>
              <w:rPr>
                <w:sz w:val="20"/>
                <w:szCs w:val="20"/>
                <w:color w:val="auto"/>
              </w:rPr>
            </w:pPr>
            <w:r>
              <w:rPr>
                <w:rFonts w:ascii="Arial" w:cs="Arial" w:eastAsia="Arial" w:hAnsi="Arial"/>
                <w:sz w:val="18"/>
                <w:szCs w:val="18"/>
                <w:color w:val="auto"/>
              </w:rPr>
              <w:t>0.19%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17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680" w:type="dxa"/>
            <w:vAlign w:val="bottom"/>
          </w:tcPr>
          <w:p>
            <w:pPr>
              <w:jc w:val="right"/>
              <w:spacing w:after="0"/>
              <w:rPr>
                <w:sz w:val="20"/>
                <w:szCs w:val="20"/>
                <w:color w:val="auto"/>
              </w:rPr>
            </w:pPr>
            <w:r>
              <w:rPr>
                <w:rFonts w:ascii="Arial" w:cs="Arial" w:eastAsia="Arial" w:hAnsi="Arial"/>
                <w:sz w:val="18"/>
                <w:szCs w:val="18"/>
                <w:color w:val="auto"/>
              </w:rPr>
              <w:t>2.49%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15.97%</w:t>
            </w:r>
          </w:p>
        </w:tc>
        <w:tc>
          <w:tcPr>
            <w:tcW w:w="1700" w:type="dxa"/>
            <w:vAlign w:val="bottom"/>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8.59%</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6.07%</w:t>
            </w:r>
          </w:p>
        </w:tc>
        <w:tc>
          <w:tcPr>
            <w:tcW w:w="170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Past due loans + refinanced loans as a</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percentage of total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15.06%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11.53%</w:t>
            </w:r>
          </w:p>
        </w:tc>
        <w:tc>
          <w:tcPr>
            <w:tcW w:w="170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past due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116.86%</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132.73%</w:t>
            </w:r>
          </w:p>
        </w:tc>
        <w:tc>
          <w:tcPr>
            <w:tcW w:w="1700" w:type="dxa"/>
            <w:vAlign w:val="bottom"/>
          </w:tcPr>
          <w:p>
            <w:pPr>
              <w:jc w:val="right"/>
              <w:spacing w:after="0"/>
              <w:rPr>
                <w:sz w:val="20"/>
                <w:szCs w:val="20"/>
                <w:color w:val="auto"/>
              </w:rPr>
            </w:pPr>
            <w:r>
              <w:rPr>
                <w:rFonts w:ascii="Arial" w:cs="Arial" w:eastAsia="Arial" w:hAnsi="Arial"/>
                <w:sz w:val="18"/>
                <w:szCs w:val="18"/>
                <w:color w:val="auto"/>
              </w:rPr>
              <w:t>129.78%</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substandard loans (C+D+E)</w:t>
            </w:r>
          </w:p>
        </w:tc>
        <w:tc>
          <w:tcPr>
            <w:tcW w:w="1680" w:type="dxa"/>
            <w:vAlign w:val="bottom"/>
          </w:tcPr>
          <w:p>
            <w:pPr>
              <w:jc w:val="right"/>
              <w:spacing w:after="0"/>
              <w:rPr>
                <w:sz w:val="20"/>
                <w:szCs w:val="20"/>
                <w:color w:val="auto"/>
              </w:rPr>
            </w:pPr>
            <w:r>
              <w:rPr>
                <w:rFonts w:ascii="Arial" w:cs="Arial" w:eastAsia="Arial" w:hAnsi="Arial"/>
                <w:sz w:val="18"/>
                <w:szCs w:val="18"/>
                <w:color w:val="auto"/>
              </w:rPr>
              <w:t>56.18%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52.67%</w:t>
            </w:r>
          </w:p>
        </w:tc>
        <w:tc>
          <w:tcPr>
            <w:tcW w:w="1700" w:type="dxa"/>
            <w:vAlign w:val="bottom"/>
          </w:tcPr>
          <w:p>
            <w:pPr>
              <w:jc w:val="right"/>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Past due loans - reserves for loan losses as a</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20"/>
              <w:spacing w:after="0"/>
              <w:rPr>
                <w:sz w:val="20"/>
                <w:szCs w:val="20"/>
                <w:color w:val="auto"/>
              </w:rPr>
            </w:pPr>
            <w:r>
              <w:rPr>
                <w:rFonts w:ascii="Arial" w:cs="Arial" w:eastAsia="Arial" w:hAnsi="Arial"/>
                <w:sz w:val="18"/>
                <w:szCs w:val="18"/>
                <w:color w:val="auto"/>
              </w:rPr>
              <w:t>percentage of shareholders'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-11.20%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Operating efficiency (5)</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Oper. expense as a percent. of total income (4)</w:t>
            </w:r>
          </w:p>
        </w:tc>
        <w:tc>
          <w:tcPr>
            <w:tcW w:w="1680" w:type="dxa"/>
            <w:vAlign w:val="bottom"/>
          </w:tcPr>
          <w:p>
            <w:pPr>
              <w:jc w:val="right"/>
              <w:spacing w:after="0"/>
              <w:rPr>
                <w:sz w:val="20"/>
                <w:szCs w:val="20"/>
                <w:color w:val="auto"/>
              </w:rPr>
            </w:pPr>
            <w:r>
              <w:rPr>
                <w:rFonts w:ascii="Arial" w:cs="Arial" w:eastAsia="Arial" w:hAnsi="Arial"/>
                <w:sz w:val="18"/>
                <w:szCs w:val="18"/>
                <w:color w:val="auto"/>
              </w:rPr>
              <w:t>54.34%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51.80%</w:t>
            </w:r>
          </w:p>
        </w:tc>
        <w:tc>
          <w:tcPr>
            <w:tcW w:w="1700" w:type="dxa"/>
            <w:vAlign w:val="bottom"/>
          </w:tcPr>
          <w:p>
            <w:pPr>
              <w:jc w:val="right"/>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Oper. expense as a percent. of av. tot. assets(2)(3)</w:t>
            </w:r>
          </w:p>
        </w:tc>
        <w:tc>
          <w:tcPr>
            <w:tcW w:w="1680" w:type="dxa"/>
            <w:vAlign w:val="bottom"/>
          </w:tcPr>
          <w:p>
            <w:pPr>
              <w:jc w:val="right"/>
              <w:spacing w:after="0"/>
              <w:rPr>
                <w:sz w:val="20"/>
                <w:szCs w:val="20"/>
                <w:color w:val="auto"/>
              </w:rPr>
            </w:pPr>
            <w:r>
              <w:rPr>
                <w:rFonts w:ascii="Arial" w:cs="Arial" w:eastAsia="Arial" w:hAnsi="Arial"/>
                <w:sz w:val="18"/>
                <w:szCs w:val="18"/>
                <w:color w:val="auto"/>
              </w:rPr>
              <w:t>4.41%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4.44%</w:t>
            </w:r>
          </w:p>
        </w:tc>
        <w:tc>
          <w:tcPr>
            <w:tcW w:w="170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Total Regulatory capital (constant millions S/.)</w:t>
            </w:r>
          </w:p>
        </w:tc>
        <w:tc>
          <w:tcPr>
            <w:tcW w:w="1680" w:type="dxa"/>
            <w:vAlign w:val="bottom"/>
          </w:tcPr>
          <w:p>
            <w:pPr>
              <w:jc w:val="right"/>
              <w:spacing w:after="0"/>
              <w:rPr>
                <w:sz w:val="20"/>
                <w:szCs w:val="20"/>
                <w:color w:val="auto"/>
              </w:rPr>
            </w:pPr>
            <w:r>
              <w:rPr>
                <w:rFonts w:ascii="Arial" w:cs="Arial" w:eastAsia="Arial" w:hAnsi="Arial"/>
                <w:sz w:val="18"/>
                <w:szCs w:val="18"/>
                <w:color w:val="auto"/>
              </w:rPr>
              <w:t>2,282.8</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2,242.9</w:t>
            </w:r>
          </w:p>
        </w:tc>
        <w:tc>
          <w:tcPr>
            <w:tcW w:w="1700" w:type="dxa"/>
            <w:vAlign w:val="bottom"/>
          </w:tcPr>
          <w:p>
            <w:pPr>
              <w:jc w:val="right"/>
              <w:spacing w:after="0"/>
              <w:rPr>
                <w:sz w:val="20"/>
                <w:szCs w:val="20"/>
                <w:color w:val="auto"/>
              </w:rPr>
            </w:pPr>
            <w:r>
              <w:rPr>
                <w:rFonts w:ascii="Arial" w:cs="Arial" w:eastAsia="Arial" w:hAnsi="Arial"/>
                <w:sz w:val="18"/>
                <w:szCs w:val="18"/>
                <w:color w:val="auto"/>
              </w:rPr>
              <w:t>2,323.8</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Tier I Capital (constant millions S/.)</w:t>
            </w:r>
          </w:p>
        </w:tc>
        <w:tc>
          <w:tcPr>
            <w:tcW w:w="1680" w:type="dxa"/>
            <w:vAlign w:val="bottom"/>
          </w:tcPr>
          <w:p>
            <w:pPr>
              <w:jc w:val="right"/>
              <w:spacing w:after="0"/>
              <w:rPr>
                <w:sz w:val="20"/>
                <w:szCs w:val="20"/>
                <w:color w:val="auto"/>
              </w:rPr>
            </w:pPr>
            <w:r>
              <w:rPr>
                <w:rFonts w:ascii="Arial" w:cs="Arial" w:eastAsia="Arial" w:hAnsi="Arial"/>
                <w:sz w:val="18"/>
                <w:szCs w:val="18"/>
                <w:color w:val="auto"/>
              </w:rPr>
              <w:t>1,976.5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1,954.7</w:t>
            </w:r>
          </w:p>
        </w:tc>
        <w:tc>
          <w:tcPr>
            <w:tcW w:w="1700" w:type="dxa"/>
            <w:vAlign w:val="bottom"/>
          </w:tcPr>
          <w:p>
            <w:pPr>
              <w:jc w:val="right"/>
              <w:spacing w:after="0"/>
              <w:rPr>
                <w:sz w:val="20"/>
                <w:szCs w:val="20"/>
                <w:color w:val="auto"/>
              </w:rPr>
            </w:pPr>
            <w:r>
              <w:rPr>
                <w:rFonts w:ascii="Arial" w:cs="Arial" w:eastAsia="Arial" w:hAnsi="Arial"/>
                <w:sz w:val="18"/>
                <w:szCs w:val="18"/>
                <w:color w:val="auto"/>
              </w:rPr>
              <w:t>1,901.4</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equity as a percentage of period end total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7.73%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9.65%</w:t>
            </w:r>
          </w:p>
        </w:tc>
        <w:tc>
          <w:tcPr>
            <w:tcW w:w="170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Regulatory capital / risk-weighted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12.53%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12.85%</w:t>
            </w:r>
          </w:p>
        </w:tc>
        <w:tc>
          <w:tcPr>
            <w:tcW w:w="1700" w:type="dxa"/>
            <w:vAlign w:val="bottom"/>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Average balances (constant millions S/.) (3)</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23,088.7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20,997.7</w:t>
            </w:r>
          </w:p>
        </w:tc>
        <w:tc>
          <w:tcPr>
            <w:tcW w:w="1700" w:type="dxa"/>
            <w:vAlign w:val="bottom"/>
          </w:tcPr>
          <w:p>
            <w:pPr>
              <w:jc w:val="right"/>
              <w:spacing w:after="0"/>
              <w:rPr>
                <w:sz w:val="20"/>
                <w:szCs w:val="20"/>
                <w:color w:val="auto"/>
              </w:rPr>
            </w:pPr>
            <w:r>
              <w:rPr>
                <w:rFonts w:ascii="Arial" w:cs="Arial" w:eastAsia="Arial" w:hAnsi="Arial"/>
                <w:sz w:val="18"/>
                <w:szCs w:val="18"/>
                <w:color w:val="auto"/>
              </w:rPr>
              <w:t>20,498.9</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26,257.1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24,055.0</w:t>
            </w:r>
          </w:p>
        </w:tc>
        <w:tc>
          <w:tcPr>
            <w:tcW w:w="1700" w:type="dxa"/>
            <w:vAlign w:val="bottom"/>
          </w:tcPr>
          <w:p>
            <w:pPr>
              <w:jc w:val="right"/>
              <w:spacing w:after="0"/>
              <w:rPr>
                <w:sz w:val="20"/>
                <w:szCs w:val="20"/>
                <w:color w:val="auto"/>
              </w:rPr>
            </w:pPr>
            <w:r>
              <w:rPr>
                <w:rFonts w:ascii="Arial" w:cs="Arial" w:eastAsia="Arial" w:hAnsi="Arial"/>
                <w:sz w:val="18"/>
                <w:szCs w:val="18"/>
                <w:color w:val="auto"/>
              </w:rPr>
              <w:t>23,362.0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Net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2,041.3</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2,253.1</w:t>
            </w:r>
          </w:p>
        </w:tc>
        <w:tc>
          <w:tcPr>
            <w:tcW w:w="1700" w:type="dxa"/>
            <w:vAlign w:val="bottom"/>
          </w:tcPr>
          <w:p>
            <w:pPr>
              <w:jc w:val="right"/>
              <w:spacing w:after="0"/>
              <w:rPr>
                <w:sz w:val="20"/>
                <w:szCs w:val="20"/>
                <w:color w:val="auto"/>
              </w:rPr>
            </w:pPr>
            <w:r>
              <w:rPr>
                <w:rFonts w:ascii="Arial" w:cs="Arial" w:eastAsia="Arial" w:hAnsi="Arial"/>
                <w:sz w:val="18"/>
                <w:szCs w:val="18"/>
                <w:color w:val="auto"/>
              </w:rPr>
              <w:t>2,210.7</w:t>
            </w: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0"/>
                <w:szCs w:val="20"/>
                <w:color w:val="auto"/>
              </w:rPr>
            </w:pPr>
            <w:r>
              <w:rPr>
                <w:rFonts w:ascii="Arial" w:cs="Arial" w:eastAsia="Arial" w:hAnsi="Arial"/>
                <w:sz w:val="18"/>
                <w:szCs w:val="18"/>
                <w:b w:val="1"/>
                <w:bCs w:val="1"/>
                <w:color w:val="auto"/>
              </w:rPr>
              <w:t>Additional data</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No. of outstanding shares (millions)</w:t>
            </w:r>
          </w:p>
        </w:tc>
        <w:tc>
          <w:tcPr>
            <w:tcW w:w="1680" w:type="dxa"/>
            <w:vAlign w:val="bottom"/>
          </w:tcPr>
          <w:p>
            <w:pPr>
              <w:jc w:val="right"/>
              <w:spacing w:after="0"/>
              <w:rPr>
                <w:sz w:val="20"/>
                <w:szCs w:val="20"/>
                <w:color w:val="auto"/>
              </w:rPr>
            </w:pPr>
            <w:r>
              <w:rPr>
                <w:rFonts w:ascii="Arial" w:cs="Arial" w:eastAsia="Arial" w:hAnsi="Arial"/>
                <w:sz w:val="18"/>
                <w:szCs w:val="18"/>
                <w:color w:val="auto"/>
              </w:rPr>
              <w:t>1,077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No. of employees</w:t>
            </w:r>
          </w:p>
        </w:tc>
        <w:tc>
          <w:tcPr>
            <w:tcW w:w="1680" w:type="dxa"/>
            <w:vAlign w:val="bottom"/>
          </w:tcPr>
          <w:p>
            <w:pPr>
              <w:jc w:val="right"/>
              <w:spacing w:after="0"/>
              <w:rPr>
                <w:sz w:val="20"/>
                <w:szCs w:val="20"/>
                <w:color w:val="auto"/>
              </w:rPr>
            </w:pPr>
            <w:r>
              <w:rPr>
                <w:rFonts w:ascii="Arial" w:cs="Arial" w:eastAsia="Arial" w:hAnsi="Arial"/>
                <w:sz w:val="18"/>
                <w:szCs w:val="18"/>
                <w:color w:val="auto"/>
              </w:rPr>
              <w:t>7,629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7,530</w:t>
            </w:r>
          </w:p>
        </w:tc>
        <w:tc>
          <w:tcPr>
            <w:tcW w:w="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Inflation rate ( Wholesale price index)</w:t>
            </w:r>
          </w:p>
        </w:tc>
        <w:tc>
          <w:tcPr>
            <w:tcW w:w="1680" w:type="dxa"/>
            <w:vAlign w:val="bottom"/>
          </w:tcPr>
          <w:p>
            <w:pPr>
              <w:jc w:val="right"/>
              <w:spacing w:after="0"/>
              <w:rPr>
                <w:sz w:val="20"/>
                <w:szCs w:val="20"/>
                <w:color w:val="auto"/>
              </w:rPr>
            </w:pPr>
            <w:r>
              <w:rPr>
                <w:rFonts w:ascii="Arial" w:cs="Arial" w:eastAsia="Arial" w:hAnsi="Arial"/>
                <w:sz w:val="18"/>
                <w:szCs w:val="18"/>
                <w:color w:val="auto"/>
              </w:rPr>
              <w:t>1.10%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17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Exchange rate (S/. per 1 U.S. Dollar)</w:t>
            </w:r>
          </w:p>
        </w:tc>
        <w:tc>
          <w:tcPr>
            <w:tcW w:w="1680" w:type="dxa"/>
            <w:vAlign w:val="bottom"/>
          </w:tcPr>
          <w:p>
            <w:pPr>
              <w:jc w:val="right"/>
              <w:spacing w:after="0"/>
              <w:rPr>
                <w:sz w:val="20"/>
                <w:szCs w:val="20"/>
                <w:color w:val="auto"/>
              </w:rPr>
            </w:pPr>
            <w:r>
              <w:rPr>
                <w:rFonts w:ascii="Arial" w:cs="Arial" w:eastAsia="Arial" w:hAnsi="Arial"/>
                <w:sz w:val="18"/>
                <w:szCs w:val="18"/>
                <w:color w:val="auto"/>
              </w:rPr>
              <w:t>3.474</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3.463</w:t>
            </w:r>
          </w:p>
        </w:tc>
        <w:tc>
          <w:tcPr>
            <w:tcW w:w="1700" w:type="dxa"/>
            <w:vAlign w:val="bottom"/>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7207885</wp:posOffset>
            </wp:positionH>
            <wp:positionV relativeFrom="paragraph">
              <wp:posOffset>-6288405</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5029835</wp:posOffset>
            </wp:positionH>
            <wp:positionV relativeFrom="paragraph">
              <wp:posOffset>-5962650</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-5962650</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7207885</wp:posOffset>
            </wp:positionH>
            <wp:positionV relativeFrom="paragraph">
              <wp:posOffset>-5962650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228600</wp:posOffset>
            </wp:positionV>
            <wp:extent cx="722503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52" w:hanging="352"/>
        <w:spacing w:after="0"/>
        <w:tabs>
          <w:tab w:leader="none" w:pos="352"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Shares outstanding of 1,202 million is used for all periods since shares have been issued only for capitalization of profits and inflation adjustment.</w:t>
      </w:r>
    </w:p>
    <w:p>
      <w:pPr>
        <w:ind w:left="352" w:hanging="352"/>
        <w:spacing w:after="0" w:line="221" w:lineRule="auto"/>
        <w:tabs>
          <w:tab w:leader="none" w:pos="352"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Ratios are annualized.</w:t>
      </w:r>
    </w:p>
    <w:p>
      <w:pPr>
        <w:ind w:left="352" w:hanging="352"/>
        <w:spacing w:after="0" w:line="221" w:lineRule="auto"/>
        <w:tabs>
          <w:tab w:leader="none" w:pos="352"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Averages are determined as the average of period-beginning and period-ending balances.</w:t>
      </w:r>
    </w:p>
    <w:p>
      <w:pPr>
        <w:ind w:left="352" w:hanging="352"/>
        <w:spacing w:after="0" w:line="221" w:lineRule="auto"/>
        <w:tabs>
          <w:tab w:leader="none" w:pos="352"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Total income includes net interest income and other income, excluding non-recurring items.</w:t>
      </w:r>
    </w:p>
    <w:p>
      <w:pPr>
        <w:ind w:left="352" w:hanging="352"/>
        <w:spacing w:after="0"/>
        <w:tabs>
          <w:tab w:leader="none" w:pos="352"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Operating expense does not include mandatory employee profit sharing expense nor provisions for other assets received in lieu of loan repayment and non-recurring items.</w:t>
      </w:r>
    </w:p>
    <w:p>
      <w:pPr>
        <w:sectPr>
          <w:pgSz w:w="11900" w:h="16838" w:orient="portrait"/>
          <w:cols w:equalWidth="0" w:num="1">
            <w:col w:w="11392"/>
          </w:cols>
          <w:pgMar w:left="248" w:top="131" w:right="259" w:bottom="1440" w:gutter="0" w:footer="0" w:header="0"/>
        </w:sectPr>
      </w:pPr>
    </w:p>
    <w:bookmarkStart w:id="18" w:name="page19"/>
    <w:bookmarkEnd w:id="18"/>
    <w:p>
      <w:pPr>
        <w:jc w:val="center"/>
        <w:ind w:right="-51"/>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Table 7</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(Thousands of U.S. Dollars, except net income per share,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07885"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7885"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2" w:type="dxa"/>
        <w:tblCellMar>
          <w:top w:w="0" w:type="dxa"/>
          <w:left w:w="0" w:type="dxa"/>
          <w:bottom w:w="0" w:type="dxa"/>
          <w:right w:w="0" w:type="dxa"/>
        </w:tblCellMar>
      </w:tblPr>
      <w:tr>
        <w:trPr>
          <w:trHeight w:val="228"/>
        </w:trPr>
        <w:tc>
          <w:tcPr>
            <w:tcW w:w="6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w w:val="89"/>
              </w:rPr>
              <w:t>Three months ended</w:t>
            </w: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22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20" w:type="dxa"/>
            <w:vAlign w:val="bottom"/>
          </w:tcPr>
          <w:p>
            <w:pPr>
              <w:spacing w:after="0"/>
              <w:rPr>
                <w:sz w:val="24"/>
                <w:szCs w:val="24"/>
                <w:color w:val="auto"/>
              </w:rPr>
            </w:pPr>
          </w:p>
        </w:tc>
        <w:tc>
          <w:tcPr>
            <w:tcW w:w="1680" w:type="dxa"/>
            <w:vAlign w:val="bottom"/>
          </w:tcPr>
          <w:p>
            <w:pPr>
              <w:jc w:val="right"/>
              <w:ind w:right="452"/>
              <w:spacing w:after="0"/>
              <w:rPr>
                <w:sz w:val="20"/>
                <w:szCs w:val="20"/>
                <w:color w:val="auto"/>
              </w:rPr>
            </w:pPr>
            <w:r>
              <w:rPr>
                <w:rFonts w:ascii="Arial" w:cs="Arial" w:eastAsia="Arial" w:hAnsi="Arial"/>
                <w:sz w:val="18"/>
                <w:szCs w:val="18"/>
                <w:b w:val="1"/>
                <w:bCs w:val="1"/>
                <w:color w:val="auto"/>
              </w:rPr>
              <w:t>31.03.03</w:t>
            </w:r>
          </w:p>
        </w:tc>
        <w:tc>
          <w:tcPr>
            <w:tcW w:w="40" w:type="dxa"/>
            <w:vAlign w:val="bottom"/>
          </w:tcPr>
          <w:p>
            <w:pPr>
              <w:spacing w:after="0"/>
              <w:rPr>
                <w:sz w:val="24"/>
                <w:szCs w:val="24"/>
                <w:color w:val="auto"/>
              </w:rPr>
            </w:pPr>
          </w:p>
        </w:tc>
        <w:tc>
          <w:tcPr>
            <w:tcW w:w="1680" w:type="dxa"/>
            <w:vAlign w:val="bottom"/>
          </w:tcPr>
          <w:p>
            <w:pPr>
              <w:jc w:val="right"/>
              <w:ind w:right="472"/>
              <w:spacing w:after="0"/>
              <w:rPr>
                <w:sz w:val="20"/>
                <w:szCs w:val="20"/>
                <w:color w:val="auto"/>
              </w:rPr>
            </w:pPr>
            <w:r>
              <w:rPr>
                <w:rFonts w:ascii="Arial" w:cs="Arial" w:eastAsia="Arial" w:hAnsi="Arial"/>
                <w:sz w:val="18"/>
                <w:szCs w:val="18"/>
                <w:b w:val="1"/>
                <w:bCs w:val="1"/>
                <w:color w:val="auto"/>
              </w:rPr>
              <w:t>31.12.03</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31.03.04</w:t>
            </w:r>
          </w:p>
        </w:tc>
        <w:tc>
          <w:tcPr>
            <w:tcW w:w="0" w:type="dxa"/>
            <w:vAlign w:val="bottom"/>
          </w:tcPr>
          <w:p>
            <w:pPr>
              <w:spacing w:after="0"/>
              <w:rPr>
                <w:sz w:val="1"/>
                <w:szCs w:val="1"/>
                <w:color w:val="auto"/>
              </w:rPr>
            </w:pPr>
          </w:p>
        </w:tc>
      </w:tr>
      <w:tr>
        <w:trPr>
          <w:trHeight w:val="137"/>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Results</w:t>
            </w:r>
          </w:p>
        </w:tc>
        <w:tc>
          <w:tcPr>
            <w:tcW w:w="16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8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62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Net Interest Income (w/o dividends)</w:t>
            </w:r>
          </w:p>
        </w:tc>
        <w:tc>
          <w:tcPr>
            <w:tcW w:w="1680" w:type="dxa"/>
            <w:vAlign w:val="bottom"/>
          </w:tcPr>
          <w:p>
            <w:pPr>
              <w:jc w:val="right"/>
              <w:spacing w:after="0"/>
              <w:rPr>
                <w:sz w:val="20"/>
                <w:szCs w:val="20"/>
                <w:color w:val="auto"/>
              </w:rPr>
            </w:pPr>
            <w:r>
              <w:rPr>
                <w:rFonts w:ascii="Arial" w:cs="Arial" w:eastAsia="Arial" w:hAnsi="Arial"/>
                <w:sz w:val="18"/>
                <w:szCs w:val="18"/>
                <w:color w:val="auto"/>
              </w:rPr>
              <w:t>3,974</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3,349</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Dividend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3,119</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Provisions for credit and market risks</w:t>
            </w:r>
          </w:p>
        </w:tc>
        <w:tc>
          <w:tcPr>
            <w:tcW w:w="1680" w:type="dxa"/>
            <w:vAlign w:val="bottom"/>
          </w:tcPr>
          <w:p>
            <w:pPr>
              <w:jc w:val="right"/>
              <w:spacing w:after="0"/>
              <w:rPr>
                <w:sz w:val="20"/>
                <w:szCs w:val="20"/>
                <w:color w:val="auto"/>
              </w:rPr>
            </w:pPr>
            <w:r>
              <w:rPr>
                <w:rFonts w:ascii="Arial" w:cs="Arial" w:eastAsia="Arial" w:hAnsi="Arial"/>
                <w:sz w:val="18"/>
                <w:szCs w:val="18"/>
                <w:color w:val="auto"/>
              </w:rPr>
              <w:t>4,247</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1,761</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Commissions and fee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957</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938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Other Income(1)</w:t>
            </w:r>
          </w:p>
        </w:tc>
        <w:tc>
          <w:tcPr>
            <w:tcW w:w="1680" w:type="dxa"/>
            <w:vAlign w:val="bottom"/>
          </w:tcPr>
          <w:p>
            <w:pPr>
              <w:jc w:val="right"/>
              <w:spacing w:after="0"/>
              <w:rPr>
                <w:sz w:val="20"/>
                <w:szCs w:val="20"/>
                <w:color w:val="auto"/>
              </w:rPr>
            </w:pPr>
            <w:r>
              <w:rPr>
                <w:rFonts w:ascii="Arial" w:cs="Arial" w:eastAsia="Arial" w:hAnsi="Arial"/>
                <w:sz w:val="18"/>
                <w:szCs w:val="18"/>
                <w:color w:val="auto"/>
              </w:rPr>
              <w:t>1,451</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1,989</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Operating Expense</w:t>
            </w:r>
          </w:p>
        </w:tc>
        <w:tc>
          <w:tcPr>
            <w:tcW w:w="1680" w:type="dxa"/>
            <w:vAlign w:val="bottom"/>
          </w:tcPr>
          <w:p>
            <w:pPr>
              <w:jc w:val="right"/>
              <w:spacing w:after="0"/>
              <w:rPr>
                <w:sz w:val="20"/>
                <w:szCs w:val="20"/>
                <w:color w:val="auto"/>
              </w:rPr>
            </w:pPr>
            <w:r>
              <w:rPr>
                <w:rFonts w:ascii="Arial" w:cs="Arial" w:eastAsia="Arial" w:hAnsi="Arial"/>
                <w:sz w:val="18"/>
                <w:szCs w:val="18"/>
                <w:color w:val="auto"/>
              </w:rPr>
              <w:t>1,494</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1,935</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168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3,088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Net Income per share (US$)</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1680" w:type="dxa"/>
            <w:vAlign w:val="bottom"/>
          </w:tcPr>
          <w:p>
            <w:pPr>
              <w:jc w:val="right"/>
              <w:spacing w:after="0"/>
              <w:rPr>
                <w:sz w:val="20"/>
                <w:szCs w:val="20"/>
                <w:color w:val="auto"/>
              </w:rPr>
            </w:pPr>
            <w:r>
              <w:rPr>
                <w:rFonts w:ascii="Arial" w:cs="Arial" w:eastAsia="Arial" w:hAnsi="Arial"/>
                <w:sz w:val="18"/>
                <w:szCs w:val="18"/>
                <w:color w:val="auto"/>
              </w:rPr>
              <w:t>0.08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486"/>
        </w:trPr>
        <w:tc>
          <w:tcPr>
            <w:tcW w:w="6220" w:type="dxa"/>
            <w:vAlign w:val="bottom"/>
          </w:tcPr>
          <w:p>
            <w:pPr>
              <w:spacing w:after="0"/>
              <w:rPr>
                <w:sz w:val="20"/>
                <w:szCs w:val="20"/>
                <w:color w:val="auto"/>
              </w:rPr>
            </w:pPr>
            <w:r>
              <w:rPr>
                <w:rFonts w:ascii="Arial" w:cs="Arial" w:eastAsia="Arial" w:hAnsi="Arial"/>
                <w:sz w:val="18"/>
                <w:szCs w:val="18"/>
                <w:b w:val="1"/>
                <w:bCs w:val="1"/>
                <w:color w:val="auto"/>
              </w:rPr>
              <w:t>Balance Sheets (end of period)</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jc w:val="right"/>
              <w:spacing w:after="0"/>
              <w:rPr>
                <w:sz w:val="20"/>
                <w:szCs w:val="20"/>
                <w:color w:val="auto"/>
              </w:rPr>
            </w:pPr>
            <w:r>
              <w:rPr>
                <w:rFonts w:ascii="Arial" w:cs="Arial" w:eastAsia="Arial" w:hAnsi="Arial"/>
                <w:sz w:val="18"/>
                <w:szCs w:val="18"/>
                <w:color w:val="auto"/>
              </w:rPr>
              <w:t>705,125</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776,323</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793,521</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Loan portfolio, net</w:t>
            </w:r>
          </w:p>
        </w:tc>
        <w:tc>
          <w:tcPr>
            <w:tcW w:w="1680" w:type="dxa"/>
            <w:vAlign w:val="bottom"/>
          </w:tcPr>
          <w:p>
            <w:pPr>
              <w:jc w:val="right"/>
              <w:spacing w:after="0"/>
              <w:rPr>
                <w:sz w:val="20"/>
                <w:szCs w:val="20"/>
                <w:color w:val="auto"/>
              </w:rPr>
            </w:pPr>
            <w:r>
              <w:rPr>
                <w:rFonts w:ascii="Arial" w:cs="Arial" w:eastAsia="Arial" w:hAnsi="Arial"/>
                <w:sz w:val="18"/>
                <w:szCs w:val="18"/>
                <w:color w:val="auto"/>
              </w:rPr>
              <w:t>155,997</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152,388</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154,170</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Marketable securities and investments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327,636</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430,137</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452,738</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Total Deposits</w:t>
            </w:r>
          </w:p>
        </w:tc>
        <w:tc>
          <w:tcPr>
            <w:tcW w:w="1680" w:type="dxa"/>
            <w:vAlign w:val="bottom"/>
          </w:tcPr>
          <w:p>
            <w:pPr>
              <w:jc w:val="right"/>
              <w:spacing w:after="0"/>
              <w:rPr>
                <w:sz w:val="20"/>
                <w:szCs w:val="20"/>
                <w:color w:val="auto"/>
              </w:rPr>
            </w:pPr>
            <w:r>
              <w:rPr>
                <w:rFonts w:ascii="Arial" w:cs="Arial" w:eastAsia="Arial" w:hAnsi="Arial"/>
                <w:sz w:val="18"/>
                <w:szCs w:val="18"/>
                <w:color w:val="auto"/>
              </w:rPr>
              <w:t>573,046</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629,354</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638,118</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1680" w:type="dxa"/>
            <w:vAlign w:val="bottom"/>
          </w:tcPr>
          <w:p>
            <w:pPr>
              <w:jc w:val="right"/>
              <w:spacing w:after="0"/>
              <w:rPr>
                <w:sz w:val="20"/>
                <w:szCs w:val="20"/>
                <w:color w:val="auto"/>
              </w:rPr>
            </w:pPr>
            <w:r>
              <w:rPr>
                <w:rFonts w:ascii="Arial" w:cs="Arial" w:eastAsia="Arial" w:hAnsi="Arial"/>
                <w:sz w:val="18"/>
                <w:szCs w:val="18"/>
                <w:color w:val="auto"/>
              </w:rPr>
              <w:t>119,282</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112,870</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121,901</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Funds under administration</w:t>
            </w:r>
          </w:p>
        </w:tc>
        <w:tc>
          <w:tcPr>
            <w:tcW w:w="1680" w:type="dxa"/>
            <w:vAlign w:val="bottom"/>
          </w:tcPr>
          <w:p>
            <w:pPr>
              <w:jc w:val="right"/>
              <w:spacing w:after="0"/>
              <w:rPr>
                <w:sz w:val="20"/>
                <w:szCs w:val="20"/>
                <w:color w:val="auto"/>
              </w:rPr>
            </w:pPr>
            <w:r>
              <w:rPr>
                <w:rFonts w:ascii="Arial" w:cs="Arial" w:eastAsia="Arial" w:hAnsi="Arial"/>
                <w:sz w:val="18"/>
                <w:szCs w:val="18"/>
                <w:color w:val="auto"/>
              </w:rPr>
              <w:t>542,156</w:t>
            </w:r>
          </w:p>
        </w:tc>
        <w:tc>
          <w:tcPr>
            <w:tcW w:w="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664,143</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704,686</w:t>
            </w:r>
          </w:p>
        </w:tc>
        <w:tc>
          <w:tcPr>
            <w:tcW w:w="0" w:type="dxa"/>
            <w:vAlign w:val="bottom"/>
          </w:tcPr>
          <w:p>
            <w:pPr>
              <w:spacing w:after="0"/>
              <w:rPr>
                <w:sz w:val="1"/>
                <w:szCs w:val="1"/>
                <w:color w:val="auto"/>
              </w:rPr>
            </w:pPr>
          </w:p>
        </w:tc>
      </w:tr>
      <w:tr>
        <w:trPr>
          <w:trHeight w:val="486"/>
        </w:trPr>
        <w:tc>
          <w:tcPr>
            <w:tcW w:w="6220" w:type="dxa"/>
            <w:vAlign w:val="bottom"/>
          </w:tcPr>
          <w:p>
            <w:pPr>
              <w:spacing w:after="0"/>
              <w:rPr>
                <w:sz w:val="20"/>
                <w:szCs w:val="20"/>
                <w:color w:val="auto"/>
              </w:rPr>
            </w:pPr>
            <w:r>
              <w:rPr>
                <w:rFonts w:ascii="Arial" w:cs="Arial" w:eastAsia="Arial" w:hAnsi="Arial"/>
                <w:sz w:val="18"/>
                <w:szCs w:val="18"/>
                <w:b w:val="1"/>
                <w:bCs w:val="1"/>
                <w:color w:val="auto"/>
              </w:rPr>
              <w:t>Ratios (2)</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Net interest margin / interest earning assets (3)(4)(5)</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Return on average stockholders' equity(4)</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1680" w:type="dxa"/>
            <w:vAlign w:val="bottom"/>
          </w:tcPr>
          <w:p>
            <w:pPr>
              <w:jc w:val="right"/>
              <w:spacing w:after="0"/>
              <w:rPr>
                <w:sz w:val="20"/>
                <w:szCs w:val="20"/>
                <w:color w:val="auto"/>
              </w:rPr>
            </w:pPr>
            <w:r>
              <w:rPr>
                <w:rFonts w:ascii="Arial" w:cs="Arial" w:eastAsia="Arial" w:hAnsi="Arial"/>
                <w:sz w:val="18"/>
                <w:szCs w:val="18"/>
                <w:color w:val="auto"/>
              </w:rPr>
              <w:t>10.2%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Return on average total assets(4)</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Reserves for loan losses as a percentage</w:t>
            </w: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120"/>
              <w:spacing w:after="0"/>
              <w:rPr>
                <w:sz w:val="20"/>
                <w:szCs w:val="20"/>
                <w:color w:val="auto"/>
              </w:rPr>
            </w:pPr>
            <w:r>
              <w:rPr>
                <w:rFonts w:ascii="Arial" w:cs="Arial" w:eastAsia="Arial" w:hAnsi="Arial"/>
                <w:sz w:val="18"/>
                <w:szCs w:val="18"/>
                <w:color w:val="auto"/>
              </w:rPr>
              <w:t>of total loans</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Operating expense / total</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1680" w:type="dxa"/>
            <w:vAlign w:val="bottom"/>
          </w:tcPr>
          <w:p>
            <w:pPr>
              <w:jc w:val="right"/>
              <w:spacing w:after="0"/>
              <w:rPr>
                <w:sz w:val="20"/>
                <w:szCs w:val="20"/>
                <w:color w:val="auto"/>
              </w:rPr>
            </w:pPr>
            <w:r>
              <w:rPr>
                <w:rFonts w:ascii="Arial" w:cs="Arial" w:eastAsia="Arial" w:hAnsi="Arial"/>
                <w:sz w:val="18"/>
                <w:szCs w:val="18"/>
                <w:color w:val="auto"/>
              </w:rPr>
              <w:t>28.5%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Operating expense / average total assets(4)</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Operating expense / average total assets +</w:t>
            </w: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120"/>
              <w:spacing w:after="0"/>
              <w:rPr>
                <w:sz w:val="20"/>
                <w:szCs w:val="20"/>
                <w:color w:val="auto"/>
              </w:rPr>
            </w:pPr>
            <w:r>
              <w:rPr>
                <w:rFonts w:ascii="Arial" w:cs="Arial" w:eastAsia="Arial" w:hAnsi="Arial"/>
                <w:sz w:val="18"/>
                <w:szCs w:val="18"/>
                <w:color w:val="auto"/>
              </w:rPr>
              <w:t>funds under management(4)</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680" w:type="dxa"/>
            <w:vAlign w:val="bottom"/>
          </w:tcPr>
          <w:p>
            <w:pPr>
              <w:jc w:val="right"/>
              <w:spacing w:after="0"/>
              <w:rPr>
                <w:sz w:val="20"/>
                <w:szCs w:val="20"/>
                <w:color w:val="auto"/>
              </w:rPr>
            </w:pPr>
            <w:r>
              <w:rPr>
                <w:rFonts w:ascii="Arial" w:cs="Arial" w:eastAsia="Arial" w:hAnsi="Arial"/>
                <w:sz w:val="18"/>
                <w:szCs w:val="18"/>
                <w:color w:val="auto"/>
              </w:rPr>
              <w:t>0.6%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7190740</wp:posOffset>
            </wp:positionH>
            <wp:positionV relativeFrom="paragraph">
              <wp:posOffset>-4899025</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5021580</wp:posOffset>
            </wp:positionH>
            <wp:positionV relativeFrom="paragraph">
              <wp:posOffset>-4573270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6110605</wp:posOffset>
            </wp:positionH>
            <wp:positionV relativeFrom="paragraph">
              <wp:posOffset>-4573270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7190740</wp:posOffset>
            </wp:positionH>
            <wp:positionV relativeFrom="paragraph">
              <wp:posOffset>-4573270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228600</wp:posOffset>
            </wp:positionV>
            <wp:extent cx="722503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52" w:hanging="352"/>
        <w:spacing w:after="0"/>
        <w:tabs>
          <w:tab w:leader="none" w:pos="352"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realized gains in securities.</w:t>
      </w:r>
    </w:p>
    <w:p>
      <w:pPr>
        <w:ind w:left="352" w:hanging="352"/>
        <w:spacing w:after="0" w:line="221" w:lineRule="auto"/>
        <w:tabs>
          <w:tab w:leader="none" w:pos="352"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Averages are determined as the average of period-beginning and period-ending balances.</w:t>
      </w:r>
    </w:p>
    <w:p>
      <w:pPr>
        <w:ind w:left="352" w:hanging="352"/>
        <w:spacing w:after="0" w:line="221" w:lineRule="auto"/>
        <w:tabs>
          <w:tab w:leader="none" w:pos="352"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Averages determined from monthly balances.</w:t>
      </w:r>
    </w:p>
    <w:p>
      <w:pPr>
        <w:ind w:left="352" w:hanging="352"/>
        <w:spacing w:after="0" w:line="221" w:lineRule="auto"/>
        <w:tabs>
          <w:tab w:leader="none" w:pos="352"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Annualized.</w:t>
      </w:r>
    </w:p>
    <w:p>
      <w:pPr>
        <w:ind w:left="352" w:hanging="352"/>
        <w:spacing w:after="0" w:line="221" w:lineRule="auto"/>
        <w:tabs>
          <w:tab w:leader="none" w:pos="352"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Without considering dividend income and dividend earning assets.</w:t>
      </w:r>
    </w:p>
    <w:p>
      <w:pPr>
        <w:ind w:left="352" w:hanging="352"/>
        <w:spacing w:after="0"/>
        <w:tabs>
          <w:tab w:leader="none" w:pos="352"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Without considering provisions for investments.</w:t>
      </w:r>
    </w:p>
    <w:p>
      <w:pPr>
        <w:sectPr>
          <w:pgSz w:w="11900" w:h="16838" w:orient="portrait"/>
          <w:cols w:equalWidth="0" w:num="1">
            <w:col w:w="11352"/>
          </w:cols>
          <w:pgMar w:left="248" w:top="131" w:right="299" w:bottom="1440" w:gutter="0" w:footer="0" w:header="0"/>
        </w:sectPr>
      </w:pPr>
    </w:p>
    <w:bookmarkStart w:id="19" w:name="page20"/>
    <w:bookmarkEnd w:id="19"/>
    <w:p>
      <w:pPr>
        <w:jc w:val="center"/>
        <w:ind w:right="-51"/>
        <w:spacing w:after="0"/>
        <w:rPr>
          <w:sz w:val="20"/>
          <w:szCs w:val="20"/>
          <w:color w:val="auto"/>
        </w:rPr>
      </w:pPr>
      <w:r>
        <w:rPr>
          <w:rFonts w:ascii="Arial" w:cs="Arial" w:eastAsia="Arial" w:hAnsi="Arial"/>
          <w:sz w:val="18"/>
          <w:szCs w:val="18"/>
          <w:color w:val="auto"/>
        </w:rPr>
        <w:t>EL PACIFICO-PERUANO SUIZA AND SUBSIDIARIES</w:t>
      </w:r>
    </w:p>
    <w:p>
      <w:pPr>
        <w:spacing w:after="0" w:line="1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Table 8</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(Constant Nuevos Soles as of March 31, 2004, and</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U.S. Dollars in thousands,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07885"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7885" cy="342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88"/>
              </w:rPr>
              <w:t>As of and for the three month</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4"/>
          </w:tcPr>
          <w:p>
            <w:pPr>
              <w:jc w:val="center"/>
              <w:ind w:left="932"/>
              <w:spacing w:after="0"/>
              <w:rPr>
                <w:sz w:val="20"/>
                <w:szCs w:val="20"/>
                <w:color w:val="auto"/>
              </w:rPr>
            </w:pPr>
            <w:r>
              <w:rPr>
                <w:rFonts w:ascii="Arial" w:cs="Arial" w:eastAsia="Arial" w:hAnsi="Arial"/>
                <w:sz w:val="18"/>
                <w:szCs w:val="18"/>
                <w:b w:val="1"/>
                <w:bCs w:val="1"/>
                <w:color w:val="auto"/>
                <w:w w:val="86"/>
              </w:rPr>
              <w:t>period ended</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b w:val="1"/>
                <w:bCs w:val="1"/>
                <w:color w:val="auto"/>
              </w:rPr>
              <w:t>31.03.03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31.12.03</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31.03.04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31.03.04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56"/>
        </w:trPr>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Results</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US$000(1)</w:t>
            </w:r>
          </w:p>
        </w:tc>
        <w:tc>
          <w:tcPr>
            <w:tcW w:w="0" w:type="dxa"/>
            <w:vAlign w:val="bottom"/>
          </w:tcPr>
          <w:p>
            <w:pPr>
              <w:spacing w:after="0"/>
              <w:rPr>
                <w:sz w:val="1"/>
                <w:szCs w:val="1"/>
                <w:color w:val="auto"/>
              </w:rPr>
            </w:pPr>
          </w:p>
        </w:tc>
      </w:tr>
      <w:tr>
        <w:trPr>
          <w:trHeight w:val="486"/>
        </w:trPr>
        <w:tc>
          <w:tcPr>
            <w:tcW w:w="3960" w:type="dxa"/>
            <w:vAlign w:val="bottom"/>
            <w:gridSpan w:val="4"/>
          </w:tcPr>
          <w:p>
            <w:pPr>
              <w:spacing w:after="0"/>
              <w:rPr>
                <w:sz w:val="20"/>
                <w:szCs w:val="20"/>
                <w:color w:val="auto"/>
              </w:rPr>
            </w:pPr>
            <w:r>
              <w:rPr>
                <w:rFonts w:ascii="Arial" w:cs="Arial" w:eastAsia="Arial" w:hAnsi="Arial"/>
                <w:sz w:val="18"/>
                <w:szCs w:val="18"/>
                <w:color w:val="auto"/>
              </w:rPr>
              <w:t>Total gross Premiums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250,902</w:t>
            </w:r>
          </w:p>
        </w:tc>
        <w:tc>
          <w:tcPr>
            <w:tcW w:w="20" w:type="dxa"/>
            <w:vAlign w:val="bottom"/>
          </w:tcPr>
          <w:p>
            <w:pPr>
              <w:spacing w:after="0"/>
              <w:rPr>
                <w:sz w:val="24"/>
                <w:szCs w:val="24"/>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217,052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243,502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$70,376</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Net Premiums Earned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124,513</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108,573</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143,655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$41,519</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Change in Reserves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51,853</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45,721</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62,353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$18,021</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Net Underwriting Results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15,261</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6,372</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20,665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Net Financial Income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22,476</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25,964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30,839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General Expenses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26,673</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33,295</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30,214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6,196</w:t>
            </w:r>
          </w:p>
        </w:tc>
        <w:tc>
          <w:tcPr>
            <w:tcW w:w="20" w:type="dxa"/>
            <w:vAlign w:val="bottom"/>
          </w:tcPr>
          <w:p>
            <w:pPr>
              <w:spacing w:after="0"/>
              <w:rPr>
                <w:sz w:val="21"/>
                <w:szCs w:val="21"/>
                <w:color w:val="auto"/>
              </w:rPr>
            </w:pP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(6,993)</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7,757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Net Income per share (S/.)(2)</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0.26</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(0.29)</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486"/>
        </w:trPr>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Balance Sheets (end of period)</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1,529,019</w:t>
            </w:r>
          </w:p>
        </w:tc>
        <w:tc>
          <w:tcPr>
            <w:tcW w:w="20" w:type="dxa"/>
            <w:vAlign w:val="bottom"/>
          </w:tcPr>
          <w:p>
            <w:pPr>
              <w:spacing w:after="0"/>
              <w:rPr>
                <w:sz w:val="24"/>
                <w:szCs w:val="24"/>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1,818,825</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1,807,587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$522,424</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Investments in Secur. and Real estate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1,151,475</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1,354,063</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1,361,636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$393,536</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Technical Reserves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997,308</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1,204,368</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1,252,108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$361,881</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Net Equity</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353,893</w:t>
            </w:r>
          </w:p>
        </w:tc>
        <w:tc>
          <w:tcPr>
            <w:tcW w:w="2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386,451</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330,250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$95,448</w:t>
            </w:r>
          </w:p>
        </w:tc>
        <w:tc>
          <w:tcPr>
            <w:tcW w:w="0" w:type="dxa"/>
            <w:vAlign w:val="bottom"/>
          </w:tcPr>
          <w:p>
            <w:pPr>
              <w:spacing w:after="0"/>
              <w:rPr>
                <w:sz w:val="1"/>
                <w:szCs w:val="1"/>
                <w:color w:val="auto"/>
              </w:rPr>
            </w:pPr>
          </w:p>
        </w:tc>
      </w:tr>
      <w:tr>
        <w:trPr>
          <w:trHeight w:val="486"/>
        </w:trPr>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Ratios</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960" w:type="dxa"/>
            <w:vAlign w:val="bottom"/>
            <w:gridSpan w:val="4"/>
          </w:tcPr>
          <w:p>
            <w:pPr>
              <w:spacing w:after="0"/>
              <w:rPr>
                <w:sz w:val="20"/>
                <w:szCs w:val="20"/>
                <w:color w:val="auto"/>
              </w:rPr>
            </w:pPr>
            <w:r>
              <w:rPr>
                <w:rFonts w:ascii="Arial" w:cs="Arial" w:eastAsia="Arial" w:hAnsi="Arial"/>
                <w:sz w:val="18"/>
                <w:szCs w:val="18"/>
                <w:color w:val="auto"/>
              </w:rPr>
              <w:t>Net underwriting results</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38.9%</w:t>
            </w:r>
          </w:p>
        </w:tc>
        <w:tc>
          <w:tcPr>
            <w:tcW w:w="18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47.3%</w:t>
            </w:r>
          </w:p>
        </w:tc>
        <w:tc>
          <w:tcPr>
            <w:tcW w:w="480" w:type="dxa"/>
            <w:vAlign w:val="bottom"/>
          </w:tcPr>
          <w:p>
            <w:pPr>
              <w:spacing w:after="0"/>
              <w:rPr>
                <w:sz w:val="2"/>
                <w:szCs w:val="2"/>
                <w:color w:val="auto"/>
              </w:rPr>
            </w:pPr>
          </w:p>
        </w:tc>
        <w:tc>
          <w:tcPr>
            <w:tcW w:w="15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46.3%</w:t>
            </w: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FFFF00"/>
          </w:tcPr>
          <w:p>
            <w:pPr>
              <w:spacing w:after="0"/>
              <w:rPr>
                <w:sz w:val="20"/>
                <w:szCs w:val="20"/>
                <w:color w:val="auto"/>
              </w:rPr>
            </w:pPr>
            <w:r>
              <w:rPr>
                <w:rFonts w:ascii="Arial" w:cs="Arial" w:eastAsia="Arial" w:hAnsi="Arial"/>
                <w:sz w:val="18"/>
                <w:szCs w:val="18"/>
                <w:color w:val="auto"/>
              </w:rPr>
              <w:t>Total loss ratio</w:t>
            </w:r>
          </w:p>
        </w:tc>
        <w:tc>
          <w:tcPr>
            <w:tcW w:w="20" w:type="dxa"/>
            <w:vAlign w:val="bottom"/>
            <w:vMerge w:val="continue"/>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60" w:type="dxa"/>
            <w:vAlign w:val="bottom"/>
            <w:gridSpan w:val="4"/>
          </w:tcPr>
          <w:p>
            <w:pPr>
              <w:spacing w:after="0"/>
              <w:rPr>
                <w:sz w:val="20"/>
                <w:szCs w:val="20"/>
                <w:color w:val="auto"/>
              </w:rPr>
            </w:pPr>
            <w:r>
              <w:rPr>
                <w:rFonts w:ascii="Arial" w:cs="Arial" w:eastAsia="Arial" w:hAnsi="Arial"/>
                <w:sz w:val="18"/>
                <w:szCs w:val="18"/>
                <w:color w:val="auto"/>
              </w:rPr>
              <w:t>Return on avge. equity (3)(4)</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20"/>
                <w:szCs w:val="20"/>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Return on total premiums</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Shareholders' Equity / Total Assets</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23.1%</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21.2%</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Increase in Risk Reserves</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29.4%</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30.3%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5"/>
        </w:trPr>
        <w:tc>
          <w:tcPr>
            <w:tcW w:w="1400" w:type="dxa"/>
            <w:vAlign w:val="bottom"/>
            <w:gridSpan w:val="2"/>
          </w:tcPr>
          <w:p>
            <w:pPr>
              <w:spacing w:after="0" w:line="205" w:lineRule="exact"/>
              <w:rPr>
                <w:sz w:val="20"/>
                <w:szCs w:val="20"/>
                <w:color w:val="auto"/>
              </w:rPr>
            </w:pPr>
            <w:r>
              <w:rPr>
                <w:rFonts w:ascii="Arial" w:cs="Arial" w:eastAsia="Arial" w:hAnsi="Arial"/>
                <w:sz w:val="18"/>
                <w:szCs w:val="18"/>
                <w:color w:val="auto"/>
                <w:w w:val="88"/>
              </w:rPr>
              <w:t>Combined Ratio (5)</w:t>
            </w:r>
          </w:p>
        </w:tc>
        <w:tc>
          <w:tcPr>
            <w:tcW w:w="256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jc w:val="right"/>
              <w:spacing w:after="0" w:line="205" w:lineRule="exact"/>
              <w:rPr>
                <w:sz w:val="20"/>
                <w:szCs w:val="20"/>
                <w:color w:val="auto"/>
              </w:rPr>
            </w:pPr>
            <w:r>
              <w:rPr>
                <w:rFonts w:ascii="Arial" w:cs="Arial" w:eastAsia="Arial" w:hAnsi="Arial"/>
                <w:sz w:val="18"/>
                <w:szCs w:val="18"/>
                <w:color w:val="auto"/>
                <w:w w:val="86"/>
              </w:rPr>
              <w:t>92.</w:t>
            </w:r>
            <w:r>
              <w:rPr>
                <w:rFonts w:ascii="Arial" w:cs="Arial" w:eastAsia="Arial" w:hAnsi="Arial"/>
                <w:sz w:val="18"/>
                <w:szCs w:val="18"/>
                <w:u w:val="single" w:color="auto"/>
                <w:color w:val="auto"/>
                <w:w w:val="86"/>
              </w:rPr>
              <w:t>4%</w:t>
            </w:r>
          </w:p>
        </w:tc>
        <w:tc>
          <w:tcPr>
            <w:tcW w:w="20" w:type="dxa"/>
            <w:vAlign w:val="bottom"/>
          </w:tcPr>
          <w:p>
            <w:pPr>
              <w:spacing w:after="0"/>
              <w:rPr>
                <w:sz w:val="17"/>
                <w:szCs w:val="17"/>
                <w:color w:val="auto"/>
              </w:rPr>
            </w:pPr>
          </w:p>
        </w:tc>
        <w:tc>
          <w:tcPr>
            <w:tcW w:w="188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126.</w:t>
            </w:r>
            <w:r>
              <w:rPr>
                <w:rFonts w:ascii="Arial" w:cs="Arial" w:eastAsia="Arial" w:hAnsi="Arial"/>
                <w:sz w:val="18"/>
                <w:szCs w:val="18"/>
                <w:u w:val="single" w:color="auto"/>
                <w:color w:val="auto"/>
              </w:rPr>
              <w:t>8%</w:t>
            </w:r>
          </w:p>
        </w:tc>
        <w:tc>
          <w:tcPr>
            <w:tcW w:w="480" w:type="dxa"/>
            <w:vAlign w:val="bottom"/>
          </w:tcPr>
          <w:p>
            <w:pPr>
              <w:spacing w:after="0"/>
              <w:rPr>
                <w:sz w:val="17"/>
                <w:szCs w:val="17"/>
                <w:color w:val="auto"/>
              </w:rPr>
            </w:pPr>
          </w:p>
        </w:tc>
        <w:tc>
          <w:tcPr>
            <w:tcW w:w="15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rPr>
              <w:t>92.</w:t>
            </w:r>
            <w:r>
              <w:rPr>
                <w:rFonts w:ascii="Arial" w:cs="Arial" w:eastAsia="Arial" w:hAnsi="Arial"/>
                <w:sz w:val="18"/>
                <w:szCs w:val="18"/>
                <w:u w:val="single" w:color="auto"/>
                <w:color w:val="auto"/>
              </w:rPr>
              <w:t>6%</w:t>
            </w:r>
          </w:p>
        </w:tc>
        <w:tc>
          <w:tcPr>
            <w:tcW w:w="14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92.</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960" w:type="dxa"/>
            <w:vAlign w:val="bottom"/>
            <w:gridSpan w:val="4"/>
          </w:tcPr>
          <w:p>
            <w:pPr>
              <w:spacing w:after="0"/>
              <w:rPr>
                <w:sz w:val="20"/>
                <w:szCs w:val="20"/>
                <w:color w:val="auto"/>
              </w:rPr>
            </w:pPr>
            <w:r>
              <w:rPr>
                <w:rFonts w:ascii="Arial" w:cs="Arial" w:eastAsia="Arial" w:hAnsi="Arial"/>
                <w:sz w:val="18"/>
                <w:szCs w:val="18"/>
                <w:color w:val="auto"/>
              </w:rPr>
              <w:t>-Net Claims / Net Premiums Earned</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63.5%</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82.9%</w:t>
            </w:r>
          </w:p>
        </w:tc>
        <w:tc>
          <w:tcPr>
            <w:tcW w:w="480" w:type="dxa"/>
            <w:vAlign w:val="bottom"/>
          </w:tcPr>
          <w:p>
            <w:pPr>
              <w:spacing w:after="0"/>
              <w:rPr>
                <w:sz w:val="22"/>
                <w:szCs w:val="22"/>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-Op. Exp.+Comiss./Net Prems. Earned</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29.0%</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43.9%</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Operating expense/Net Premiums Earned</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20.3%</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29.9%</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3960" w:type="dxa"/>
            <w:vAlign w:val="bottom"/>
            <w:gridSpan w:val="4"/>
          </w:tcPr>
          <w:p>
            <w:pPr>
              <w:spacing w:after="0"/>
              <w:rPr>
                <w:sz w:val="20"/>
                <w:szCs w:val="20"/>
                <w:color w:val="auto"/>
              </w:rPr>
            </w:pPr>
            <w:r>
              <w:rPr>
                <w:rFonts w:ascii="Arial" w:cs="Arial" w:eastAsia="Arial" w:hAnsi="Arial"/>
                <w:sz w:val="18"/>
                <w:szCs w:val="18"/>
                <w:color w:val="auto"/>
              </w:rPr>
              <w:t>Oper. expense / Avge. assets (3)(4)</w:t>
            </w:r>
          </w:p>
        </w:tc>
        <w:tc>
          <w:tcPr>
            <w:tcW w:w="200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88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7190740</wp:posOffset>
            </wp:positionH>
            <wp:positionV relativeFrom="paragraph">
              <wp:posOffset>-5207635</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-4881880</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4961255</wp:posOffset>
            </wp:positionH>
            <wp:positionV relativeFrom="paragraph">
              <wp:posOffset>-4881880</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-4881880</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7190740</wp:posOffset>
            </wp:positionH>
            <wp:positionV relativeFrom="paragraph">
              <wp:posOffset>-4881880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228600</wp:posOffset>
            </wp:positionV>
            <wp:extent cx="722503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5030"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52" w:hanging="352"/>
        <w:spacing w:after="0"/>
        <w:tabs>
          <w:tab w:leader="none" w:pos="35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Translated at S/.3.460 per US$1.00.</w:t>
      </w:r>
    </w:p>
    <w:p>
      <w:pPr>
        <w:ind w:left="352" w:hanging="352"/>
        <w:spacing w:after="0" w:line="221" w:lineRule="auto"/>
        <w:tabs>
          <w:tab w:leader="none" w:pos="35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Based on 23.7 million shares in all periods.</w:t>
      </w:r>
    </w:p>
    <w:p>
      <w:pPr>
        <w:ind w:left="352" w:hanging="352"/>
        <w:spacing w:after="0" w:line="221" w:lineRule="auto"/>
        <w:tabs>
          <w:tab w:leader="none" w:pos="35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Averages are determined as the average of period-beginning and period-ending balances.</w:t>
      </w:r>
    </w:p>
    <w:p>
      <w:pPr>
        <w:ind w:left="352" w:hanging="352"/>
        <w:spacing w:after="0" w:line="221" w:lineRule="auto"/>
        <w:tabs>
          <w:tab w:leader="none" w:pos="35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Annualized.</w:t>
      </w:r>
    </w:p>
    <w:p>
      <w:pPr>
        <w:ind w:left="352" w:hanging="352"/>
        <w:spacing w:after="0"/>
        <w:tabs>
          <w:tab w:leader="none" w:pos="35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the life insurance subsidiary Pacifico Vida.</w:t>
      </w:r>
    </w:p>
    <w:p>
      <w:pPr>
        <w:sectPr>
          <w:pgSz w:w="11900" w:h="16838" w:orient="portrait"/>
          <w:cols w:equalWidth="0" w:num="1">
            <w:col w:w="11352"/>
          </w:cols>
          <w:pgMar w:left="248" w:top="131"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May 5,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2019-12-14T06:55:52Z</dcterms:created>
  <dcterms:modified xsi:type="dcterms:W3CDTF">2019-12-14T06:55:52Z</dcterms:modified>
</cp:coreProperties>
</file>