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February 2013</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5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00" w:lineRule="exact"/>
        <w:rPr>
          <w:sz w:val="24"/>
          <w:szCs w:val="24"/>
          <w:color w:val="auto"/>
        </w:rPr>
      </w:pPr>
    </w:p>
    <w:p>
      <w:pPr>
        <w:spacing w:after="0" w:line="27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229" w:right="9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Board of Directors, in its session held on February 27, 2013, agreed unanimously on the following matters that will submit for consideration and approval at the Company’s Annual General Meeting of Shareholders, which will be held on March 26, 2013, at 3:00 pm.</w:t>
      </w:r>
    </w:p>
    <w:p>
      <w:pPr>
        <w:spacing w:after="0" w:line="170" w:lineRule="exact"/>
        <w:rPr>
          <w:sz w:val="20"/>
          <w:szCs w:val="20"/>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ended December 31, 2012 that the Chairman will present at the Annual General Meeting of Shareholders, and the Annual Information Document (DIA – Documento de Información Anual) of Credicorp and its subsidiaries for the year 2012.</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audited consolidated financial statements of the Company and its subsidiaries for the financial year ended December 31, 2012, including the report of the independent auditors Medina, Zaldívar, Paredes y Asociados, members of Ernst &amp; Young Global in Perú, to be submitted for evaluation and approval of the Annual General Meeting of Shareholders.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Defined the remuneration of Directors of the company that will propose for the Annual General Meeting of Shareholders’ approval.</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recommend the designation of Medina, Zaldívar, Paredes y Asociados, members of Ernst &amp; Young Global in Peru, as the external auditors of the Company for the financial year 2013, and the authorization to approve the auditor’s fees, in accordance with the proposal and recommendation of the 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Board of Directors also agreed unanimously the following:</w:t>
      </w:r>
    </w:p>
    <w:p>
      <w:pPr>
        <w:spacing w:after="0" w:line="225" w:lineRule="exact"/>
        <w:rPr>
          <w:sz w:val="20"/>
          <w:szCs w:val="20"/>
          <w:color w:val="auto"/>
        </w:rPr>
      </w:pPr>
    </w:p>
    <w:p>
      <w:pPr>
        <w:jc w:val="both"/>
        <w:ind w:left="340" w:hanging="332"/>
        <w:spacing w:after="0" w:line="286"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pay its shareholders a cash dividend of US$ 245,394,024.20 for a total of 94,382,317 outstanding shares, which is equivalent to US$ 2.60 per share, payable on May 10, 2013 to shareholders of record as of April 16, 2013.The Board of Directors approved the distribution of dividend according to the Bye-Laws of the Company and considering a total net income of US$ 788,778,854.42 attained in the financial year 2012.</w:t>
      </w:r>
    </w:p>
    <w:p>
      <w:pPr>
        <w:spacing w:after="0" w:line="165"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use: (i) the remaining balance of US$ 543,384,830.22 from the income for the year, plus (ii) from reserves of US$ 54,847,700.55 of previous periods, plus (iii) US$ 26,767,469.23 from Retained Earnings of previous periods; to increase in US$625,000,000 Credicorp’s restricted especial reserves. As a result, restricted especial reserves will amount to US$ 2,458,000,000, which cannot be used without the authorization of the Superintendence of Banking, Insurance and Pension Fund Managers of Perú.</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761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13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ind w:left="55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28, 2013</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90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2019-12-06T14:24:46Z</dcterms:created>
  <dcterms:modified xsi:type="dcterms:W3CDTF">2019-12-06T14:24:46Z</dcterms:modified>
</cp:coreProperties>
</file>