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(Amendment No. 2)</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Credicorp Ltd</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G2519Y108</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31st December 2013</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appropriate box to designate the rule pursuant to which this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jc w:val="both"/>
        <w:ind w:left="420" w:right="7779" w:firstLine="9"/>
        <w:spacing w:after="0" w:line="547" w:lineRule="auto"/>
        <w:tabs>
          <w:tab w:leader="none" w:pos="105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9"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jc w:val="both"/>
        <w:ind w:right="2839"/>
        <w:spacing w:after="0" w:line="236" w:lineRule="auto"/>
        <w:rPr>
          <w:sz w:val="20"/>
          <w:szCs w:val="20"/>
          <w:color w:val="auto"/>
        </w:rPr>
      </w:pPr>
      <w:r>
        <w:rPr>
          <w:rFonts w:ascii="Courier New" w:cs="Courier New" w:eastAsia="Courier New" w:hAnsi="Courier New"/>
          <w:sz w:val="18"/>
          <w:szCs w:val="18"/>
          <w:color w:val="auto"/>
        </w:rPr>
        <w:t>Persons who respond to the collection of information contained in this form are not required to respond unless the form displays a currently valid OMB control number.</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1745 (3-06)</w:t>
      </w:r>
    </w:p>
    <w:p>
      <w:pPr>
        <w:spacing w:after="0" w:line="200" w:lineRule="exact"/>
        <w:rPr>
          <w:sz w:val="24"/>
          <w:szCs w:val="24"/>
          <w:color w:val="auto"/>
        </w:rPr>
      </w:pPr>
    </w:p>
    <w:p>
      <w:pPr>
        <w:spacing w:after="0" w:line="204" w:lineRule="exact"/>
        <w:rPr>
          <w:sz w:val="24"/>
          <w:szCs w:val="24"/>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G2519Y108</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Names of Reporting Persons.</w:t>
      </w:r>
    </w:p>
    <w:p>
      <w:pPr>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Baillie Gifford &amp; Co (Scottish partnership)</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w:t>
      </w:r>
    </w:p>
    <w:p>
      <w:pPr>
        <w:spacing w:after="0" w:line="21"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 Instructions)</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_______________________________________________________________________</w:t>
      </w:r>
    </w:p>
    <w:p>
      <w:pPr>
        <w:spacing w:after="0" w:line="16" w:lineRule="exact"/>
        <w:rPr>
          <w:rFonts w:ascii="Courier New" w:cs="Courier New" w:eastAsia="Courier New" w:hAnsi="Courier New"/>
          <w:sz w:val="16"/>
          <w:szCs w:val="16"/>
          <w:color w:val="auto"/>
        </w:rPr>
      </w:pPr>
    </w:p>
    <w:p>
      <w:pPr>
        <w:ind w:left="320" w:hanging="312"/>
        <w:spacing w:after="0" w:line="238"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320" w:hanging="312"/>
        <w:spacing w:after="0" w:line="238"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2"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SCOTLAND UK</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580" w:type="dxa"/>
            <w:vAlign w:val="bottom"/>
            <w:gridSpan w:val="2"/>
          </w:tcPr>
          <w:p>
            <w:pPr>
              <w:spacing w:after="0"/>
              <w:rPr>
                <w:sz w:val="20"/>
                <w:szCs w:val="20"/>
                <w:color w:val="auto"/>
              </w:rPr>
            </w:pPr>
            <w:r>
              <w:rPr>
                <w:rFonts w:ascii="Courier New" w:cs="Courier New" w:eastAsia="Courier New" w:hAnsi="Courier New"/>
                <w:sz w:val="18"/>
                <w:szCs w:val="18"/>
                <w:color w:val="auto"/>
              </w:rPr>
              <w:t>Number of</w:t>
            </w:r>
          </w:p>
        </w:tc>
        <w:tc>
          <w:tcPr>
            <w:tcW w:w="480" w:type="dxa"/>
            <w:vAlign w:val="bottom"/>
          </w:tcPr>
          <w:p>
            <w:pPr>
              <w:ind w:left="220"/>
              <w:spacing w:after="0"/>
              <w:rPr>
                <w:sz w:val="20"/>
                <w:szCs w:val="20"/>
                <w:color w:val="auto"/>
              </w:rPr>
            </w:pPr>
            <w:r>
              <w:rPr>
                <w:rFonts w:ascii="Courier New" w:cs="Courier New" w:eastAsia="Courier New" w:hAnsi="Courier New"/>
                <w:sz w:val="18"/>
                <w:szCs w:val="18"/>
                <w:color w:val="auto"/>
              </w:rPr>
              <w:t>5.</w:t>
            </w:r>
          </w:p>
        </w:tc>
        <w:tc>
          <w:tcPr>
            <w:tcW w:w="2420" w:type="dxa"/>
            <w:vAlign w:val="bottom"/>
          </w:tcPr>
          <w:p>
            <w:pPr>
              <w:ind w:left="60"/>
              <w:spacing w:after="0"/>
              <w:rPr>
                <w:sz w:val="20"/>
                <w:szCs w:val="20"/>
                <w:color w:val="auto"/>
              </w:rPr>
            </w:pPr>
            <w:r>
              <w:rPr>
                <w:rFonts w:ascii="Courier New" w:cs="Courier New" w:eastAsia="Courier New" w:hAnsi="Courier New"/>
                <w:sz w:val="18"/>
                <w:szCs w:val="18"/>
                <w:color w:val="auto"/>
              </w:rPr>
              <w:t>Sole Voting Power</w:t>
            </w:r>
          </w:p>
        </w:tc>
        <w:tc>
          <w:tcPr>
            <w:tcW w:w="3000" w:type="dxa"/>
            <w:vAlign w:val="bottom"/>
          </w:tcPr>
          <w:p>
            <w:pPr>
              <w:ind w:left="380"/>
              <w:spacing w:after="0"/>
              <w:rPr>
                <w:sz w:val="20"/>
                <w:szCs w:val="20"/>
                <w:color w:val="auto"/>
              </w:rPr>
            </w:pPr>
            <w:r>
              <w:rPr>
                <w:rFonts w:ascii="Courier New" w:cs="Courier New" w:eastAsia="Courier New" w:hAnsi="Courier New"/>
                <w:sz w:val="18"/>
                <w:szCs w:val="18"/>
                <w:color w:val="auto"/>
              </w:rPr>
              <w:t>2127280</w:t>
            </w:r>
          </w:p>
        </w:tc>
      </w:tr>
      <w:tr>
        <w:trPr>
          <w:trHeight w:val="203"/>
        </w:trPr>
        <w:tc>
          <w:tcPr>
            <w:tcW w:w="1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Shares Bene</w:t>
            </w:r>
          </w:p>
        </w:tc>
        <w:tc>
          <w:tcPr>
            <w:tcW w:w="590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ficially</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w:t>
            </w:r>
          </w:p>
        </w:tc>
        <w:tc>
          <w:tcPr>
            <w:tcW w:w="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w:t>
            </w:r>
          </w:p>
        </w:tc>
        <w:tc>
          <w:tcPr>
            <w:tcW w:w="2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30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Each</w:t>
            </w:r>
          </w:p>
        </w:tc>
        <w:tc>
          <w:tcPr>
            <w:tcW w:w="590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w:t>
            </w:r>
          </w:p>
        </w:tc>
      </w:tr>
    </w:tbl>
    <w:p>
      <w:pPr>
        <w:sectPr>
          <w:pgSz w:w="11900" w:h="16855" w:orient="portrait"/>
          <w:cols w:equalWidth="0" w:num="1">
            <w:col w:w="10219"/>
          </w:cols>
          <w:pgMar w:left="240" w:top="244" w:right="1440" w:bottom="0" w:gutter="0" w:footer="0" w:header="0"/>
        </w:sectPr>
      </w:pPr>
    </w:p>
    <w:bookmarkStart w:id="1" w:name="page2"/>
    <w:bookmarkEnd w:id="1"/>
    <w:p>
      <w:pPr>
        <w:spacing w:after="0"/>
        <w:tabs>
          <w:tab w:leader="none" w:pos="1780" w:val="left"/>
          <w:tab w:leader="none" w:pos="484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7. Sole Dispositive Power</w:t>
      </w:r>
      <w:r>
        <w:rPr>
          <w:sz w:val="20"/>
          <w:szCs w:val="20"/>
          <w:color w:val="auto"/>
        </w:rPr>
        <w:tab/>
      </w:r>
      <w:r>
        <w:rPr>
          <w:rFonts w:ascii="Courier New" w:cs="Courier New" w:eastAsia="Courier New" w:hAnsi="Courier New"/>
          <w:sz w:val="16"/>
          <w:szCs w:val="16"/>
          <w:color w:val="auto"/>
        </w:rPr>
        <w:t>4147602</w:t>
      </w:r>
    </w:p>
    <w:p>
      <w:pPr>
        <w:spacing w:after="0"/>
        <w:tabs>
          <w:tab w:leader="none" w:pos="1780" w:val="left"/>
        </w:tabs>
        <w:rPr>
          <w:sz w:val="20"/>
          <w:szCs w:val="20"/>
          <w:color w:val="auto"/>
        </w:rPr>
      </w:pPr>
      <w:r>
        <w:rPr>
          <w:rFonts w:ascii="Courier New" w:cs="Courier New" w:eastAsia="Courier New" w:hAnsi="Courier New"/>
          <w:sz w:val="18"/>
          <w:szCs w:val="18"/>
          <w:color w:val="auto"/>
        </w:rPr>
        <w:t>Person With:</w:t>
      </w:r>
      <w:r>
        <w:rPr>
          <w:sz w:val="20"/>
          <w:szCs w:val="20"/>
          <w:color w:val="auto"/>
        </w:rPr>
        <w:tab/>
      </w:r>
      <w:r>
        <w:rPr>
          <w:rFonts w:ascii="Courier New" w:cs="Courier New" w:eastAsia="Courier New" w:hAnsi="Courier New"/>
          <w:sz w:val="16"/>
          <w:szCs w:val="16"/>
          <w:color w:val="auto"/>
        </w:rPr>
        <w:t>______________________________________________________</w:t>
      </w:r>
    </w:p>
    <w:p>
      <w:pPr>
        <w:ind w:left="2120" w:hanging="321"/>
        <w:spacing w:after="0"/>
        <w:tabs>
          <w:tab w:leader="none" w:pos="212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3"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w:t>
      </w:r>
    </w:p>
    <w:p>
      <w:pPr>
        <w:spacing w:after="0" w:line="223" w:lineRule="exact"/>
        <w:rPr>
          <w:rFonts w:ascii="Courier New" w:cs="Courier New" w:eastAsia="Courier New" w:hAnsi="Courier New"/>
          <w:sz w:val="18"/>
          <w:szCs w:val="18"/>
          <w:color w:val="auto"/>
        </w:rPr>
      </w:pPr>
    </w:p>
    <w:p>
      <w:pPr>
        <w:ind w:left="5380" w:right="2739" w:hanging="5372"/>
        <w:spacing w:after="0" w:line="290" w:lineRule="auto"/>
        <w:tabs>
          <w:tab w:leader="none" w:pos="324"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 4147602 common stock</w:t>
      </w:r>
    </w:p>
    <w:p>
      <w:pPr>
        <w:spacing w:after="0" w:line="169" w:lineRule="exact"/>
        <w:rPr>
          <w:rFonts w:ascii="Courier New" w:cs="Courier New" w:eastAsia="Courier New" w:hAnsi="Courier New"/>
          <w:sz w:val="16"/>
          <w:szCs w:val="16"/>
          <w:color w:val="auto"/>
        </w:rPr>
      </w:pPr>
    </w:p>
    <w:p>
      <w:pPr>
        <w:ind w:left="320" w:right="3039" w:hanging="312"/>
        <w:spacing w:after="0" w:line="235" w:lineRule="auto"/>
        <w:tabs>
          <w:tab w:leader="none" w:pos="42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220" w:type="dxa"/>
            <w:vAlign w:val="bottom"/>
          </w:tcPr>
          <w:p>
            <w:pPr>
              <w:spacing w:after="0"/>
              <w:rPr>
                <w:sz w:val="20"/>
                <w:szCs w:val="20"/>
                <w:color w:val="auto"/>
              </w:rPr>
            </w:pPr>
            <w:r>
              <w:rPr>
                <w:rFonts w:ascii="Courier New" w:cs="Courier New" w:eastAsia="Courier New" w:hAnsi="Courier New"/>
                <w:sz w:val="18"/>
                <w:szCs w:val="18"/>
                <w:color w:val="auto"/>
              </w:rPr>
              <w:t>11. Percent of Class Represented by Amount in Row (9)</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5.20 %</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w:t>
      </w:r>
    </w:p>
    <w:p>
      <w:pPr>
        <w:spacing w:after="0" w:line="218" w:lineRule="exact"/>
        <w:rPr>
          <w:sz w:val="20"/>
          <w:szCs w:val="20"/>
          <w:color w:val="auto"/>
        </w:rPr>
      </w:pPr>
    </w:p>
    <w:p>
      <w:pPr>
        <w:spacing w:after="0"/>
        <w:tabs>
          <w:tab w:leader="none" w:pos="7160" w:val="left"/>
        </w:tabs>
        <w:rPr>
          <w:sz w:val="20"/>
          <w:szCs w:val="20"/>
          <w:color w:val="auto"/>
        </w:rPr>
      </w:pPr>
      <w:r>
        <w:rPr>
          <w:rFonts w:ascii="Courier New" w:cs="Courier New" w:eastAsia="Courier New" w:hAnsi="Courier New"/>
          <w:sz w:val="18"/>
          <w:szCs w:val="18"/>
          <w:color w:val="auto"/>
        </w:rPr>
        <w:t>12. Type of Reporting Person (See Instructions)</w:t>
      </w:r>
      <w:r>
        <w:rPr>
          <w:sz w:val="20"/>
          <w:szCs w:val="20"/>
          <w:color w:val="auto"/>
        </w:rPr>
        <w:tab/>
      </w:r>
      <w:r>
        <w:rPr>
          <w:rFonts w:ascii="Courier New" w:cs="Courier New" w:eastAsia="Courier New" w:hAnsi="Courier New"/>
          <w:sz w:val="16"/>
          <w:szCs w:val="16"/>
          <w:color w:val="auto"/>
        </w:rPr>
        <w:t>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(a) Name of Issuer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Credicorp.</w:t>
      </w:r>
    </w:p>
    <w:p>
      <w:pPr>
        <w:spacing w:after="0" w:line="200" w:lineRule="exact"/>
        <w:rPr>
          <w:sz w:val="20"/>
          <w:szCs w:val="20"/>
          <w:color w:val="auto"/>
        </w:rPr>
      </w:pPr>
    </w:p>
    <w:p>
      <w:pPr>
        <w:sectPr>
          <w:pgSz w:w="11900" w:h="16838" w:orient="portrait"/>
          <w:cols w:equalWidth="0" w:num="2">
            <w:col w:w="4240" w:space="720"/>
            <w:col w:w="5259"/>
          </w:cols>
          <w:pgMar w:left="240" w:top="136" w:right="1440" w:bottom="0" w:gutter="0" w:footer="0" w:header="0"/>
          <w:type w:val="continuous"/>
        </w:sectPr>
      </w:pPr>
    </w:p>
    <w:p>
      <w:pPr>
        <w:spacing w:after="0" w:line="18"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(b) Address of Issuers Principal Executive Offices</w:t>
      </w:r>
    </w:p>
    <w:p>
      <w:pPr>
        <w:spacing w:after="0" w:line="207"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156 Calle Centenario</w:t>
      </w:r>
    </w:p>
    <w:p>
      <w:pPr>
        <w:spacing w:after="0" w:line="16"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La Molina</w:t>
      </w:r>
    </w:p>
    <w:p>
      <w:pPr>
        <w:ind w:left="4960"/>
        <w:spacing w:after="0" w:line="238" w:lineRule="auto"/>
        <w:rPr>
          <w:sz w:val="20"/>
          <w:szCs w:val="20"/>
          <w:color w:val="auto"/>
        </w:rPr>
      </w:pPr>
      <w:r>
        <w:rPr>
          <w:rFonts w:ascii="Courier New" w:cs="Courier New" w:eastAsia="Courier New" w:hAnsi="Courier New"/>
          <w:sz w:val="18"/>
          <w:szCs w:val="18"/>
          <w:color w:val="auto"/>
        </w:rPr>
        <w:t>Lima 12</w:t>
      </w:r>
    </w:p>
    <w:p>
      <w:pPr>
        <w:ind w:left="4960"/>
        <w:spacing w:after="0"/>
        <w:rPr>
          <w:sz w:val="20"/>
          <w:szCs w:val="20"/>
          <w:color w:val="auto"/>
        </w:rPr>
      </w:pPr>
      <w:r>
        <w:rPr>
          <w:rFonts w:ascii="Courier New" w:cs="Courier New" w:eastAsia="Courier New" w:hAnsi="Courier New"/>
          <w:sz w:val="18"/>
          <w:szCs w:val="18"/>
          <w:color w:val="auto"/>
        </w:rPr>
        <w:t>Peru</w:t>
      </w:r>
    </w:p>
    <w:p>
      <w:pPr>
        <w:sectPr>
          <w:pgSz w:w="11900" w:h="16838" w:orient="portrait"/>
          <w:cols w:equalWidth="0" w:num="1">
            <w:col w:w="10219"/>
          </w:cols>
          <w:pgMar w:left="240" w:top="136"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(a) Name of Person Filing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Baillie Gifford &amp; Co</w:t>
      </w:r>
    </w:p>
    <w:p>
      <w:pPr>
        <w:spacing w:after="0" w:line="200" w:lineRule="exact"/>
        <w:rPr>
          <w:sz w:val="20"/>
          <w:szCs w:val="20"/>
          <w:color w:val="auto"/>
        </w:rPr>
      </w:pPr>
    </w:p>
    <w:p>
      <w:pPr>
        <w:sectPr>
          <w:pgSz w:w="11900" w:h="16838" w:orient="portrait"/>
          <w:cols w:equalWidth="0" w:num="2">
            <w:col w:w="4240" w:space="720"/>
            <w:col w:w="5259"/>
          </w:cols>
          <w:pgMar w:left="240" w:top="136" w:right="1440" w:bottom="0" w:gutter="0" w:footer="0" w:header="0"/>
          <w:type w:val="continuous"/>
        </w:sectPr>
      </w:pPr>
    </w:p>
    <w:p>
      <w:pPr>
        <w:spacing w:after="0" w:line="2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(b) Address of Principal Business Office or, if none, Residence</w:t>
      </w:r>
    </w:p>
    <w:p>
      <w:pPr>
        <w:spacing w:after="0" w:line="218"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Calton Square</w:t>
      </w:r>
    </w:p>
    <w:p>
      <w:pPr>
        <w:ind w:left="4960"/>
        <w:spacing w:after="0" w:line="238" w:lineRule="auto"/>
        <w:rPr>
          <w:sz w:val="20"/>
          <w:szCs w:val="20"/>
          <w:color w:val="auto"/>
        </w:rPr>
      </w:pPr>
      <w:r>
        <w:rPr>
          <w:rFonts w:ascii="Courier New" w:cs="Courier New" w:eastAsia="Courier New" w:hAnsi="Courier New"/>
          <w:sz w:val="18"/>
          <w:szCs w:val="18"/>
          <w:color w:val="auto"/>
        </w:rPr>
        <w:t>1 Greenside Row</w:t>
      </w:r>
    </w:p>
    <w:p>
      <w:pPr>
        <w:ind w:left="4960"/>
        <w:spacing w:after="0"/>
        <w:rPr>
          <w:sz w:val="20"/>
          <w:szCs w:val="20"/>
          <w:color w:val="auto"/>
        </w:rPr>
      </w:pPr>
      <w:r>
        <w:rPr>
          <w:rFonts w:ascii="Courier New" w:cs="Courier New" w:eastAsia="Courier New" w:hAnsi="Courier New"/>
          <w:sz w:val="18"/>
          <w:szCs w:val="18"/>
          <w:color w:val="auto"/>
        </w:rPr>
        <w:t>Edinburgh EH1 3AN</w:t>
      </w:r>
    </w:p>
    <w:p>
      <w:pPr>
        <w:ind w:left="4960"/>
        <w:spacing w:after="0" w:line="237" w:lineRule="auto"/>
        <w:rPr>
          <w:sz w:val="20"/>
          <w:szCs w:val="20"/>
          <w:color w:val="auto"/>
        </w:rPr>
      </w:pPr>
      <w:r>
        <w:rPr>
          <w:rFonts w:ascii="Courier New" w:cs="Courier New" w:eastAsia="Courier New" w:hAnsi="Courier New"/>
          <w:sz w:val="18"/>
          <w:szCs w:val="18"/>
          <w:color w:val="auto"/>
        </w:rPr>
        <w:t>Scotland</w:t>
      </w:r>
    </w:p>
    <w:p>
      <w:pPr>
        <w:ind w:left="4960"/>
        <w:spacing w:after="0" w:line="238" w:lineRule="auto"/>
        <w:rPr>
          <w:sz w:val="20"/>
          <w:szCs w:val="20"/>
          <w:color w:val="auto"/>
        </w:rPr>
      </w:pPr>
      <w:r>
        <w:rPr>
          <w:rFonts w:ascii="Courier New" w:cs="Courier New" w:eastAsia="Courier New" w:hAnsi="Courier New"/>
          <w:sz w:val="18"/>
          <w:szCs w:val="18"/>
          <w:color w:val="auto"/>
        </w:rPr>
        <w:t>UK</w:t>
      </w:r>
    </w:p>
    <w:p>
      <w:pPr>
        <w:sectPr>
          <w:pgSz w:w="11900" w:h="16838" w:orient="portrait"/>
          <w:cols w:equalWidth="0" w:num="1">
            <w:col w:w="10219"/>
          </w:cols>
          <w:pgMar w:left="240" w:top="136" w:right="1440" w:bottom="0" w:gutter="0" w:footer="0" w:header="0"/>
          <w:type w:val="continuous"/>
        </w:sectPr>
      </w:pPr>
    </w:p>
    <w:p>
      <w:pPr>
        <w:spacing w:after="0" w:line="208"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(c) Citizenship</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Scotland UK</w:t>
      </w:r>
    </w:p>
    <w:p>
      <w:pPr>
        <w:spacing w:after="0" w:line="200" w:lineRule="exact"/>
        <w:rPr>
          <w:sz w:val="20"/>
          <w:szCs w:val="20"/>
          <w:color w:val="auto"/>
        </w:rPr>
      </w:pPr>
    </w:p>
    <w:p>
      <w:pPr>
        <w:sectPr>
          <w:pgSz w:w="11900" w:h="16838" w:orient="portrait"/>
          <w:cols w:equalWidth="0" w:num="2">
            <w:col w:w="4240" w:space="720"/>
            <w:col w:w="5259"/>
          </w:cols>
          <w:pgMar w:left="240" w:top="136" w:right="1440" w:bottom="0" w:gutter="0" w:footer="0" w:header="0"/>
          <w:type w:val="continuous"/>
        </w:sectPr>
      </w:pPr>
    </w:p>
    <w:p>
      <w:pPr>
        <w:spacing w:after="0" w:line="2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(d) Title of Class of Securities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 stock</w:t>
      </w:r>
    </w:p>
    <w:p>
      <w:pPr>
        <w:spacing w:after="0" w:line="200" w:lineRule="exact"/>
        <w:rPr>
          <w:sz w:val="20"/>
          <w:szCs w:val="20"/>
          <w:color w:val="auto"/>
        </w:rPr>
      </w:pPr>
    </w:p>
    <w:p>
      <w:pPr>
        <w:sectPr>
          <w:pgSz w:w="11900" w:h="16838" w:orient="portrait"/>
          <w:cols w:equalWidth="0" w:num="2">
            <w:col w:w="4240" w:space="720"/>
            <w:col w:w="5259"/>
          </w:cols>
          <w:pgMar w:left="240" w:top="136" w:right="1440" w:bottom="0" w:gutter="0" w:footer="0" w:header="0"/>
          <w:type w:val="continuous"/>
        </w:sectPr>
      </w:pPr>
    </w:p>
    <w:p>
      <w:pPr>
        <w:spacing w:after="0" w:line="2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(e) CUSIP Number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G2519Y108</w:t>
      </w:r>
    </w:p>
    <w:p>
      <w:pPr>
        <w:spacing w:after="0" w:line="200" w:lineRule="exact"/>
        <w:rPr>
          <w:sz w:val="20"/>
          <w:szCs w:val="20"/>
          <w:color w:val="auto"/>
        </w:rPr>
      </w:pPr>
    </w:p>
    <w:p>
      <w:pPr>
        <w:sectPr>
          <w:pgSz w:w="11900" w:h="16838" w:orient="portrait"/>
          <w:cols w:equalWidth="0" w:num="2">
            <w:col w:w="4240" w:space="720"/>
            <w:col w:w="5259"/>
          </w:cols>
          <w:pgMar w:left="240" w:top="136" w:right="1440" w:bottom="0" w:gutter="0" w:footer="0" w:header="0"/>
          <w:type w:val="continuous"/>
        </w:sectPr>
      </w:pPr>
    </w:p>
    <w:p>
      <w:pPr>
        <w:spacing w:after="0" w:line="24"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8"/>
          <w:szCs w:val="18"/>
          <w:color w:val="auto"/>
        </w:rPr>
        <w:t>Item 3. If this statement is filed pursuant to rule 240.13d-1(b) or 240.13d-2(b) or (c), check whether the person filing is a:</w:t>
      </w:r>
    </w:p>
    <w:p>
      <w:pPr>
        <w:spacing w:after="0" w:line="208" w:lineRule="exact"/>
        <w:rPr>
          <w:sz w:val="20"/>
          <w:szCs w:val="20"/>
          <w:color w:val="auto"/>
        </w:rPr>
      </w:pPr>
    </w:p>
    <w:p>
      <w:pPr>
        <w:ind w:left="640" w:right="3679" w:hanging="632"/>
        <w:spacing w:after="0" w:line="235" w:lineRule="auto"/>
        <w:tabs>
          <w:tab w:leader="none" w:pos="74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Broker or dealer registered under section 15 of the Act (15 U.S.C. 78o).</w:t>
      </w:r>
    </w:p>
    <w:p>
      <w:pPr>
        <w:spacing w:after="0" w:line="208" w:lineRule="exact"/>
        <w:rPr>
          <w:rFonts w:ascii="Courier New" w:cs="Courier New" w:eastAsia="Courier New" w:hAnsi="Courier New"/>
          <w:sz w:val="18"/>
          <w:szCs w:val="18"/>
          <w:color w:val="auto"/>
        </w:rPr>
      </w:pPr>
    </w:p>
    <w:p>
      <w:pPr>
        <w:ind w:left="740" w:hanging="732"/>
        <w:spacing w:after="0"/>
        <w:tabs>
          <w:tab w:leader="none" w:pos="7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Bank as defined in section 3(a)(6) of the Act (15 U.S.C. 78c).</w:t>
      </w:r>
    </w:p>
    <w:p>
      <w:pPr>
        <w:spacing w:after="0" w:line="223" w:lineRule="exact"/>
        <w:rPr>
          <w:rFonts w:ascii="Courier New" w:cs="Courier New" w:eastAsia="Courier New" w:hAnsi="Courier New"/>
          <w:sz w:val="16"/>
          <w:szCs w:val="16"/>
          <w:color w:val="auto"/>
        </w:rPr>
      </w:pPr>
    </w:p>
    <w:p>
      <w:pPr>
        <w:ind w:left="640" w:right="3259" w:hanging="632"/>
        <w:spacing w:after="0" w:line="235" w:lineRule="auto"/>
        <w:tabs>
          <w:tab w:leader="none" w:pos="74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Insurance company as defined in section 3(a)(19) of the Act (15 U.S.C. 78c).</w:t>
      </w:r>
    </w:p>
    <w:p>
      <w:pPr>
        <w:spacing w:after="0" w:line="208" w:lineRule="exact"/>
        <w:rPr>
          <w:rFonts w:ascii="Courier New" w:cs="Courier New" w:eastAsia="Courier New" w:hAnsi="Courier New"/>
          <w:sz w:val="18"/>
          <w:szCs w:val="18"/>
          <w:color w:val="auto"/>
        </w:rPr>
      </w:pPr>
    </w:p>
    <w:p>
      <w:pPr>
        <w:ind w:left="740" w:right="2839" w:hanging="732"/>
        <w:spacing w:after="0" w:line="235"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company registered under section 8 of the Investment Company Act of 1940 (15 U.S.C 80a-8).</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rule 240.13d-</w:t>
      </w:r>
    </w:p>
    <w:p>
      <w:pPr>
        <w:sectPr>
          <w:pgSz w:w="11900" w:h="16838" w:orient="portrait"/>
          <w:cols w:equalWidth="0" w:num="1">
            <w:col w:w="10219"/>
          </w:cols>
          <w:pgMar w:left="240" w:top="136" w:right="1440" w:bottom="0" w:gutter="0" w:footer="0" w:header="0"/>
          <w:type w:val="continuous"/>
        </w:sectPr>
      </w:pPr>
    </w:p>
    <w:bookmarkStart w:id="2" w:name="page3"/>
    <w:bookmarkEnd w:id="2"/>
    <w:p>
      <w:pPr>
        <w:ind w:left="740"/>
        <w:spacing w:after="0"/>
        <w:rPr>
          <w:sz w:val="20"/>
          <w:szCs w:val="20"/>
          <w:color w:val="auto"/>
        </w:rPr>
      </w:pPr>
      <w:r>
        <w:rPr>
          <w:rFonts w:ascii="Courier New" w:cs="Courier New" w:eastAsia="Courier New" w:hAnsi="Courier New"/>
          <w:sz w:val="18"/>
          <w:szCs w:val="18"/>
          <w:color w:val="auto"/>
        </w:rPr>
        <w:t>1(b)(1)(ii)(E)</w:t>
      </w:r>
    </w:p>
    <w:p>
      <w:pPr>
        <w:spacing w:after="0" w:line="207" w:lineRule="exact"/>
        <w:rPr>
          <w:sz w:val="20"/>
          <w:szCs w:val="20"/>
          <w:color w:val="auto"/>
        </w:rPr>
      </w:pPr>
    </w:p>
    <w:p>
      <w:pPr>
        <w:ind w:left="740" w:right="3039" w:hanging="732"/>
        <w:spacing w:after="0" w:line="235"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employee benefit plan or endowment fund in accordance with 240.13d-1(b)(1)(ii)(F)</w:t>
      </w:r>
    </w:p>
    <w:p>
      <w:pPr>
        <w:spacing w:after="0" w:line="208" w:lineRule="exact"/>
        <w:rPr>
          <w:rFonts w:ascii="Courier New" w:cs="Courier New" w:eastAsia="Courier New" w:hAnsi="Courier New"/>
          <w:sz w:val="18"/>
          <w:szCs w:val="18"/>
          <w:color w:val="auto"/>
        </w:rPr>
      </w:pPr>
    </w:p>
    <w:p>
      <w:pPr>
        <w:ind w:left="740" w:right="3039" w:hanging="732"/>
        <w:spacing w:after="0" w:line="235"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240.13d-1(b) (1)(ii)(G)</w:t>
      </w:r>
    </w:p>
    <w:p>
      <w:pPr>
        <w:spacing w:after="0" w:line="208" w:lineRule="exact"/>
        <w:rPr>
          <w:rFonts w:ascii="Courier New" w:cs="Courier New" w:eastAsia="Courier New" w:hAnsi="Courier New"/>
          <w:sz w:val="18"/>
          <w:szCs w:val="18"/>
          <w:color w:val="auto"/>
        </w:rPr>
      </w:pPr>
    </w:p>
    <w:p>
      <w:pPr>
        <w:ind w:left="740" w:right="2739" w:hanging="732"/>
        <w:spacing w:after="0" w:line="235"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savings associations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740" w:right="3259" w:hanging="732"/>
        <w:spacing w:after="0" w:line="236"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church plan that is excluded from the definition of an investment company under section 3(c)(14) of the Investment Company Act of 1940 (15 U.S.C. 80a-3)</w:t>
      </w:r>
    </w:p>
    <w:p>
      <w:pPr>
        <w:spacing w:after="0" w:line="203" w:lineRule="exact"/>
        <w:rPr>
          <w:rFonts w:ascii="Courier New" w:cs="Courier New" w:eastAsia="Courier New" w:hAnsi="Courier New"/>
          <w:sz w:val="18"/>
          <w:szCs w:val="18"/>
          <w:color w:val="auto"/>
        </w:rPr>
      </w:pPr>
    </w:p>
    <w:p>
      <w:pPr>
        <w:ind w:left="740" w:hanging="732"/>
        <w:spacing w:after="0"/>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Group in accordance with rule 240.13d-1(b)(1)(ii)(J).</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pacing w:after="0" w:line="164" w:lineRule="exact"/>
        <w:rPr>
          <w:sz w:val="20"/>
          <w:szCs w:val="20"/>
          <w:color w:val="auto"/>
        </w:rPr>
      </w:pPr>
    </w:p>
    <w:p>
      <w:pPr>
        <w:ind w:left="640" w:hanging="632"/>
        <w:spacing w:after="0"/>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see row (9) on page 2.</w:t>
      </w:r>
    </w:p>
    <w:p>
      <w:pPr>
        <w:spacing w:after="0" w:line="201" w:lineRule="exact"/>
        <w:rPr>
          <w:sz w:val="20"/>
          <w:szCs w:val="20"/>
          <w:color w:val="auto"/>
        </w:rPr>
      </w:pPr>
    </w:p>
    <w:p>
      <w:pPr>
        <w:spacing w:after="0"/>
        <w:tabs>
          <w:tab w:leader="none" w:pos="620" w:val="left"/>
          <w:tab w:leader="none" w:pos="336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see row (11) on page 2.</w:t>
      </w:r>
    </w:p>
    <w:p>
      <w:pPr>
        <w:spacing w:after="0" w:line="201" w:lineRule="exact"/>
        <w:rPr>
          <w:sz w:val="20"/>
          <w:szCs w:val="20"/>
          <w:color w:val="auto"/>
        </w:rPr>
      </w:pPr>
    </w:p>
    <w:p>
      <w:pPr>
        <w:ind w:left="640" w:hanging="632"/>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4" w:lineRule="exact"/>
        <w:rPr>
          <w:sz w:val="20"/>
          <w:szCs w:val="20"/>
          <w:color w:val="auto"/>
        </w:rPr>
      </w:pPr>
    </w:p>
    <w:p>
      <w:pPr>
        <w:ind w:left="640" w:right="5359" w:hanging="632"/>
        <w:spacing w:after="0" w:line="235" w:lineRule="auto"/>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See row (5) on page 2.</w:t>
      </w:r>
    </w:p>
    <w:p>
      <w:pPr>
        <w:spacing w:after="0" w:line="5" w:lineRule="exact"/>
        <w:rPr>
          <w:rFonts w:ascii="Courier New" w:cs="Courier New" w:eastAsia="Courier New" w:hAnsi="Courier New"/>
          <w:sz w:val="18"/>
          <w:szCs w:val="18"/>
          <w:color w:val="auto"/>
        </w:rPr>
      </w:pPr>
    </w:p>
    <w:p>
      <w:pPr>
        <w:ind w:left="640" w:right="5159" w:hanging="632"/>
        <w:spacing w:after="0" w:line="235" w:lineRule="auto"/>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See row (6) on page 2</w:t>
      </w:r>
    </w:p>
    <w:p>
      <w:pPr>
        <w:spacing w:after="0" w:line="5" w:lineRule="exact"/>
        <w:rPr>
          <w:rFonts w:ascii="Courier New" w:cs="Courier New" w:eastAsia="Courier New" w:hAnsi="Courier New"/>
          <w:sz w:val="18"/>
          <w:szCs w:val="18"/>
          <w:color w:val="auto"/>
        </w:rPr>
      </w:pPr>
    </w:p>
    <w:p>
      <w:pPr>
        <w:ind w:left="640" w:right="3999" w:hanging="632"/>
        <w:spacing w:after="0" w:line="235" w:lineRule="auto"/>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See row (7) on page 2</w:t>
      </w:r>
    </w:p>
    <w:p>
      <w:pPr>
        <w:spacing w:after="0" w:line="5" w:lineRule="exact"/>
        <w:rPr>
          <w:rFonts w:ascii="Courier New" w:cs="Courier New" w:eastAsia="Courier New" w:hAnsi="Courier New"/>
          <w:sz w:val="18"/>
          <w:szCs w:val="18"/>
          <w:color w:val="auto"/>
        </w:rPr>
      </w:pPr>
    </w:p>
    <w:p>
      <w:pPr>
        <w:ind w:left="640" w:right="3779" w:hanging="632"/>
        <w:spacing w:after="0" w:line="235" w:lineRule="auto"/>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See row (8) on page 2</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 Ownership of More than Five Percent on Behalf of Another Person.</w:t>
      </w:r>
    </w:p>
    <w:p>
      <w:pPr>
        <w:spacing w:after="0" w:line="224" w:lineRule="exact"/>
        <w:rPr>
          <w:sz w:val="20"/>
          <w:szCs w:val="20"/>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Securities reported on this Schedule 13G as being beneficially owned by Baillie Gifford &amp; Co. are held by Baillie Gifford &amp; Co. and/or one or more of its investment adviser subsidiaries, which may include Baillie Gifford Overseas Limited, on behalf of investment advisory clients, which may include investment companies registered under the Investment Company Act, employee benefit plans, pension funds or other institutional clients.</w:t>
      </w:r>
    </w:p>
    <w:p>
      <w:pPr>
        <w:spacing w:after="0" w:line="200" w:lineRule="exact"/>
        <w:rPr>
          <w:sz w:val="20"/>
          <w:szCs w:val="20"/>
          <w:color w:val="auto"/>
        </w:rPr>
      </w:pPr>
    </w:p>
    <w:p>
      <w:pPr>
        <w:spacing w:after="0" w:line="214" w:lineRule="exact"/>
        <w:rPr>
          <w:sz w:val="20"/>
          <w:szCs w:val="20"/>
          <w:color w:val="auto"/>
        </w:rPr>
      </w:pPr>
    </w:p>
    <w:p>
      <w:pPr>
        <w:ind w:right="2939"/>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By signing below I certify that, to the best of my knowledge and belief:</w:t>
      </w:r>
    </w:p>
    <w:p>
      <w:pPr>
        <w:spacing w:after="0"/>
        <w:rPr>
          <w:sz w:val="20"/>
          <w:szCs w:val="20"/>
          <w:color w:val="auto"/>
        </w:rPr>
      </w:pPr>
      <w:r>
        <w:rPr>
          <w:rFonts w:ascii="Courier New" w:cs="Courier New" w:eastAsia="Courier New" w:hAnsi="Courier New"/>
          <w:sz w:val="18"/>
          <w:szCs w:val="18"/>
          <w:color w:val="auto"/>
        </w:rPr>
        <w:t>- the securities referred to above were acquired and are held in</w:t>
      </w:r>
    </w:p>
    <w:p>
      <w:pPr>
        <w:sectPr>
          <w:pgSz w:w="11900" w:h="16838" w:orient="portrait"/>
          <w:cols w:equalWidth="0" w:num="1">
            <w:col w:w="10219"/>
          </w:cols>
          <w:pgMar w:left="240" w:top="136" w:right="1440" w:bottom="0" w:gutter="0" w:footer="0" w:header="0"/>
        </w:sectPr>
      </w:pPr>
    </w:p>
    <w:bookmarkStart w:id="3" w:name="page4"/>
    <w:bookmarkEnd w:id="3"/>
    <w:p>
      <w:pPr>
        <w:ind w:right="2839"/>
        <w:spacing w:after="0" w:line="237" w:lineRule="auto"/>
        <w:rPr>
          <w:sz w:val="20"/>
          <w:szCs w:val="20"/>
          <w:color w:val="auto"/>
        </w:rPr>
      </w:pPr>
      <w:r>
        <w:rPr>
          <w:rFonts w:ascii="Courier New" w:cs="Courier New" w:eastAsia="Courier New" w:hAnsi="Courier New"/>
          <w:sz w:val="18"/>
          <w:szCs w:val="18"/>
          <w:color w:val="auto"/>
        </w:rPr>
        <w:t>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6" w:lineRule="exact"/>
        <w:rPr>
          <w:sz w:val="20"/>
          <w:szCs w:val="20"/>
          <w:color w:val="auto"/>
        </w:rPr>
      </w:pPr>
    </w:p>
    <w:p>
      <w:pPr>
        <w:ind w:right="3039" w:firstLine="8"/>
        <w:spacing w:after="0" w:line="236" w:lineRule="auto"/>
        <w:tabs>
          <w:tab w:leader="none" w:pos="21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foreign regulatory scheme applicable to investment advisers is substantially comparable to the functionally equivalent U.S. institution(s).</w:t>
      </w:r>
    </w:p>
    <w:p>
      <w:pPr>
        <w:spacing w:after="0" w:line="6" w:lineRule="exact"/>
        <w:rPr>
          <w:rFonts w:ascii="Courier New" w:cs="Courier New" w:eastAsia="Courier New" w:hAnsi="Courier New"/>
          <w:sz w:val="18"/>
          <w:szCs w:val="18"/>
          <w:color w:val="auto"/>
        </w:rPr>
      </w:pPr>
    </w:p>
    <w:p>
      <w:pPr>
        <w:ind w:right="34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 also undertake to furnish the Commission staff, upon request, information that would otherwise be disclosed in a Schedule 13D.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839"/>
        <w:spacing w:after="0" w:line="236" w:lineRule="auto"/>
        <w:rPr>
          <w:sz w:val="20"/>
          <w:szCs w:val="20"/>
          <w:color w:val="auto"/>
        </w:rPr>
      </w:pPr>
      <w:r>
        <w:rPr>
          <w:rFonts w:ascii="Courier New" w:cs="Courier New" w:eastAsia="Courier New" w:hAnsi="Courier New"/>
          <w:sz w:val="18"/>
          <w:szCs w:val="18"/>
          <w:color w:val="auto"/>
        </w:rPr>
        <w:t>After reasonable enquiry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28 January 2014</w:t>
      </w:r>
    </w:p>
    <w:p>
      <w:pPr>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Angus Macdonald</w:t>
      </w:r>
    </w:p>
    <w:p>
      <w:pPr>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Angus Macdonald</w:t>
      </w:r>
    </w:p>
    <w:p>
      <w:pPr>
        <w:spacing w:after="0" w:line="238" w:lineRule="auto"/>
        <w:rPr>
          <w:sz w:val="20"/>
          <w:szCs w:val="20"/>
          <w:color w:val="auto"/>
        </w:rPr>
      </w:pPr>
      <w:r>
        <w:rPr>
          <w:rFonts w:ascii="Courier New" w:cs="Courier New" w:eastAsia="Courier New" w:hAnsi="Courier New"/>
          <w:sz w:val="18"/>
          <w:szCs w:val="18"/>
          <w:color w:val="auto"/>
        </w:rPr>
        <w:t>Head of Group Legal - Baillie Gifford &amp; Co</w:t>
      </w:r>
    </w:p>
    <w:p>
      <w:pPr>
        <w:spacing w:after="0"/>
        <w:rPr>
          <w:sz w:val="20"/>
          <w:szCs w:val="20"/>
          <w:color w:val="auto"/>
        </w:rPr>
      </w:pPr>
      <w:r>
        <w:rPr>
          <w:rFonts w:ascii="Courier New" w:cs="Courier New" w:eastAsia="Courier New" w:hAnsi="Courier New"/>
          <w:sz w:val="18"/>
          <w:szCs w:val="18"/>
          <w:color w:val="auto"/>
        </w:rPr>
        <w:t>_______________________________________</w:t>
      </w:r>
    </w:p>
    <w:p>
      <w:pPr>
        <w:spacing w:after="0" w:line="237" w:lineRule="auto"/>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original statement shall be signed by each person on</w:t>
      </w:r>
    </w:p>
    <w:p>
      <w:pPr>
        <w:spacing w:after="0" w:line="4"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Schedules filed in paper format shall include a signed original</w:t>
      </w:r>
    </w:p>
    <w:p>
      <w:pPr>
        <w:spacing w:after="0" w:line="4"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and five copies of the schedule,including all exhibits. See rule 240.13d-7 for other parties for whom copies are to be sent.</w:t>
      </w:r>
    </w:p>
    <w:p>
      <w:pPr>
        <w:spacing w:after="0" w:line="208"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1"/>
    </w:lvl>
    <w:lvl w:ilvl="1">
      <w:lvlJc w:val="left"/>
      <w:lvlText w:val="%2."/>
      <w:numFmt w:val="decimal"/>
      <w:start w:val="8"/>
    </w:lvl>
  </w:abstractNum>
  <w:abstractNum w:abstractNumId="3">
    <w:nsid w:val="41B71EFB"/>
    <w:multiLevelType w:val="hybridMultilevel"/>
    <w:lvl w:ilvl="0">
      <w:lvlJc w:val="left"/>
      <w:lvlText w:val="%1."/>
      <w:numFmt w:val="decimal"/>
      <w:start w:val="9"/>
    </w:lvl>
    <w:lvl w:ilvl="1">
      <w:lvlJc w:val="left"/>
      <w:lvlText w:val="%2"/>
      <w:numFmt w:val="decimal"/>
      <w:start w:val="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6"/>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3"/>
    </w:lvl>
  </w:abstractNum>
  <w:abstractNum w:abstractNumId="8">
    <w:nsid w:val="12200854"/>
    <w:multiLevelType w:val="hybridMultilevel"/>
    <w:lvl w:ilvl="0">
      <w:lvlJc w:val="left"/>
      <w:lvlText w:val="(%1)"/>
      <w:numFmt w:val="lowerRoman"/>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2019-12-06T13:24:31Z</dcterms:created>
  <dcterms:modified xsi:type="dcterms:W3CDTF">2019-12-06T13:24:31Z</dcterms:modified>
</cp:coreProperties>
</file>