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May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70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101(b)(1): _____</w:t>
      </w: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if the registrant is submitting the Form 6-K in paper as permitted by Regulation S-T Rule 101(b)(7):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83" w:right="1440" w:bottom="1440" w:gutter="0" w:footer="0" w:header="0"/>
        </w:sectPr>
      </w:pPr>
    </w:p>
    <w:bookmarkStart w:id="1" w:name="page2"/>
    <w:bookmarkEnd w:id="1"/>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May 3</w:t>
      </w:r>
      <w:r>
        <w:rPr>
          <w:rFonts w:ascii="Arial" w:cs="Arial" w:eastAsia="Arial" w:hAnsi="Arial"/>
          <w:sz w:val="30"/>
          <w:szCs w:val="30"/>
          <w:color w:val="auto"/>
          <w:vertAlign w:val="superscript"/>
        </w:rPr>
        <w:t>rd</w:t>
      </w:r>
      <w:r>
        <w:rPr>
          <w:rFonts w:ascii="Arial" w:cs="Arial" w:eastAsia="Arial" w:hAnsi="Arial"/>
          <w:sz w:val="18"/>
          <w:szCs w:val="18"/>
          <w:color w:val="auto"/>
        </w:rPr>
        <w:t>, 2019</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Jose Luis Muñoz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Jose Luis Muñoz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CREDICORP Ltd.</w:t>
      </w:r>
    </w:p>
    <w:p>
      <w:pPr>
        <w:spacing w:after="0" w:line="219" w:lineRule="exact"/>
        <w:rPr>
          <w:sz w:val="20"/>
          <w:szCs w:val="20"/>
          <w:color w:val="auto"/>
        </w:rPr>
      </w:pPr>
    </w:p>
    <w:p>
      <w:pPr>
        <w:jc w:val="both"/>
        <w:spacing w:after="0" w:line="211" w:lineRule="auto"/>
        <w:rPr>
          <w:sz w:val="20"/>
          <w:szCs w:val="20"/>
          <w:color w:val="auto"/>
        </w:rPr>
      </w:pPr>
      <w:r>
        <w:rPr>
          <w:rFonts w:ascii="Arial" w:cs="Arial" w:eastAsia="Arial" w:hAnsi="Arial"/>
          <w:sz w:val="18"/>
          <w:szCs w:val="18"/>
          <w:b w:val="1"/>
          <w:bCs w:val="1"/>
          <w:color w:val="auto"/>
        </w:rPr>
        <w:t>Lima, Peru, May 02</w:t>
      </w:r>
      <w:r>
        <w:rPr>
          <w:rFonts w:ascii="Arial" w:cs="Arial" w:eastAsia="Arial" w:hAnsi="Arial"/>
          <w:sz w:val="30"/>
          <w:szCs w:val="30"/>
          <w:b w:val="1"/>
          <w:bCs w:val="1"/>
          <w:color w:val="auto"/>
          <w:vertAlign w:val="superscript"/>
        </w:rPr>
        <w:t>nd</w:t>
      </w:r>
      <w:r>
        <w:rPr>
          <w:rFonts w:ascii="Arial" w:cs="Arial" w:eastAsia="Arial" w:hAnsi="Arial"/>
          <w:sz w:val="18"/>
          <w:szCs w:val="18"/>
          <w:b w:val="1"/>
          <w:bCs w:val="1"/>
          <w:color w:val="auto"/>
        </w:rPr>
        <w:t xml:space="preserve">, 2019 </w:t>
      </w:r>
      <w:r>
        <w:rPr>
          <w:rFonts w:ascii="Arial" w:cs="Arial" w:eastAsia="Arial" w:hAnsi="Arial"/>
          <w:sz w:val="18"/>
          <w:szCs w:val="18"/>
          <w:color w:val="auto"/>
        </w:rPr>
        <w:t>– Credicorp (NYSE: BAP) announced its unaudited results for the first quarter of 2019. These results are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IFRS in Soles.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Results 2019</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1Q19, Credicorp reported net income of S/ 1,100.9 million, which translated into an ROAE and ROAA of 18.5% and 2.5%, respectively. This result represented an increase of 15.0% and 6.1% QoQ and YoY,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QoQ increase was mainly due to contraction in operating expenses in line with the seasonality of the 1Q, and in a lesser extent to the drop in provisions for credit losses. The aforementioned was partially offset by the reduction in Net Interest Income (NII) and the increase in income tax, which in turn was due to the increase in net income and in the dividends paid by subsidiaries to Credicorp.</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YoY increase in net income is explained by growth in NII and in the core items of non-financial income such as fee income and gains on FX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aforementioned was partially offset by the increase in operating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results in 1Q19 show:</w:t>
      </w:r>
    </w:p>
    <w:p>
      <w:pPr>
        <w:spacing w:after="0" w:line="225" w:lineRule="exact"/>
        <w:rPr>
          <w:sz w:val="20"/>
          <w:szCs w:val="20"/>
          <w:color w:val="auto"/>
        </w:rPr>
      </w:pPr>
    </w:p>
    <w:p>
      <w:pPr>
        <w:jc w:val="both"/>
        <w:ind w:right="20" w:firstLine="8"/>
        <w:spacing w:after="0" w:line="312" w:lineRule="auto"/>
        <w:tabs>
          <w:tab w:leader="none" w:pos="109" w:val="left"/>
        </w:tabs>
        <w:numPr>
          <w:ilvl w:val="0"/>
          <w:numId w:val="1"/>
        </w:numPr>
        <w:rPr>
          <w:rFonts w:ascii="Arial" w:cs="Arial" w:eastAsia="Arial" w:hAnsi="Arial"/>
          <w:sz w:val="16"/>
          <w:szCs w:val="16"/>
          <w:color w:val="auto"/>
        </w:rPr>
      </w:pPr>
      <w:r>
        <w:rPr>
          <w:rFonts w:ascii="Arial" w:cs="Arial" w:eastAsia="Arial" w:hAnsi="Arial"/>
          <w:sz w:val="16"/>
          <w:szCs w:val="16"/>
          <w:color w:val="auto"/>
        </w:rPr>
        <w:t>QoQ contraction in Total Loans, measured in average-daily balances, mainly due to the drop in Wholesale Banking loans and SME-business segment. In the YoY analysis, which eliminates the effect of seasonality, total loans measured in average daily balances grew +7.2%, which was led by Retail Banking followed by Wholesale Banking. The aforementioned expansion was also due, although to a lesser extent, to growth at BCP Bolivia and Mibanco.</w:t>
      </w:r>
    </w:p>
    <w:p>
      <w:pPr>
        <w:spacing w:after="0" w:line="146" w:lineRule="exact"/>
        <w:rPr>
          <w:rFonts w:ascii="Arial" w:cs="Arial" w:eastAsia="Arial" w:hAnsi="Arial"/>
          <w:sz w:val="16"/>
          <w:szCs w:val="16"/>
          <w:color w:val="auto"/>
        </w:rPr>
      </w:pPr>
    </w:p>
    <w:p>
      <w:pPr>
        <w:jc w:val="both"/>
        <w:ind w:firstLine="8"/>
        <w:spacing w:after="0" w:line="312" w:lineRule="auto"/>
        <w:tabs>
          <w:tab w:leader="none" w:pos="118" w:val="left"/>
        </w:tabs>
        <w:numPr>
          <w:ilvl w:val="0"/>
          <w:numId w:val="1"/>
        </w:numPr>
        <w:rPr>
          <w:rFonts w:ascii="Arial" w:cs="Arial" w:eastAsia="Arial" w:hAnsi="Arial"/>
          <w:sz w:val="16"/>
          <w:szCs w:val="16"/>
          <w:color w:val="auto"/>
        </w:rPr>
      </w:pPr>
      <w:r>
        <w:rPr>
          <w:rFonts w:ascii="Arial" w:cs="Arial" w:eastAsia="Arial" w:hAnsi="Arial"/>
          <w:sz w:val="16"/>
          <w:szCs w:val="16"/>
          <w:color w:val="auto"/>
        </w:rPr>
        <w:t>NII contracted -2.5% QoQ, in line with the decrease in loan growth. In YoY terms, NII expanded 7.1% due to higher dynamism in total loans, which was mainly driven by i) growth in interest income on loans as a result of average daily loan balances expansion and ii) by a more favorable funding structure, where deposits increased their share of total funding. In this context, the net interest margin (NIM) decreased -27 bps QoQ and rose +21 bps YoY.</w:t>
      </w:r>
    </w:p>
    <w:p>
      <w:pPr>
        <w:spacing w:after="0" w:line="146" w:lineRule="exact"/>
        <w:rPr>
          <w:rFonts w:ascii="Arial" w:cs="Arial" w:eastAsia="Arial" w:hAnsi="Arial"/>
          <w:sz w:val="16"/>
          <w:szCs w:val="16"/>
          <w:color w:val="auto"/>
        </w:rPr>
      </w:pPr>
    </w:p>
    <w:p>
      <w:pPr>
        <w:jc w:val="both"/>
        <w:ind w:firstLine="8"/>
        <w:spacing w:after="0" w:line="264" w:lineRule="auto"/>
        <w:tabs>
          <w:tab w:leader="none" w:pos="10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 of risk (CofR) fell -6 bps QoQ to situate at 1.41% in line with the decrease in Mibanco’s CofR, due to the reduction of its provision requirement. In the YoY analysis, the CofR fell -7 bps mainly attributable to the reduction of BCP Stand-alone’s CofR, which was in line with the expansion of its loan portfolio and the improvement in risk quality.</w:t>
      </w:r>
    </w:p>
    <w:p>
      <w:pPr>
        <w:spacing w:after="0" w:line="181" w:lineRule="exact"/>
        <w:rPr>
          <w:rFonts w:ascii="Arial" w:cs="Arial" w:eastAsia="Arial" w:hAnsi="Arial"/>
          <w:sz w:val="18"/>
          <w:szCs w:val="18"/>
          <w:color w:val="auto"/>
        </w:rPr>
      </w:pPr>
    </w:p>
    <w:p>
      <w:pPr>
        <w:ind w:firstLine="8"/>
        <w:spacing w:after="0" w:line="277" w:lineRule="auto"/>
        <w:tabs>
          <w:tab w:leader="none" w:pos="11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this context, the risk-adjusted NIM decreased -19 bps QoQ, in line with the contraction in NII. However, in YoY terms, risk-adjusted NIM improved +21 bps.</w:t>
      </w:r>
    </w:p>
    <w:p>
      <w:pPr>
        <w:spacing w:after="0" w:line="170" w:lineRule="exact"/>
        <w:rPr>
          <w:rFonts w:ascii="Arial" w:cs="Arial" w:eastAsia="Arial" w:hAnsi="Arial"/>
          <w:sz w:val="18"/>
          <w:szCs w:val="18"/>
          <w:color w:val="auto"/>
        </w:rPr>
      </w:pPr>
    </w:p>
    <w:p>
      <w:pPr>
        <w:jc w:val="both"/>
        <w:ind w:firstLine="8"/>
        <w:spacing w:after="0" w:line="255" w:lineRule="auto"/>
        <w:tabs>
          <w:tab w:leader="none" w:pos="123"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Non-financial income expanded QoQ due to an increase in the Net gain on sales of securities, mainly through Credicorp Capital. Nevertheless, the main components, such as Fee income and the Net gain on foreign exchange transactions, fell QoQ after having registered satisfactory levels of income generation in 4Q18. In the YoY analysis, the main components of non-financial income reported growth due to an increase in transactional activity, mainly through BCP Stand-alone. However, it is important to keep in mind, that the pace of growth of these main components has decreased over the years due to regulatory changes in the fees charged to retail clients; higher competition in the local market; and our transactional strategy to encourage clients to migrate to digital channels.</w:t>
      </w:r>
    </w:p>
    <w:p>
      <w:pPr>
        <w:spacing w:after="0" w:line="193" w:lineRule="exact"/>
        <w:rPr>
          <w:rFonts w:ascii="Arial" w:cs="Arial" w:eastAsia="Arial" w:hAnsi="Arial"/>
          <w:sz w:val="18"/>
          <w:szCs w:val="18"/>
          <w:color w:val="auto"/>
        </w:rPr>
      </w:pPr>
    </w:p>
    <w:p>
      <w:pPr>
        <w:ind w:firstLine="8"/>
        <w:spacing w:after="0" w:line="277" w:lineRule="auto"/>
        <w:tabs>
          <w:tab w:leader="none" w:pos="11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underwriting result fell -9.9% due to an increase in net claims and higher acquisition cost in the P&amp;C business. The latter was mitigated by an increase in the net earned premiums in life insurance business.</w:t>
      </w:r>
    </w:p>
    <w:p>
      <w:pPr>
        <w:spacing w:after="0" w:line="170" w:lineRule="exact"/>
        <w:rPr>
          <w:rFonts w:ascii="Arial" w:cs="Arial" w:eastAsia="Arial" w:hAnsi="Arial"/>
          <w:sz w:val="18"/>
          <w:szCs w:val="18"/>
          <w:color w:val="auto"/>
        </w:rPr>
      </w:pPr>
    </w:p>
    <w:p>
      <w:pPr>
        <w:jc w:val="both"/>
        <w:ind w:firstLine="8"/>
        <w:spacing w:after="0" w:line="264"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efficiency ratio improved -340 bps QoQ and -50 bps YoY. In the QoQ analysis, the improvement in efficiency was due to seasonal reduction in operating expenses. In that sense, the YoY analysis provides a clearer picture, where operating income growth, which in turn was driven by the increase in Net interest income, outpaced the expansion posted by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1402080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124460</wp:posOffset>
            </wp:positionV>
            <wp:extent cx="5574030" cy="831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3185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40" w:type="dxa"/>
            <w:vAlign w:val="bottom"/>
            <w:gridSpan w:val="4"/>
          </w:tcPr>
          <w:p>
            <w:pPr>
              <w:spacing w:after="0"/>
              <w:rPr>
                <w:sz w:val="20"/>
                <w:szCs w:val="20"/>
                <w:color w:val="auto"/>
              </w:rPr>
            </w:pPr>
            <w:r>
              <w:rPr>
                <w:rFonts w:ascii="Arial" w:cs="Arial" w:eastAsia="Arial" w:hAnsi="Arial"/>
                <w:sz w:val="18"/>
                <w:szCs w:val="18"/>
                <w:b w:val="1"/>
                <w:bCs w:val="1"/>
                <w:color w:val="auto"/>
              </w:rPr>
              <w:t>Table of Contents</w:t>
            </w:r>
          </w:p>
        </w:tc>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20" w:type="dxa"/>
            <w:vAlign w:val="bottom"/>
            <w:gridSpan w:val="3"/>
          </w:tcPr>
          <w:p>
            <w:pPr>
              <w:spacing w:after="0"/>
              <w:rPr>
                <w:sz w:val="18"/>
                <w:szCs w:val="18"/>
                <w:color w:val="auto"/>
              </w:rPr>
            </w:pPr>
          </w:p>
        </w:tc>
        <w:tc>
          <w:tcPr>
            <w:tcW w:w="3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Credicorp (NYSE: BAP): First Quarter Results 2019</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Financial Overview</w:t>
            </w:r>
          </w:p>
        </w:tc>
        <w:tc>
          <w:tcPr>
            <w:tcW w:w="32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Credicorp and subsidiaries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w:t>
            </w: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Interest-earning assets (IEA)</w:t>
            </w:r>
          </w:p>
        </w:tc>
        <w:tc>
          <w:tcPr>
            <w:tcW w:w="32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1.1.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Evolution of IEA</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1.2.</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1.2.1. Loan evolution by business segment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1.2.2. Evolution of the level of dollarization by segment</w:t>
            </w:r>
          </w:p>
        </w:tc>
        <w:tc>
          <w:tcPr>
            <w:tcW w:w="32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1.2.3. BCRP de-dollarization plan at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1.2.4. Market share in loans</w:t>
            </w:r>
          </w:p>
        </w:tc>
        <w:tc>
          <w:tcPr>
            <w:tcW w:w="3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Funding Sources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2.1.</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Structure</w:t>
            </w:r>
          </w:p>
        </w:tc>
        <w:tc>
          <w:tcPr>
            <w:tcW w:w="3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2.2.1. Deposits: dollarization level</w:t>
            </w:r>
          </w:p>
        </w:tc>
        <w:tc>
          <w:tcPr>
            <w:tcW w:w="3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2.2.2. Market share in Deposits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2.3.</w:t>
            </w:r>
          </w:p>
        </w:tc>
        <w:tc>
          <w:tcPr>
            <w:tcW w:w="7480" w:type="dxa"/>
            <w:vAlign w:val="bottom"/>
          </w:tcPr>
          <w:p>
            <w:pPr>
              <w:ind w:left="20"/>
              <w:spacing w:after="0"/>
              <w:rPr>
                <w:sz w:val="20"/>
                <w:szCs w:val="20"/>
                <w:color w:val="auto"/>
              </w:rPr>
            </w:pPr>
            <w:r>
              <w:rPr>
                <w:rFonts w:ascii="Arial" w:cs="Arial" w:eastAsia="Arial" w:hAnsi="Arial"/>
                <w:sz w:val="18"/>
                <w:szCs w:val="18"/>
                <w:color w:val="auto"/>
              </w:rPr>
              <w:t>Other funding sources</w:t>
            </w:r>
          </w:p>
        </w:tc>
        <w:tc>
          <w:tcPr>
            <w:tcW w:w="3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2.4.</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 Deposit (L/D)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2.5.</w:t>
            </w:r>
          </w:p>
        </w:tc>
        <w:tc>
          <w:tcPr>
            <w:tcW w:w="7480" w:type="dxa"/>
            <w:vAlign w:val="bottom"/>
          </w:tcPr>
          <w:p>
            <w:pPr>
              <w:ind w:left="20"/>
              <w:spacing w:after="0"/>
              <w:rPr>
                <w:sz w:val="20"/>
                <w:szCs w:val="20"/>
                <w:color w:val="auto"/>
              </w:rPr>
            </w:pPr>
            <w:r>
              <w:rPr>
                <w:rFonts w:ascii="Arial" w:cs="Arial" w:eastAsia="Arial" w:hAnsi="Arial"/>
                <w:sz w:val="18"/>
                <w:szCs w:val="18"/>
                <w:color w:val="auto"/>
              </w:rPr>
              <w:t>Funding Cost</w:t>
            </w:r>
          </w:p>
        </w:tc>
        <w:tc>
          <w:tcPr>
            <w:tcW w:w="3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Portfolio quality and Provisions for loan losses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3.1.</w:t>
            </w:r>
          </w:p>
        </w:tc>
        <w:tc>
          <w:tcPr>
            <w:tcW w:w="7480" w:type="dxa"/>
            <w:vAlign w:val="bottom"/>
          </w:tcPr>
          <w:p>
            <w:pPr>
              <w:ind w:left="20"/>
              <w:spacing w:after="0"/>
              <w:rPr>
                <w:sz w:val="20"/>
                <w:szCs w:val="20"/>
                <w:color w:val="auto"/>
              </w:rPr>
            </w:pPr>
            <w:r>
              <w:rPr>
                <w:rFonts w:ascii="Arial" w:cs="Arial" w:eastAsia="Arial" w:hAnsi="Arial"/>
                <w:sz w:val="18"/>
                <w:szCs w:val="18"/>
                <w:color w:val="auto"/>
              </w:rPr>
              <w:t>Provisions for loan losses</w:t>
            </w:r>
          </w:p>
        </w:tc>
        <w:tc>
          <w:tcPr>
            <w:tcW w:w="32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3.2.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Quality: Delinquency ratios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3.2.1. Delinquency indicators by business line</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4.</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Interest Income (NII)</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4.1.</w:t>
            </w:r>
          </w:p>
        </w:tc>
        <w:tc>
          <w:tcPr>
            <w:tcW w:w="74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4.2.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4.3.</w:t>
            </w:r>
          </w:p>
        </w:tc>
        <w:tc>
          <w:tcPr>
            <w:tcW w:w="7480" w:type="dxa"/>
            <w:vAlign w:val="bottom"/>
          </w:tcPr>
          <w:p>
            <w:pPr>
              <w:ind w:left="20"/>
              <w:spacing w:after="0"/>
              <w:rPr>
                <w:sz w:val="20"/>
                <w:szCs w:val="20"/>
                <w:color w:val="auto"/>
              </w:rPr>
            </w:pPr>
            <w:r>
              <w:rPr>
                <w:rFonts w:ascii="Arial" w:cs="Arial" w:eastAsia="Arial" w:hAnsi="Arial"/>
                <w:sz w:val="18"/>
                <w:szCs w:val="18"/>
                <w:color w:val="auto"/>
              </w:rPr>
              <w:t>Net Interest Margin (NIM) and Risk-Adjusted NIM</w:t>
            </w:r>
          </w:p>
        </w:tc>
        <w:tc>
          <w:tcPr>
            <w:tcW w:w="32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Non-Financial Income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5.1.</w:t>
            </w:r>
          </w:p>
        </w:tc>
        <w:tc>
          <w:tcPr>
            <w:tcW w:w="748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3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5.1.1. By subsidiary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5.1.2. Fee income in the Banking Business</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Insurance Underwriting Result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6.1.</w:t>
            </w:r>
          </w:p>
        </w:tc>
        <w:tc>
          <w:tcPr>
            <w:tcW w:w="748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6.2.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claims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6.3.</w:t>
            </w:r>
          </w:p>
        </w:tc>
        <w:tc>
          <w:tcPr>
            <w:tcW w:w="7480" w:type="dxa"/>
            <w:vAlign w:val="bottom"/>
          </w:tcPr>
          <w:p>
            <w:pPr>
              <w:ind w:left="20"/>
              <w:spacing w:after="0"/>
              <w:rPr>
                <w:sz w:val="20"/>
                <w:szCs w:val="20"/>
                <w:color w:val="auto"/>
              </w:rPr>
            </w:pPr>
            <w:r>
              <w:rPr>
                <w:rFonts w:ascii="Arial" w:cs="Arial" w:eastAsia="Arial" w:hAnsi="Arial"/>
                <w:sz w:val="18"/>
                <w:szCs w:val="18"/>
                <w:color w:val="auto"/>
              </w:rPr>
              <w:t>Acquisition cost</w:t>
            </w:r>
          </w:p>
        </w:tc>
        <w:tc>
          <w:tcPr>
            <w:tcW w:w="32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Expenses and Efficiency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7.1.</w:t>
            </w:r>
          </w:p>
        </w:tc>
        <w:tc>
          <w:tcPr>
            <w:tcW w:w="7480" w:type="dxa"/>
            <w:vAlign w:val="bottom"/>
          </w:tcPr>
          <w:p>
            <w:pPr>
              <w:ind w:left="20"/>
              <w:spacing w:after="0"/>
              <w:rPr>
                <w:sz w:val="20"/>
                <w:szCs w:val="20"/>
                <w:color w:val="auto"/>
              </w:rPr>
            </w:pPr>
            <w:r>
              <w:rPr>
                <w:rFonts w:ascii="Arial" w:cs="Arial" w:eastAsia="Arial" w:hAnsi="Arial"/>
                <w:sz w:val="18"/>
                <w:szCs w:val="18"/>
                <w:color w:val="auto"/>
              </w:rPr>
              <w:t>Credicorp’s Administrative, General and Tax Expenses</w:t>
            </w:r>
          </w:p>
        </w:tc>
        <w:tc>
          <w:tcPr>
            <w:tcW w:w="32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7.2.</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Efficiency Ratio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8.</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Regulatory Capital</w:t>
            </w:r>
          </w:p>
        </w:tc>
        <w:tc>
          <w:tcPr>
            <w:tcW w:w="32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8.1.</w:t>
            </w: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Capital – BAP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93"/>
              </w:rPr>
              <w:t>8.2.</w:t>
            </w:r>
          </w:p>
        </w:tc>
        <w:tc>
          <w:tcPr>
            <w:tcW w:w="7480" w:type="dxa"/>
            <w:vAlign w:val="bottom"/>
          </w:tcPr>
          <w:p>
            <w:pPr>
              <w:ind w:left="20"/>
              <w:spacing w:after="0"/>
              <w:rPr>
                <w:sz w:val="20"/>
                <w:szCs w:val="20"/>
                <w:color w:val="auto"/>
              </w:rPr>
            </w:pPr>
            <w:r>
              <w:rPr>
                <w:rFonts w:ascii="Arial" w:cs="Arial" w:eastAsia="Arial" w:hAnsi="Arial"/>
                <w:sz w:val="18"/>
                <w:szCs w:val="18"/>
                <w:color w:val="auto"/>
              </w:rPr>
              <w:t>Regulatory Capital – BCP Stand-alone based on Peru GAAP</w:t>
            </w:r>
          </w:p>
        </w:tc>
        <w:tc>
          <w:tcPr>
            <w:tcW w:w="32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Distribution channels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9.1 Universal Banking</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9.1.1 Points of Contact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9.1.2 Points of contact by geographic area – BCP Stand-alone</w:t>
            </w:r>
          </w:p>
        </w:tc>
        <w:tc>
          <w:tcPr>
            <w:tcW w:w="3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9.1.3 Transactions per channel – BCP Stand-alone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9.1.4 Points of Contact –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9.2 Microfinance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260"/>
              <w:spacing w:after="0"/>
              <w:rPr>
                <w:sz w:val="20"/>
                <w:szCs w:val="20"/>
                <w:color w:val="auto"/>
              </w:rPr>
            </w:pPr>
            <w:r>
              <w:rPr>
                <w:rFonts w:ascii="Arial" w:cs="Arial" w:eastAsia="Arial" w:hAnsi="Arial"/>
                <w:sz w:val="18"/>
                <w:szCs w:val="18"/>
                <w:color w:val="auto"/>
              </w:rPr>
              <w:t>9.2.1 Points of Contact – Mibanco</w:t>
            </w:r>
          </w:p>
        </w:tc>
        <w:tc>
          <w:tcPr>
            <w:tcW w:w="32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7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Economic Perspectives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10.1. Peru Economic Forecasts</w:t>
            </w:r>
          </w:p>
        </w:tc>
        <w:tc>
          <w:tcPr>
            <w:tcW w:w="32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10.2. Main Economic Variables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840" w:type="dxa"/>
            <w:vAlign w:val="bottom"/>
            <w:gridSpan w:val="2"/>
          </w:tcPr>
          <w:p>
            <w:pPr>
              <w:ind w:left="220"/>
              <w:spacing w:after="0"/>
              <w:rPr>
                <w:sz w:val="20"/>
                <w:szCs w:val="20"/>
                <w:color w:val="auto"/>
              </w:rPr>
            </w:pPr>
            <w:r>
              <w:rPr>
                <w:rFonts w:ascii="Arial" w:cs="Arial" w:eastAsia="Arial" w:hAnsi="Arial"/>
                <w:sz w:val="18"/>
                <w:szCs w:val="18"/>
                <w:color w:val="auto"/>
              </w:rPr>
              <w:t>Appendix</w:t>
            </w:r>
          </w:p>
        </w:tc>
        <w:tc>
          <w:tcPr>
            <w:tcW w:w="32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 Credicorp</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11.2. BCP Consolidated</w:t>
            </w:r>
          </w:p>
        </w:tc>
        <w:tc>
          <w:tcPr>
            <w:tcW w:w="328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11.3. Mibanco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11.4. BCP Bolivia</w:t>
            </w:r>
          </w:p>
        </w:tc>
        <w:tc>
          <w:tcPr>
            <w:tcW w:w="32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11.5. Credicorp Capital</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11.6. Atlantic Security Bank</w:t>
            </w:r>
          </w:p>
        </w:tc>
        <w:tc>
          <w:tcPr>
            <w:tcW w:w="32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11.7. Grupo Pacifico</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2"/>
          </w:tcPr>
          <w:p>
            <w:pPr>
              <w:ind w:left="60"/>
              <w:spacing w:after="0"/>
              <w:rPr>
                <w:sz w:val="20"/>
                <w:szCs w:val="20"/>
                <w:color w:val="auto"/>
              </w:rPr>
            </w:pPr>
            <w:r>
              <w:rPr>
                <w:rFonts w:ascii="Arial" w:cs="Arial" w:eastAsia="Arial" w:hAnsi="Arial"/>
                <w:sz w:val="18"/>
                <w:szCs w:val="18"/>
                <w:color w:val="auto"/>
              </w:rPr>
              <w:t>11.8. Prima AFP</w:t>
            </w:r>
          </w:p>
        </w:tc>
        <w:tc>
          <w:tcPr>
            <w:tcW w:w="328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11.9. Table of calculations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076"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Credicorp (NYSE: BAP): First Quarter Results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spacing w:after="0"/>
              <w:rPr>
                <w:sz w:val="20"/>
                <w:szCs w:val="20"/>
                <w:color w:val="auto"/>
              </w:rPr>
            </w:pPr>
            <w:r>
              <w:rPr>
                <w:rFonts w:ascii="Arial" w:cs="Arial" w:eastAsia="Arial" w:hAnsi="Arial"/>
                <w:sz w:val="14"/>
                <w:szCs w:val="14"/>
                <w:b w:val="1"/>
                <w:bCs w:val="1"/>
                <w:color w:val="auto"/>
              </w:rPr>
              <w:t>Credicorp Ltd.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Quarter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4"/>
                <w:szCs w:val="14"/>
                <w:b w:val="1"/>
                <w:bCs w:val="1"/>
                <w:color w:val="auto"/>
              </w:rPr>
              <w:t>% change</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1Q18</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4Q18</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2"/>
              </w:rPr>
              <w:t>QoQ</w:t>
            </w: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YoY</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w:t>
            </w: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2,042,901</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2,244,252</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2,188,918</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-2.5%</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credit losses on loan portfolio, net of recoveries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(371,024)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(407,954)</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(383,211)</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interest income after provisions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1,671,877</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1,836,298</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1,805,707</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-1.7%</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89"/>
        </w:trPr>
        <w:tc>
          <w:tcPr>
            <w:tcW w:w="4700" w:type="dxa"/>
            <w:vAlign w:val="bottom"/>
            <w:gridSpan w:val="2"/>
          </w:tcPr>
          <w:p>
            <w:pPr>
              <w:spacing w:after="0" w:line="189" w:lineRule="exact"/>
              <w:rPr>
                <w:sz w:val="20"/>
                <w:szCs w:val="20"/>
                <w:color w:val="auto"/>
              </w:rPr>
            </w:pPr>
            <w:r>
              <w:rPr>
                <w:rFonts w:ascii="Arial" w:cs="Arial" w:eastAsia="Arial" w:hAnsi="Arial"/>
                <w:sz w:val="13"/>
                <w:szCs w:val="13"/>
                <w:color w:val="auto"/>
              </w:rPr>
              <w:t xml:space="preserve">Other income </w:t>
            </w:r>
            <w:r>
              <w:rPr>
                <w:rFonts w:ascii="Arial" w:cs="Arial" w:eastAsia="Arial" w:hAnsi="Arial"/>
                <w:sz w:val="21"/>
                <w:szCs w:val="21"/>
                <w:color w:val="auto"/>
                <w:vertAlign w:val="superscript"/>
              </w:rPr>
              <w:t>(1)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1,106,857</w:t>
            </w:r>
          </w:p>
        </w:tc>
        <w:tc>
          <w:tcPr>
            <w:tcW w:w="920" w:type="dxa"/>
            <w:vAlign w:val="bottom"/>
          </w:tcPr>
          <w:p>
            <w:pPr>
              <w:jc w:val="right"/>
              <w:spacing w:after="0"/>
              <w:rPr>
                <w:sz w:val="20"/>
                <w:szCs w:val="20"/>
                <w:color w:val="auto"/>
              </w:rPr>
            </w:pPr>
            <w:r>
              <w:rPr>
                <w:rFonts w:ascii="Arial" w:cs="Arial" w:eastAsia="Arial" w:hAnsi="Arial"/>
                <w:sz w:val="14"/>
                <w:szCs w:val="14"/>
                <w:color w:val="auto"/>
              </w:rPr>
              <w:t>1,153,234</w:t>
            </w:r>
          </w:p>
        </w:tc>
        <w:tc>
          <w:tcPr>
            <w:tcW w:w="20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1,170,507</w:t>
            </w:r>
          </w:p>
        </w:tc>
        <w:tc>
          <w:tcPr>
            <w:tcW w:w="60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260" w:type="dxa"/>
            <w:vAlign w:val="bottom"/>
          </w:tcPr>
          <w:p>
            <w:pPr>
              <w:spacing w:after="0"/>
              <w:rPr>
                <w:sz w:val="16"/>
                <w:szCs w:val="16"/>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 underwriting result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116,156</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121,154</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109,149</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Total expenses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(1,444,846)</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(1,749,181)</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(1,538,126)</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-12.1%</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Profit before income tax</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1,450,044</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1,361,505</w:t>
            </w: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1,547,237</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13.6%</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6.7%</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(385,392)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(384,352)</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(423,973)</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1,064,652</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977,153</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1,123,264</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Non-controlling interest</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26,844</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20,220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22,397</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4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profit attributable to Credicorp</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1,037,808</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956,933</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1,100,867</w:t>
            </w: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15.0%</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62"/>
        </w:trPr>
        <w:tc>
          <w:tcPr>
            <w:tcW w:w="4700" w:type="dxa"/>
            <w:vAlign w:val="bottom"/>
            <w:gridSpan w:val="2"/>
          </w:tcPr>
          <w:p>
            <w:pPr>
              <w:spacing w:after="0"/>
              <w:rPr>
                <w:sz w:val="20"/>
                <w:szCs w:val="20"/>
                <w:color w:val="auto"/>
              </w:rPr>
            </w:pPr>
            <w:r>
              <w:rPr>
                <w:rFonts w:ascii="Arial" w:cs="Arial" w:eastAsia="Arial" w:hAnsi="Arial"/>
                <w:sz w:val="14"/>
                <w:szCs w:val="14"/>
                <w:color w:val="auto"/>
              </w:rPr>
              <w:t>Net income / share (S/)</w:t>
            </w:r>
          </w:p>
        </w:tc>
        <w:tc>
          <w:tcPr>
            <w:tcW w:w="920" w:type="dxa"/>
            <w:vAlign w:val="bottom"/>
          </w:tcPr>
          <w:p>
            <w:pPr>
              <w:jc w:val="right"/>
              <w:spacing w:after="0"/>
              <w:rPr>
                <w:sz w:val="20"/>
                <w:szCs w:val="20"/>
                <w:color w:val="auto"/>
              </w:rPr>
            </w:pPr>
            <w:r>
              <w:rPr>
                <w:rFonts w:ascii="Arial" w:cs="Arial" w:eastAsia="Arial" w:hAnsi="Arial"/>
                <w:sz w:val="14"/>
                <w:szCs w:val="14"/>
                <w:color w:val="auto"/>
              </w:rPr>
              <w:t>13.01</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12.00</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13.80</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15.0%</w:t>
            </w:r>
          </w:p>
        </w:tc>
        <w:tc>
          <w:tcPr>
            <w:tcW w:w="26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47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Loans</w:t>
            </w: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gridSpan w:val="2"/>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100,570,511</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110,759,390</w:t>
            </w:r>
          </w:p>
        </w:tc>
        <w:tc>
          <w:tcPr>
            <w:tcW w:w="200" w:type="dxa"/>
            <w:vAlign w:val="bottom"/>
            <w:vMerge w:val="continue"/>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108,350,384</w:t>
            </w:r>
          </w:p>
        </w:tc>
        <w:tc>
          <w:tcPr>
            <w:tcW w:w="22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-2.2%</w:t>
            </w:r>
          </w:p>
        </w:tc>
        <w:tc>
          <w:tcPr>
            <w:tcW w:w="2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4700" w:type="dxa"/>
            <w:vAlign w:val="bottom"/>
            <w:gridSpan w:val="2"/>
          </w:tcPr>
          <w:p>
            <w:pPr>
              <w:spacing w:after="0" w:line="149" w:lineRule="exact"/>
              <w:rPr>
                <w:sz w:val="20"/>
                <w:szCs w:val="20"/>
                <w:color w:val="auto"/>
              </w:rPr>
            </w:pPr>
            <w:r>
              <w:rPr>
                <w:rFonts w:ascii="Arial" w:cs="Arial" w:eastAsia="Arial" w:hAnsi="Arial"/>
                <w:sz w:val="14"/>
                <w:szCs w:val="14"/>
                <w:color w:val="auto"/>
              </w:rPr>
              <w:t>Deposits and obligations</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98,193,105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104,551,311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103,727,257</w:t>
            </w:r>
          </w:p>
        </w:tc>
        <w:tc>
          <w:tcPr>
            <w:tcW w:w="60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-0.8%</w:t>
            </w:r>
          </w:p>
        </w:tc>
        <w:tc>
          <w:tcPr>
            <w:tcW w:w="26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62"/>
        </w:trPr>
        <w:tc>
          <w:tcPr>
            <w:tcW w:w="4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equity</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21,312,210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23,839,243</w:t>
            </w: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23,692,091</w:t>
            </w:r>
          </w:p>
        </w:tc>
        <w:tc>
          <w:tcPr>
            <w:tcW w:w="6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Profitability</w:t>
            </w: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21"/>
                <w:szCs w:val="21"/>
                <w:color w:val="auto"/>
                <w:vertAlign w:val="superscript"/>
              </w:rPr>
              <w:t>(1)(2)</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5.37%</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-27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 bps</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Risk-adjusted Net interest margin </w:t>
            </w:r>
            <w:r>
              <w:rPr>
                <w:rFonts w:ascii="Arial" w:cs="Arial" w:eastAsia="Arial" w:hAnsi="Arial"/>
                <w:sz w:val="21"/>
                <w:szCs w:val="21"/>
                <w:color w:val="auto"/>
                <w:vertAlign w:val="superscript"/>
              </w:rPr>
              <w:t>(1)(2)</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4.22%</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4.62%</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4.43%</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-19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21 bps</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Funding cost</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2.26%</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c>
          <w:tcPr>
            <w:tcW w:w="11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 bps</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 bps</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ROAE</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220 bps</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-80 bps</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ROAA</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30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10 bps</w:t>
            </w: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Loan portfolio quality</w:t>
            </w: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IOL ratio </w:t>
            </w:r>
            <w:r>
              <w:rPr>
                <w:rFonts w:ascii="Arial" w:cs="Arial" w:eastAsia="Arial" w:hAnsi="Arial"/>
                <w:sz w:val="21"/>
                <w:szCs w:val="21"/>
                <w:color w:val="auto"/>
                <w:vertAlign w:val="superscript"/>
              </w:rPr>
              <w:t>(3)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2.91%</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10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-7 bps</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IOL over 90 days ratio </w:t>
            </w:r>
            <w:r>
              <w:rPr>
                <w:rFonts w:ascii="Arial" w:cs="Arial" w:eastAsia="Arial" w:hAnsi="Arial"/>
                <w:sz w:val="21"/>
                <w:szCs w:val="21"/>
                <w:color w:val="auto"/>
                <w:vertAlign w:val="superscript"/>
              </w:rPr>
              <w:t>(1)</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2.19%</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2.13%</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2.09%</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-4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-10 bps</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4.09%</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12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 bps</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(5)</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1.48%</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1.47%</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1.41%</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-6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-7 bps</w:t>
            </w: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Coverage ratio of Internal overdue loans</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160.4%</w:t>
            </w:r>
          </w:p>
        </w:tc>
        <w:tc>
          <w:tcPr>
            <w:tcW w:w="11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158.9%</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154.2%</w:t>
            </w:r>
          </w:p>
        </w:tc>
        <w:tc>
          <w:tcPr>
            <w:tcW w:w="114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-470 bps</w:t>
            </w:r>
          </w:p>
        </w:tc>
        <w:tc>
          <w:tcPr>
            <w:tcW w:w="106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-620 bps</w:t>
            </w:r>
          </w:p>
        </w:tc>
      </w:tr>
      <w:tr>
        <w:trPr>
          <w:trHeight w:val="149"/>
        </w:trPr>
        <w:tc>
          <w:tcPr>
            <w:tcW w:w="4700" w:type="dxa"/>
            <w:vAlign w:val="bottom"/>
          </w:tcPr>
          <w:p>
            <w:pPr>
              <w:spacing w:after="0" w:line="149" w:lineRule="exact"/>
              <w:rPr>
                <w:sz w:val="20"/>
                <w:szCs w:val="20"/>
                <w:color w:val="auto"/>
              </w:rPr>
            </w:pPr>
            <w:r>
              <w:rPr>
                <w:rFonts w:ascii="Arial" w:cs="Arial" w:eastAsia="Arial" w:hAnsi="Arial"/>
                <w:sz w:val="14"/>
                <w:szCs w:val="14"/>
                <w:color w:val="auto"/>
              </w:rPr>
              <w:t>Coverage ratio of IOL 90-days</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217.8%</w:t>
            </w:r>
          </w:p>
        </w:tc>
        <w:tc>
          <w:tcPr>
            <w:tcW w:w="11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210.4%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214.8%</w:t>
            </w:r>
          </w:p>
        </w:tc>
        <w:tc>
          <w:tcPr>
            <w:tcW w:w="114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440 bps</w:t>
            </w:r>
          </w:p>
        </w:tc>
        <w:tc>
          <w:tcPr>
            <w:tcW w:w="106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-300 bps</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Coverage ratio of NPLs</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112.7%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109.7%</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-300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-1330 bps</w:t>
            </w: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efficiency</w:t>
            </w: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1"/>
                <w:szCs w:val="21"/>
                <w:color w:val="auto"/>
                <w:vertAlign w:val="superscript"/>
              </w:rPr>
              <w:t>(1)(6)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42.6%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45.5%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42.1%</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-340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-50 bps</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4"/>
                <w:szCs w:val="14"/>
                <w:color w:val="auto"/>
              </w:rPr>
              <w:t xml:space="preserve">Operating expenses / Total average assets </w:t>
            </w:r>
            <w:r>
              <w:rPr>
                <w:rFonts w:ascii="Arial" w:cs="Arial" w:eastAsia="Arial" w:hAnsi="Arial"/>
                <w:sz w:val="23"/>
                <w:szCs w:val="23"/>
                <w:color w:val="auto"/>
                <w:vertAlign w:val="superscript"/>
              </w:rPr>
              <w:t>(1)(7)</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3.48%</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4.04%</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3.56%</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-48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8 bps</w:t>
            </w:r>
          </w:p>
        </w:tc>
      </w:tr>
      <w:tr>
        <w:trPr>
          <w:trHeight w:val="142"/>
        </w:trPr>
        <w:tc>
          <w:tcPr>
            <w:tcW w:w="4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Insurance ratios</w:t>
            </w: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Combined ratio of P&amp;C </w:t>
            </w:r>
            <w:r>
              <w:rPr>
                <w:rFonts w:ascii="Arial" w:cs="Arial" w:eastAsia="Arial" w:hAnsi="Arial"/>
                <w:sz w:val="21"/>
                <w:szCs w:val="21"/>
                <w:color w:val="auto"/>
                <w:vertAlign w:val="superscript"/>
              </w:rPr>
              <w:t>(8)(9)</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105.1%</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101.6%</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104.4%</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280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-70 bps</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(9)(10)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57.6%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65.6%</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500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800 bps</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4"/>
                <w:szCs w:val="14"/>
                <w:color w:val="auto"/>
              </w:rPr>
              <w:t xml:space="preserve">Underwriting result / net earned premiums </w:t>
            </w:r>
            <w:r>
              <w:rPr>
                <w:rFonts w:ascii="Arial" w:cs="Arial" w:eastAsia="Arial" w:hAnsi="Arial"/>
                <w:sz w:val="23"/>
                <w:szCs w:val="23"/>
                <w:color w:val="auto"/>
                <w:vertAlign w:val="superscript"/>
              </w:rPr>
              <w:t>(9)</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8.5%</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7.5%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5.2%</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-230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-330 bps</w:t>
            </w:r>
          </w:p>
        </w:tc>
      </w:tr>
      <w:tr>
        <w:trPr>
          <w:trHeight w:val="169"/>
        </w:trPr>
        <w:tc>
          <w:tcPr>
            <w:tcW w:w="47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 xml:space="preserve">Capital adequacy </w:t>
            </w:r>
            <w:r>
              <w:rPr>
                <w:rFonts w:ascii="Arial" w:cs="Arial" w:eastAsia="Arial" w:hAnsi="Arial"/>
                <w:sz w:val="19"/>
                <w:szCs w:val="19"/>
                <w:b w:val="1"/>
                <w:bCs w:val="1"/>
                <w:color w:val="auto"/>
                <w:vertAlign w:val="superscript"/>
              </w:rPr>
              <w:t>(11)</w:t>
            </w: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BIS ratio </w:t>
            </w:r>
            <w:r>
              <w:rPr>
                <w:rFonts w:ascii="Arial" w:cs="Arial" w:eastAsia="Arial" w:hAnsi="Arial"/>
                <w:sz w:val="21"/>
                <w:szCs w:val="21"/>
                <w:color w:val="auto"/>
                <w:vertAlign w:val="superscript"/>
              </w:rPr>
              <w:t>(12)</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15.91%</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14.17%</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15.49%</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132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-42 bps</w:t>
            </w:r>
          </w:p>
        </w:tc>
      </w:tr>
      <w:tr>
        <w:trPr>
          <w:trHeight w:val="189"/>
        </w:trPr>
        <w:tc>
          <w:tcPr>
            <w:tcW w:w="470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(13)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11.75%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10.28%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11.73%</w:t>
            </w:r>
          </w:p>
        </w:tc>
        <w:tc>
          <w:tcPr>
            <w:tcW w:w="11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145 bps</w:t>
            </w:r>
          </w:p>
        </w:tc>
        <w:tc>
          <w:tcPr>
            <w:tcW w:w="106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 bps</w:t>
            </w:r>
          </w:p>
        </w:tc>
      </w:tr>
      <w:tr>
        <w:trPr>
          <w:trHeight w:val="203"/>
        </w:trPr>
        <w:tc>
          <w:tcPr>
            <w:tcW w:w="4700" w:type="dxa"/>
            <w:vAlign w:val="bottom"/>
          </w:tcPr>
          <w:p>
            <w:pPr>
              <w:spacing w:after="0" w:line="202" w:lineRule="exact"/>
              <w:rPr>
                <w:sz w:val="20"/>
                <w:szCs w:val="20"/>
                <w:color w:val="auto"/>
              </w:rPr>
            </w:pPr>
            <w:r>
              <w:rPr>
                <w:rFonts w:ascii="Arial" w:cs="Arial" w:eastAsia="Arial" w:hAnsi="Arial"/>
                <w:sz w:val="14"/>
                <w:szCs w:val="14"/>
                <w:color w:val="auto"/>
              </w:rPr>
              <w:t xml:space="preserve">Common equity tier 1 ratio </w:t>
            </w:r>
            <w:r>
              <w:rPr>
                <w:rFonts w:ascii="Arial" w:cs="Arial" w:eastAsia="Arial" w:hAnsi="Arial"/>
                <w:sz w:val="23"/>
                <w:szCs w:val="23"/>
                <w:color w:val="auto"/>
                <w:vertAlign w:val="superscript"/>
              </w:rPr>
              <w:t>(14)</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11.22%</w:t>
            </w:r>
          </w:p>
        </w:tc>
        <w:tc>
          <w:tcPr>
            <w:tcW w:w="1120" w:type="dxa"/>
            <w:vAlign w:val="bottom"/>
            <w:gridSpan w:val="2"/>
          </w:tcPr>
          <w:p>
            <w:pPr>
              <w:jc w:val="right"/>
              <w:ind w:right="80"/>
              <w:spacing w:after="0"/>
              <w:rPr>
                <w:sz w:val="20"/>
                <w:szCs w:val="20"/>
                <w:color w:val="auto"/>
              </w:rPr>
            </w:pPr>
            <w:r>
              <w:rPr>
                <w:rFonts w:ascii="Arial" w:cs="Arial" w:eastAsia="Arial" w:hAnsi="Arial"/>
                <w:sz w:val="14"/>
                <w:szCs w:val="14"/>
                <w:color w:val="auto"/>
              </w:rPr>
              <w:t>11.55%</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11.39%</w:t>
            </w:r>
          </w:p>
        </w:tc>
        <w:tc>
          <w:tcPr>
            <w:tcW w:w="1140" w:type="dxa"/>
            <w:vAlign w:val="bottom"/>
            <w:gridSpan w:val="2"/>
          </w:tcPr>
          <w:p>
            <w:pPr>
              <w:jc w:val="right"/>
              <w:ind w:right="168"/>
              <w:spacing w:after="0"/>
              <w:rPr>
                <w:sz w:val="20"/>
                <w:szCs w:val="20"/>
                <w:color w:val="auto"/>
              </w:rPr>
            </w:pPr>
            <w:r>
              <w:rPr>
                <w:rFonts w:ascii="Arial" w:cs="Arial" w:eastAsia="Arial" w:hAnsi="Arial"/>
                <w:sz w:val="14"/>
                <w:szCs w:val="14"/>
                <w:color w:val="auto"/>
              </w:rPr>
              <w:t>-16 bps</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17 bps</w:t>
            </w:r>
          </w:p>
        </w:tc>
      </w:tr>
      <w:tr>
        <w:trPr>
          <w:trHeight w:val="142"/>
        </w:trPr>
        <w:tc>
          <w:tcPr>
            <w:tcW w:w="47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Employees</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33,445</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34,024</w:t>
            </w:r>
          </w:p>
        </w:tc>
        <w:tc>
          <w:tcPr>
            <w:tcW w:w="2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34,193</w:t>
            </w: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0.5</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r>
      <w:tr>
        <w:trPr>
          <w:trHeight w:val="142"/>
        </w:trPr>
        <w:tc>
          <w:tcPr>
            <w:tcW w:w="4700" w:type="dxa"/>
            <w:vAlign w:val="bottom"/>
          </w:tcPr>
          <w:p>
            <w:pPr>
              <w:spacing w:after="0" w:line="142" w:lineRule="exact"/>
              <w:rPr>
                <w:sz w:val="20"/>
                <w:szCs w:val="20"/>
                <w:color w:val="auto"/>
              </w:rPr>
            </w:pPr>
            <w:r>
              <w:rPr>
                <w:rFonts w:ascii="Arial" w:cs="Arial" w:eastAsia="Arial" w:hAnsi="Arial"/>
                <w:sz w:val="14"/>
                <w:szCs w:val="14"/>
                <w:b w:val="1"/>
                <w:bCs w:val="1"/>
                <w:color w:val="auto"/>
              </w:rPr>
              <w:t>Share Information</w:t>
            </w: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Shares</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94,382</w:t>
            </w: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94,382</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94,382</w:t>
            </w:r>
          </w:p>
        </w:tc>
        <w:tc>
          <w:tcPr>
            <w:tcW w:w="11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r>
      <w:tr>
        <w:trPr>
          <w:trHeight w:val="189"/>
        </w:trPr>
        <w:tc>
          <w:tcPr>
            <w:tcW w:w="4700" w:type="dxa"/>
            <w:vAlign w:val="bottom"/>
          </w:tcPr>
          <w:p>
            <w:pPr>
              <w:spacing w:after="0" w:line="189"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1"/>
                <w:szCs w:val="21"/>
                <w:color w:val="auto"/>
                <w:vertAlign w:val="superscript"/>
              </w:rPr>
              <w:t>(15)</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14,621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14,621</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14,621</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0.0%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0.0%</w:t>
            </w:r>
          </w:p>
        </w:tc>
      </w:tr>
      <w:tr>
        <w:trPr>
          <w:trHeight w:val="162"/>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Floating Shares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79,761</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79,761</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r>
      <w:tr>
        <w:trPr>
          <w:trHeight w:val="20"/>
        </w:trPr>
        <w:tc>
          <w:tcPr>
            <w:tcW w:w="4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right="60" w:firstLine="8"/>
        <w:spacing w:after="0" w:line="250"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Internal overdue loans: includes overdue loans and loans under legal collection, according to our internal policy for overdue loans. Internal Overdue ratio: Internal overdue loans / Total loans.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Non-performing loans (NPL): Internal overdue loans + Refinanced loans. NPL ratio: NPL / Total loans.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 of risk: Annualized Provision for credit losses on loan portfolio, net of recoveries / Total loans.</w:t>
      </w:r>
    </w:p>
    <w:p>
      <w:pPr>
        <w:spacing w:after="0" w:line="9" w:lineRule="exact"/>
        <w:rPr>
          <w:rFonts w:ascii="Arial" w:cs="Arial" w:eastAsia="Arial" w:hAnsi="Arial"/>
          <w:sz w:val="18"/>
          <w:szCs w:val="18"/>
          <w:color w:val="auto"/>
        </w:rPr>
      </w:pPr>
    </w:p>
    <w:p>
      <w:pPr>
        <w:jc w:val="both"/>
        <w:ind w:firstLine="8"/>
        <w:spacing w:after="0" w:line="250"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earned premiums).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 Average of Total Assets. Average is calculated with period-beginning and period-ending balances.</w:t>
      </w:r>
    </w:p>
    <w:p>
      <w:pPr>
        <w:spacing w:after="0" w:line="9" w:lineRule="exact"/>
        <w:rPr>
          <w:rFonts w:ascii="Arial" w:cs="Arial" w:eastAsia="Arial" w:hAnsi="Arial"/>
          <w:sz w:val="18"/>
          <w:szCs w:val="18"/>
          <w:color w:val="auto"/>
        </w:rPr>
      </w:pPr>
    </w:p>
    <w:p>
      <w:pPr>
        <w:ind w:right="20" w:firstLine="8"/>
        <w:spacing w:after="0" w:line="250" w:lineRule="auto"/>
        <w:tabs>
          <w:tab w:leader="none" w:pos="28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Combined ratio = (Net claims / Net earned premiums) + [(Acquisition cost + Operating expenses) / Net earned premiums]. Does not include Life insurance business.</w:t>
      </w: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Considers Grupo Pacifico's figures before eliminations for consolidation to Credicorp.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Capital / Risk-weighted assets (legal minimum = 10% since July 2011).</w:t>
      </w:r>
    </w:p>
    <w:p>
      <w:pPr>
        <w:spacing w:after="0" w:line="9" w:lineRule="exact"/>
        <w:rPr>
          <w:rFonts w:ascii="Arial" w:cs="Arial" w:eastAsia="Arial" w:hAnsi="Arial"/>
          <w:sz w:val="18"/>
          <w:szCs w:val="18"/>
          <w:color w:val="auto"/>
        </w:rPr>
      </w:pPr>
    </w:p>
    <w:p>
      <w:pPr>
        <w:jc w:val="both"/>
        <w:ind w:firstLine="8"/>
        <w:spacing w:after="0" w:line="265" w:lineRule="auto"/>
        <w:tabs>
          <w:tab w:leader="none" w:pos="3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60" w:firstLine="8"/>
        <w:spacing w:after="0" w:line="250"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right="360"/>
        <w:spacing w:after="0" w:line="265" w:lineRule="auto"/>
        <w:rPr>
          <w:rFonts w:ascii="Arial" w:cs="Arial" w:eastAsia="Arial" w:hAnsi="Arial"/>
          <w:sz w:val="18"/>
          <w:szCs w:val="18"/>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These shares are held by Atlantic Security Holding Corporation (ASHC).</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653"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Credicorp and subsidiaries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Earnings contribution *</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Quarter</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1Q18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4Q18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1Q19</w:t>
            </w:r>
          </w:p>
        </w:tc>
        <w:tc>
          <w:tcPr>
            <w:tcW w:w="9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QoQ</w:t>
            </w:r>
          </w:p>
        </w:tc>
        <w:tc>
          <w:tcPr>
            <w:tcW w:w="9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YoY</w:t>
            </w:r>
          </w:p>
        </w:tc>
      </w:tr>
      <w:tr>
        <w:trPr>
          <w:trHeight w:val="210"/>
        </w:trPr>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741,044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694,560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815,966</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17.5%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18,480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22,876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12,640</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4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120,812</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99,778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99,611</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Encumbra</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603</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1,952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1,825</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202.7%</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and Pensions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57"/>
        </w:trPr>
        <w:tc>
          <w:tcPr>
            <w:tcW w:w="44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77,295</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105,492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77,157</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-26.9%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 AFP</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30,471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57,000</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Investment Banking and Wealth Management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21,074</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15,419</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-198.1%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30,699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17,071</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49,748</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191.4%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62.1%</w:t>
            </w:r>
          </w:p>
        </w:tc>
      </w:tr>
      <w:tr>
        <w:trPr>
          <w:trHeight w:val="270"/>
        </w:trPr>
        <w:tc>
          <w:tcPr>
            <w:tcW w:w="44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Others </w:t>
            </w:r>
            <w:r>
              <w:rPr>
                <w:rFonts w:ascii="Arial" w:cs="Arial" w:eastAsia="Arial" w:hAnsi="Arial"/>
                <w:sz w:val="30"/>
                <w:szCs w:val="30"/>
                <w:color w:val="auto"/>
                <w:vertAlign w:val="superscript"/>
              </w:rPr>
              <w:t>(3)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(7,456)</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(28,499)</w:t>
            </w:r>
          </w:p>
        </w:tc>
        <w:tc>
          <w:tcPr>
            <w:tcW w:w="9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282.2%</w:t>
            </w:r>
          </w:p>
        </w:tc>
      </w:tr>
      <w:tr>
        <w:trPr>
          <w:trHeight w:val="210"/>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attributed to Credicorp</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1,037,808</w:t>
            </w: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956,933</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1,100,867</w:t>
            </w:r>
          </w:p>
        </w:tc>
        <w:tc>
          <w:tcPr>
            <w:tcW w:w="1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*Contributions to Credicorp reflect the eliminations for consolidation purposes (e.g. eliminations for transactions among Credicorp’s subsidiaries or between Credicorp and its subsidiaries).</w:t>
      </w:r>
    </w:p>
    <w:p>
      <w:pPr>
        <w:spacing w:after="0" w:line="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figure is lower than the net income of Mibanco because Credicorp owns 97.74% of Mibanco (directly and indirectly).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contribution is higher than Grupo Pacifico’s net income because Credicorp owns 65.20% directly, and 33.59% through Grupo Credito.</w:t>
      </w:r>
    </w:p>
    <w:p>
      <w:pPr>
        <w:spacing w:after="0" w:line="9" w:lineRule="exact"/>
        <w:rPr>
          <w:rFonts w:ascii="Arial" w:cs="Arial" w:eastAsia="Arial" w:hAnsi="Arial"/>
          <w:sz w:val="18"/>
          <w:szCs w:val="18"/>
          <w:color w:val="auto"/>
        </w:rPr>
      </w:pPr>
    </w:p>
    <w:p>
      <w:pPr>
        <w:ind w:right="20" w:firstLine="8"/>
        <w:spacing w:after="0" w:line="261" w:lineRule="auto"/>
        <w:tabs>
          <w:tab w:leader="none" w:pos="258"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Grupo Credito excluding Prima (Servicorp and Emisiones BCP Latam), others of Atlantic Security Holding Corporation and others of Credicorp Ltd.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3960" w:type="dxa"/>
            <w:vAlign w:val="bottom"/>
            <w:gridSpan w:val="2"/>
          </w:tcPr>
          <w:p>
            <w:pPr>
              <w:ind w:left="1680"/>
              <w:spacing w:after="0"/>
              <w:rPr>
                <w:sz w:val="20"/>
                <w:szCs w:val="20"/>
                <w:color w:val="auto"/>
              </w:rPr>
            </w:pPr>
            <w:r>
              <w:rPr>
                <w:rFonts w:ascii="Arial" w:cs="Arial" w:eastAsia="Arial" w:hAnsi="Arial"/>
                <w:sz w:val="18"/>
                <w:szCs w:val="18"/>
                <w:b w:val="1"/>
                <w:bCs w:val="1"/>
                <w:color w:val="auto"/>
              </w:rPr>
              <w:t>ROAE</w:t>
            </w:r>
          </w:p>
        </w:tc>
        <w:tc>
          <w:tcPr>
            <w:tcW w:w="9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1Q18</w:t>
            </w:r>
          </w:p>
        </w:tc>
        <w:tc>
          <w:tcPr>
            <w:tcW w:w="10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4Q18</w:t>
            </w:r>
          </w:p>
        </w:tc>
        <w:tc>
          <w:tcPr>
            <w:tcW w:w="92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1Q19</w:t>
            </w:r>
          </w:p>
        </w:tc>
      </w:tr>
      <w:tr>
        <w:trPr>
          <w:trHeight w:val="210"/>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Universal Banking</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BCP Stand-alone</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22.9%</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19.4%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BCP Bolivia</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11.8%</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Microfinance</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57"/>
        </w:trPr>
        <w:tc>
          <w:tcPr>
            <w:tcW w:w="3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Mibanco </w:t>
            </w:r>
            <w:r>
              <w:rPr>
                <w:rFonts w:ascii="Arial" w:cs="Arial" w:eastAsia="Arial" w:hAnsi="Arial"/>
                <w:sz w:val="29"/>
                <w:szCs w:val="29"/>
                <w:color w:val="auto"/>
                <w:vertAlign w:val="superscript"/>
              </w:rPr>
              <w:t>(1)</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Encumbra</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12.4%</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Insurance and Pensions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57"/>
        </w:trPr>
        <w:tc>
          <w:tcPr>
            <w:tcW w:w="396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Grupo Pacifico </w:t>
            </w:r>
            <w:r>
              <w:rPr>
                <w:rFonts w:ascii="Arial" w:cs="Arial" w:eastAsia="Arial" w:hAnsi="Arial"/>
                <w:sz w:val="29"/>
                <w:szCs w:val="29"/>
                <w:color w:val="auto"/>
                <w:vertAlign w:val="superscript"/>
              </w:rPr>
              <w:t>(2)</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24.3%</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Investment Banking and Wealth Management</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Credicorp Capital</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Atlantic Security Bank</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15.4%</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25.9%</w:t>
            </w:r>
          </w:p>
        </w:tc>
      </w:tr>
      <w:tr>
        <w:trPr>
          <w:trHeight w:val="210"/>
        </w:trPr>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Credicorp</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120" w:firstLine="8"/>
        <w:spacing w:after="0" w:line="258"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ROAE including goodwill of BCP from the acquisition of Edyficar (Approximately US$ 50.7 million) was 28.1% in 1Q18, 19.9% in 4Q18 and 19.8% in 1Q19.</w:t>
      </w:r>
    </w:p>
    <w:p>
      <w:pPr>
        <w:spacing w:after="0" w:line="1" w:lineRule="exact"/>
        <w:rPr>
          <w:rFonts w:ascii="Arial" w:cs="Arial" w:eastAsia="Arial" w:hAnsi="Arial"/>
          <w:sz w:val="18"/>
          <w:szCs w:val="18"/>
          <w:color w:val="auto"/>
        </w:rPr>
      </w:pPr>
    </w:p>
    <w:p>
      <w:pPr>
        <w:ind w:right="26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Figures include unrealized gains or losses that are considered in Pacifico’s Net Equity from the investment portfolio of Pacifico Vida. ROAE excluding such unrealized gains was 15.2% in 1Q18, 19.3% in 4Q18 and 14.4% in 1Q19."</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Interest-earning assets (IEA)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Although IEAs reported levels similar to those posted last quarter, their composition reflects a contraction in loans and an expansion in total investments. In the YoY analysis, which eliminates the effect of seasonality on loans, the dynamic improved due primarily to loan growth and, to a lesser extent, to an increase in total investments. It is important to note the growth of +7.2% YoY in average daily loan balances, which improved the loan mix by segment and therefore boosted the NII.</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4"/>
          </w:tcPr>
          <w:p>
            <w:pPr>
              <w:ind w:left="5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18</w:t>
            </w:r>
          </w:p>
        </w:tc>
        <w:tc>
          <w:tcPr>
            <w:tcW w:w="1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19</w:t>
            </w:r>
          </w:p>
        </w:tc>
        <w:tc>
          <w:tcPr>
            <w:tcW w:w="18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50"/>
        </w:trPr>
        <w:tc>
          <w:tcPr>
            <w:tcW w:w="460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Cash and due from banks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15,308,923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14,478,739</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14,816,077</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Interbank funds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72,611</w:t>
            </w:r>
          </w:p>
        </w:tc>
        <w:tc>
          <w:tcPr>
            <w:tcW w:w="1000" w:type="dxa"/>
            <w:vAlign w:val="bottom"/>
          </w:tcPr>
          <w:p>
            <w:pPr>
              <w:jc w:val="right"/>
              <w:spacing w:after="0"/>
              <w:rPr>
                <w:sz w:val="20"/>
                <w:szCs w:val="20"/>
                <w:color w:val="auto"/>
              </w:rPr>
            </w:pPr>
            <w:r>
              <w:rPr>
                <w:rFonts w:ascii="Arial" w:cs="Arial" w:eastAsia="Arial" w:hAnsi="Arial"/>
                <w:sz w:val="18"/>
                <w:szCs w:val="18"/>
                <w:color w:val="auto"/>
              </w:rPr>
              <w:t>253,970</w:t>
            </w:r>
          </w:p>
        </w:tc>
        <w:tc>
          <w:tcPr>
            <w:tcW w:w="2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288,093</w:t>
            </w: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13.4%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296.8%</w:t>
            </w:r>
          </w:p>
        </w:tc>
      </w:tr>
      <w:tr>
        <w:trPr>
          <w:trHeight w:val="257"/>
        </w:trPr>
        <w:tc>
          <w:tcPr>
            <w:tcW w:w="47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Total investments </w:t>
            </w:r>
            <w:r>
              <w:rPr>
                <w:rFonts w:ascii="Arial" w:cs="Arial" w:eastAsia="Arial" w:hAnsi="Arial"/>
                <w:sz w:val="29"/>
                <w:szCs w:val="29"/>
                <w:color w:val="auto"/>
                <w:vertAlign w:val="superscript"/>
              </w:rPr>
              <w:t>(2)</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34,672,546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32,863,118</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34,960,529</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w w:val="93"/>
              </w:rPr>
              <w:t>Cash collateral, reverse repurchase agreements and securities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borrowing</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7,117,632</w:t>
            </w:r>
          </w:p>
        </w:tc>
        <w:tc>
          <w:tcPr>
            <w:tcW w:w="1000" w:type="dxa"/>
            <w:vAlign w:val="bottom"/>
          </w:tcPr>
          <w:p>
            <w:pPr>
              <w:jc w:val="right"/>
              <w:spacing w:after="0"/>
              <w:rPr>
                <w:sz w:val="20"/>
                <w:szCs w:val="20"/>
                <w:color w:val="auto"/>
              </w:rPr>
            </w:pPr>
            <w:r>
              <w:rPr>
                <w:rFonts w:ascii="Arial" w:cs="Arial" w:eastAsia="Arial" w:hAnsi="Arial"/>
                <w:sz w:val="18"/>
                <w:szCs w:val="18"/>
                <w:color w:val="auto"/>
              </w:rPr>
              <w:t>4,082,942</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4,026,447</w:t>
            </w:r>
          </w:p>
        </w:tc>
        <w:tc>
          <w:tcPr>
            <w:tcW w:w="18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-1.4%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Financial assets designated at fair value through profit or loss</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533,797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521,185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576,618</w:t>
            </w: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0"/>
        </w:trPr>
        <w:tc>
          <w:tcPr>
            <w:tcW w:w="47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30"/>
                <w:szCs w:val="30"/>
                <w:color w:val="auto"/>
                <w:vertAlign w:val="superscript"/>
              </w:rPr>
              <w:t>(3)</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100,570,511</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110,759,390</w:t>
            </w: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108,350,384</w:t>
            </w:r>
          </w:p>
        </w:tc>
        <w:tc>
          <w:tcPr>
            <w:tcW w:w="180" w:type="dxa"/>
            <w:vAlign w:val="bottom"/>
          </w:tcPr>
          <w:p>
            <w:pPr>
              <w:spacing w:after="0"/>
              <w:rPr>
                <w:sz w:val="23"/>
                <w:szCs w:val="23"/>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-2.2%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earning assets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158,276,020</w:t>
            </w: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162,959,344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163,018,148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b w:val="1"/>
                <w:bCs w:val="1"/>
                <w:color w:val="auto"/>
                <w:w w:val="79"/>
              </w:rPr>
              <w:t>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right="280" w:firstLine="8"/>
        <w:spacing w:after="0" w:line="291"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amounts differ from those previously reported due to the reclassification to the item "Cash collateral, reverse repurchase agreements and securities borrowing", mainly for the cash collateral in dollars delivered to the BCRP, which was previously presented in the item "Cash and due from banks".</w:t>
      </w:r>
    </w:p>
    <w:p>
      <w:pPr>
        <w:ind w:firstLine="8"/>
        <w:spacing w:after="0" w:line="250" w:lineRule="auto"/>
        <w:tabs>
          <w:tab w:leader="none" w:pos="26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disclosure of "Financial assets designated at fair value with effect on results" as a separate item within IEA.</w:t>
      </w: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Quarter-end balances.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18</w:t>
            </w:r>
          </w:p>
        </w:tc>
        <w:tc>
          <w:tcPr>
            <w:tcW w:w="2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19</w:t>
            </w:r>
          </w:p>
        </w:tc>
        <w:tc>
          <w:tcPr>
            <w:tcW w:w="1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7,921,749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3,512,445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4,136,148</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4920" w:type="dxa"/>
            <w:vAlign w:val="bottom"/>
            <w:gridSpan w:val="2"/>
          </w:tcPr>
          <w:p>
            <w:pPr>
              <w:spacing w:after="0" w:line="256" w:lineRule="exact"/>
              <w:rPr>
                <w:sz w:val="20"/>
                <w:szCs w:val="20"/>
                <w:color w:val="auto"/>
              </w:rPr>
            </w:pPr>
            <w:r>
              <w:rPr>
                <w:rFonts w:ascii="Arial" w:cs="Arial" w:eastAsia="Arial" w:hAnsi="Arial"/>
                <w:sz w:val="18"/>
                <w:szCs w:val="18"/>
                <w:color w:val="auto"/>
                <w:w w:val="95"/>
              </w:rPr>
              <w:t xml:space="preserve">Fair value through other comprehensive income investments </w:t>
            </w:r>
            <w:r>
              <w:rPr>
                <w:rFonts w:ascii="Arial" w:cs="Arial" w:eastAsia="Arial" w:hAnsi="Arial"/>
                <w:sz w:val="29"/>
                <w:szCs w:val="29"/>
                <w:color w:val="auto"/>
                <w:w w:val="95"/>
                <w:vertAlign w:val="superscript"/>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22,673,306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25,195,835</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27,184,560</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4,077,491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4,154,838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3,639,821</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34,672,546</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32,863,118</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34,960,529</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8"/>
        <w:spacing w:after="0" w:line="277"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disclosure of "Financial assets designated at fair value with effect on results" as a separate item within IEA.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Evolution of IEA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loans, measured in quarter-end balances, fell -2.2% QoQ due primarily to:</w:t>
      </w:r>
    </w:p>
    <w:p>
      <w:pPr>
        <w:spacing w:after="0" w:line="22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contraction in loans in Wholesale Banking, in both Corporate and Middle Market Banking.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 in loans in SME-Business and SME-Pyme.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aforementioned was partially offset by growth in quarter-end balances in the Mortgage, Consumer and Credit Card segments within the Retail Banking portfolio and by the increase in loans registered in Mibanco and Bolivia.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the contrary, the YoY evolution reveals an increase of 7.7% in total loans, which was attributable to:</w:t>
      </w:r>
    </w:p>
    <w:p>
      <w:pPr>
        <w:spacing w:after="0" w:line="225" w:lineRule="exact"/>
        <w:rPr>
          <w:sz w:val="20"/>
          <w:szCs w:val="20"/>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Retail Banking loans in all segments, in particular in Mortgage, Credit Cards and SME- Pyme.</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Wholesale Banking.</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Growth in loans from other subsidiaries such as BCP Bolivia and Mibanco.</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the 7.7% increase in quarter-end balances reflects a slight slowdown in the pace of growth, which was attributable to lower growth in Wholesale Banking. This drop was expected given that throughout 2018, this portfolio reported higher-than-expected growth rates that would have been difficult to sustain over time.</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Total investments increased +6.4% QoQ, which was mainly attributable to purchases of BCRP CDs at BCP Stand-alone in the fair value through comprehensive income investments (formerly securities available for sale). The YoY evolution of total investments continued to post levels similar to those seen in 1Q18 but reflected a slight recomposition where fair value through comprehensive investments (formerly securities available for sale) increased their share of the investment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IEA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due from banks registered an increase of 2.3% QoQ due to growth in balances held in other banks. This offset the decrease in funds at BCRP, which was associated with a drop in reserve requirements following a slight contraction in deposits.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YoY evolution, on the other hand, posted a reduction in available funds due to a decrease in deposit balances in foreign banks. This was offset primarily by an increase in funds at BCRP, which was associated with growth in the deposit volume.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1.2.1. Loan evolution by business segment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table below shows loan composition by subsidiary and business segment measured in average daily balances, which provide a clearer picture of interest income generation relative to loans, Credicorp’s primary source of income. These balances reflect trends or variations to a different degree than quarter-end balances, which may include pre-payments or loans made at the end of the quarter, which affect average daily balances less than quarter-end balances.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general, both QoQ and YoY, average daily loan balances evolved along lines similar to those registered by quarter-end balances.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It is important to note that the QoQ contraction is attributable to a drop in Wholesale Banking loans, which was partially attenuated by growth in Retail Banking and Mibanco. This was noteworthy given that this quarter, seasonality impacted loans in the Consumer, SME and Mibanco segments.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YoY evolution, the Retail Banking segments were the key players, followed by Wholesale Banking, BCP Bolivia and Mibanco. This dynamic, as expected, led to a loan mix that favored the financial margin.</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 xml:space="preserve">Loan evolution measured in average daily balances by segment </w:t>
      </w:r>
      <w:r>
        <w:rPr>
          <w:rFonts w:ascii="Arial" w:cs="Arial" w:eastAsia="Arial" w:hAnsi="Arial"/>
          <w:sz w:val="30"/>
          <w:szCs w:val="30"/>
          <w:b w:val="1"/>
          <w:bCs w:val="1"/>
          <w:color w:val="auto"/>
          <w:vertAlign w:val="superscript"/>
        </w:rPr>
        <w:t>(1)</w:t>
      </w:r>
    </w:p>
    <w:p>
      <w:pPr>
        <w:spacing w:after="0" w:line="124"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00" w:type="dxa"/>
            <w:vAlign w:val="bottom"/>
          </w:tcPr>
          <w:p>
            <w:pPr>
              <w:spacing w:after="0"/>
              <w:rPr>
                <w:sz w:val="19"/>
                <w:szCs w:val="19"/>
                <w:color w:val="auto"/>
              </w:rPr>
            </w:pPr>
          </w:p>
        </w:tc>
        <w:tc>
          <w:tcPr>
            <w:tcW w:w="2100" w:type="dxa"/>
            <w:vAlign w:val="bottom"/>
            <w:gridSpan w:val="5"/>
          </w:tcPr>
          <w:p>
            <w:pPr>
              <w:jc w:val="center"/>
              <w:ind w:left="610"/>
              <w:spacing w:after="0"/>
              <w:rPr>
                <w:sz w:val="20"/>
                <w:szCs w:val="20"/>
                <w:color w:val="auto"/>
              </w:rPr>
            </w:pPr>
            <w:r>
              <w:rPr>
                <w:rFonts w:ascii="Arial" w:cs="Arial" w:eastAsia="Arial" w:hAnsi="Arial"/>
                <w:sz w:val="18"/>
                <w:szCs w:val="18"/>
                <w:b w:val="1"/>
                <w:bCs w:val="1"/>
                <w:color w:val="auto"/>
                <w:w w:val="99"/>
              </w:rPr>
              <w:t>TOTAL LOANS</w:t>
            </w: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4"/>
            <w:vMerge w:val="restart"/>
          </w:tcPr>
          <w:p>
            <w:pPr>
              <w:jc w:val="right"/>
              <w:ind w:right="750"/>
              <w:spacing w:after="0"/>
              <w:rPr>
                <w:sz w:val="20"/>
                <w:szCs w:val="20"/>
                <w:color w:val="auto"/>
              </w:rPr>
            </w:pPr>
            <w:r>
              <w:rPr>
                <w:rFonts w:ascii="Arial" w:cs="Arial" w:eastAsia="Arial" w:hAnsi="Arial"/>
                <w:sz w:val="18"/>
                <w:szCs w:val="18"/>
                <w:b w:val="1"/>
                <w:bCs w:val="1"/>
                <w:color w:val="auto"/>
              </w:rPr>
              <w:t>% change</w:t>
            </w:r>
          </w:p>
        </w:tc>
        <w:tc>
          <w:tcPr>
            <w:tcW w:w="2320" w:type="dxa"/>
            <w:vAlign w:val="bottom"/>
            <w:gridSpan w:val="5"/>
            <w:vMerge w:val="restart"/>
          </w:tcPr>
          <w:p>
            <w:pPr>
              <w:ind w:left="640"/>
              <w:spacing w:after="0"/>
              <w:rPr>
                <w:sz w:val="20"/>
                <w:szCs w:val="20"/>
                <w:color w:val="auto"/>
              </w:rPr>
            </w:pPr>
            <w:r>
              <w:rPr>
                <w:rFonts w:ascii="Arial" w:cs="Arial" w:eastAsia="Arial" w:hAnsi="Arial"/>
                <w:sz w:val="18"/>
                <w:szCs w:val="18"/>
                <w:b w:val="1"/>
                <w:bCs w:val="1"/>
                <w:color w:val="auto"/>
                <w:w w:val="93"/>
              </w:rPr>
              <w:t>% Part. in total loans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0" w:type="dxa"/>
            <w:vAlign w:val="bottom"/>
          </w:tcPr>
          <w:p>
            <w:pPr>
              <w:spacing w:after="0"/>
              <w:rPr>
                <w:sz w:val="19"/>
                <w:szCs w:val="19"/>
                <w:color w:val="auto"/>
              </w:rPr>
            </w:pPr>
          </w:p>
        </w:tc>
        <w:tc>
          <w:tcPr>
            <w:tcW w:w="2980" w:type="dxa"/>
            <w:vAlign w:val="bottom"/>
            <w:gridSpan w:val="7"/>
          </w:tcPr>
          <w:p>
            <w:pPr>
              <w:jc w:val="center"/>
              <w:ind w:right="180"/>
              <w:spacing w:after="0"/>
              <w:rPr>
                <w:sz w:val="20"/>
                <w:szCs w:val="20"/>
                <w:color w:val="auto"/>
              </w:rPr>
            </w:pPr>
            <w:r>
              <w:rPr>
                <w:rFonts w:ascii="Arial" w:cs="Arial" w:eastAsia="Arial" w:hAnsi="Arial"/>
                <w:sz w:val="18"/>
                <w:szCs w:val="18"/>
                <w:b w:val="1"/>
                <w:bCs w:val="1"/>
                <w:i w:val="1"/>
                <w:iCs w:val="1"/>
                <w:color w:val="auto"/>
                <w:w w:val="87"/>
              </w:rPr>
              <w:t>Expressed in million S/</w:t>
            </w:r>
          </w:p>
        </w:tc>
        <w:tc>
          <w:tcPr>
            <w:tcW w:w="100" w:type="dxa"/>
            <w:vAlign w:val="bottom"/>
          </w:tcPr>
          <w:p>
            <w:pPr>
              <w:spacing w:after="0"/>
              <w:rPr>
                <w:sz w:val="19"/>
                <w:szCs w:val="19"/>
                <w:color w:val="auto"/>
              </w:rPr>
            </w:pPr>
          </w:p>
        </w:tc>
        <w:tc>
          <w:tcPr>
            <w:tcW w:w="2040" w:type="dxa"/>
            <w:vAlign w:val="bottom"/>
            <w:gridSpan w:val="4"/>
            <w:vMerge w:val="continue"/>
          </w:tcPr>
          <w:p>
            <w:pPr>
              <w:spacing w:after="0"/>
              <w:rPr>
                <w:sz w:val="19"/>
                <w:szCs w:val="19"/>
                <w:color w:val="auto"/>
              </w:rPr>
            </w:pPr>
          </w:p>
        </w:tc>
        <w:tc>
          <w:tcPr>
            <w:tcW w:w="2320" w:type="dxa"/>
            <w:vAlign w:val="bottom"/>
            <w:gridSpan w:val="5"/>
            <w:vMerge w:val="continue"/>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4Q18</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1Q19</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YoY</w:t>
            </w:r>
          </w:p>
        </w:tc>
        <w:tc>
          <w:tcPr>
            <w:tcW w:w="30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4Q18</w:t>
            </w: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5"/>
              </w:rPr>
              <w:t>1Q19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BCP Stand-alone</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82,078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88,708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88,224</w:t>
            </w:r>
          </w:p>
        </w:tc>
        <w:tc>
          <w:tcPr>
            <w:tcW w:w="1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-0.5%</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81.7%</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82.0%</w:t>
            </w:r>
          </w:p>
        </w:tc>
        <w:tc>
          <w:tcPr>
            <w:tcW w:w="0" w:type="dxa"/>
            <w:vAlign w:val="bottom"/>
          </w:tcPr>
          <w:p>
            <w:pPr>
              <w:spacing w:after="0"/>
              <w:rPr>
                <w:sz w:val="1"/>
                <w:szCs w:val="1"/>
                <w:color w:val="auto"/>
              </w:rPr>
            </w:pPr>
          </w:p>
        </w:tc>
      </w:tr>
      <w:tr>
        <w:trPr>
          <w:trHeight w:val="216"/>
        </w:trPr>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Wholesale Banking</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43,661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46,476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45,504</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43.5%</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43.0%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42.3%</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27,875</w:t>
            </w:r>
          </w:p>
        </w:tc>
        <w:tc>
          <w:tcPr>
            <w:tcW w:w="100" w:type="dxa"/>
            <w:vAlign w:val="bottom"/>
            <w:shd w:val="clear" w:color="auto" w:fill="FDE9D9"/>
          </w:tcPr>
          <w:p>
            <w:pPr>
              <w:spacing w:after="0"/>
              <w:rPr>
                <w:sz w:val="18"/>
                <w:szCs w:val="18"/>
                <w:color w:val="auto"/>
              </w:rPr>
            </w:pPr>
          </w:p>
        </w:tc>
        <w:tc>
          <w:tcPr>
            <w:tcW w:w="960" w:type="dxa"/>
            <w:vAlign w:val="bottom"/>
            <w:gridSpan w:val="2"/>
            <w:shd w:val="clear" w:color="auto" w:fill="FDE9D9"/>
          </w:tcPr>
          <w:p>
            <w:pPr>
              <w:jc w:val="right"/>
              <w:ind w:right="30"/>
              <w:spacing w:after="0"/>
              <w:rPr>
                <w:sz w:val="20"/>
                <w:szCs w:val="20"/>
                <w:color w:val="auto"/>
              </w:rPr>
            </w:pPr>
            <w:r>
              <w:rPr>
                <w:rFonts w:ascii="Arial" w:cs="Arial" w:eastAsia="Arial" w:hAnsi="Arial"/>
                <w:sz w:val="18"/>
                <w:szCs w:val="18"/>
                <w:color w:val="auto"/>
              </w:rPr>
              <w:t>-2.3%</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27.5%</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Middle - Market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16,054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17,939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17,629</w:t>
            </w:r>
          </w:p>
        </w:tc>
        <w:tc>
          <w:tcPr>
            <w:tcW w:w="100" w:type="dxa"/>
            <w:vAlign w:val="bottom"/>
            <w:shd w:val="clear" w:color="auto" w:fill="FDE9D9"/>
          </w:tcPr>
          <w:p>
            <w:pPr>
              <w:spacing w:after="0"/>
              <w:rPr>
                <w:sz w:val="18"/>
                <w:szCs w:val="18"/>
                <w:color w:val="auto"/>
              </w:rPr>
            </w:pPr>
          </w:p>
        </w:tc>
        <w:tc>
          <w:tcPr>
            <w:tcW w:w="960" w:type="dxa"/>
            <w:vAlign w:val="bottom"/>
            <w:gridSpan w:val="2"/>
            <w:shd w:val="clear" w:color="auto" w:fill="FDE9D9"/>
          </w:tcPr>
          <w:p>
            <w:pPr>
              <w:jc w:val="right"/>
              <w:ind w:right="30"/>
              <w:spacing w:after="0"/>
              <w:rPr>
                <w:sz w:val="20"/>
                <w:szCs w:val="20"/>
                <w:color w:val="auto"/>
              </w:rPr>
            </w:pPr>
            <w:r>
              <w:rPr>
                <w:rFonts w:ascii="Arial" w:cs="Arial" w:eastAsia="Arial" w:hAnsi="Arial"/>
                <w:sz w:val="18"/>
                <w:szCs w:val="18"/>
                <w:color w:val="auto"/>
              </w:rPr>
              <w:t>-1.7%</w:t>
            </w:r>
          </w:p>
        </w:tc>
        <w:tc>
          <w:tcPr>
            <w:tcW w:w="10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9.8%</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Retail Banking</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38,416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42,232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42,720</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11.2%</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SME - Business</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5,070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5,587</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5,258</w:t>
            </w:r>
          </w:p>
        </w:tc>
        <w:tc>
          <w:tcPr>
            <w:tcW w:w="1060" w:type="dxa"/>
            <w:vAlign w:val="bottom"/>
            <w:gridSpan w:val="3"/>
          </w:tcPr>
          <w:p>
            <w:pPr>
              <w:jc w:val="right"/>
              <w:ind w:right="30"/>
              <w:spacing w:after="0"/>
              <w:rPr>
                <w:sz w:val="20"/>
                <w:szCs w:val="20"/>
                <w:color w:val="auto"/>
              </w:rPr>
            </w:pPr>
            <w:r>
              <w:rPr>
                <w:rFonts w:ascii="Arial" w:cs="Arial" w:eastAsia="Arial" w:hAnsi="Arial"/>
                <w:sz w:val="18"/>
                <w:szCs w:val="18"/>
                <w:color w:val="auto"/>
              </w:rPr>
              <w:t>-5.9%</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3.7%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SME - Pyme</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9,413</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Mortgage</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13,312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14,714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15,100</w:t>
            </w:r>
          </w:p>
        </w:tc>
        <w:tc>
          <w:tcPr>
            <w:tcW w:w="1060" w:type="dxa"/>
            <w:vAlign w:val="bottom"/>
            <w:gridSpan w:val="3"/>
            <w:shd w:val="clear" w:color="auto" w:fill="C5D9F1"/>
          </w:tcPr>
          <w:p>
            <w:pPr>
              <w:jc w:val="right"/>
              <w:ind w:right="3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5D9F1"/>
          </w:tcPr>
          <w:p>
            <w:pPr>
              <w:jc w:val="right"/>
              <w:ind w:right="50"/>
              <w:spacing w:after="0"/>
              <w:rPr>
                <w:sz w:val="20"/>
                <w:szCs w:val="20"/>
                <w:color w:val="auto"/>
              </w:rPr>
            </w:pPr>
            <w:r>
              <w:rPr>
                <w:rFonts w:ascii="Arial" w:cs="Arial" w:eastAsia="Arial" w:hAnsi="Arial"/>
                <w:sz w:val="18"/>
                <w:szCs w:val="18"/>
                <w:color w:val="auto"/>
              </w:rPr>
              <w:t>13.4%</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13.3%</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Consumer</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7,645</w:t>
            </w:r>
          </w:p>
        </w:tc>
        <w:tc>
          <w:tcPr>
            <w:tcW w:w="10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00" w:type="dxa"/>
            <w:vAlign w:val="bottom"/>
          </w:tcPr>
          <w:p>
            <w:pPr>
              <w:ind w:left="320"/>
              <w:spacing w:after="0"/>
              <w:rPr>
                <w:sz w:val="20"/>
                <w:szCs w:val="20"/>
                <w:color w:val="auto"/>
              </w:rPr>
            </w:pPr>
            <w:r>
              <w:rPr>
                <w:rFonts w:ascii="Arial" w:cs="Arial" w:eastAsia="Arial" w:hAnsi="Arial"/>
                <w:sz w:val="18"/>
                <w:szCs w:val="18"/>
                <w:color w:val="auto"/>
              </w:rPr>
              <w:t>Credit Card</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4,433</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5,029</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5,305</w:t>
            </w:r>
          </w:p>
        </w:tc>
        <w:tc>
          <w:tcPr>
            <w:tcW w:w="1060" w:type="dxa"/>
            <w:vAlign w:val="bottom"/>
            <w:gridSpan w:val="3"/>
            <w:shd w:val="clear" w:color="auto" w:fill="C5D9F1"/>
          </w:tcPr>
          <w:p>
            <w:pPr>
              <w:jc w:val="right"/>
              <w:ind w:right="30"/>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19.7%</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4.4%</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Mibanco</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9,366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9,763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9,910</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5.8%</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Arial" w:cs="Arial" w:eastAsia="Arial" w:hAnsi="Arial"/>
                <w:sz w:val="18"/>
                <w:szCs w:val="18"/>
                <w:b w:val="1"/>
                <w:bCs w:val="1"/>
                <w:color w:val="auto"/>
              </w:rPr>
              <w:t>Bolivia</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6,256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7,152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7,096</w:t>
            </w:r>
          </w:p>
        </w:tc>
        <w:tc>
          <w:tcPr>
            <w:tcW w:w="10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-0.8%</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6.2%</w:t>
            </w:r>
          </w:p>
        </w:tc>
        <w:tc>
          <w:tcPr>
            <w:tcW w:w="10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6.6%</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ASB</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2,710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2,547</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2,408</w:t>
            </w:r>
          </w:p>
        </w:tc>
        <w:tc>
          <w:tcPr>
            <w:tcW w:w="10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10"/>
        </w:trPr>
        <w:tc>
          <w:tcPr>
            <w:tcW w:w="2000" w:type="dxa"/>
            <w:vAlign w:val="bottom"/>
          </w:tcPr>
          <w:p>
            <w:pPr>
              <w:spacing w:after="0"/>
              <w:rPr>
                <w:sz w:val="20"/>
                <w:szCs w:val="20"/>
                <w:color w:val="auto"/>
              </w:rPr>
            </w:pPr>
            <w:r>
              <w:rPr>
                <w:rFonts w:ascii="Arial" w:cs="Arial" w:eastAsia="Arial" w:hAnsi="Arial"/>
                <w:sz w:val="18"/>
                <w:szCs w:val="18"/>
                <w:b w:val="1"/>
                <w:bCs w:val="1"/>
                <w:color w:val="auto"/>
              </w:rPr>
              <w:t>BAP's total loans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100,409</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108,170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107,638</w:t>
            </w:r>
          </w:p>
        </w:tc>
        <w:tc>
          <w:tcPr>
            <w:tcW w:w="18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3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41148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consolidation purposes, loans generated in FC are converted to 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Includes Work out unit, and other banking.</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Growth QoQ in Average Daily Balances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 QoQ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006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403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The analysis by segment reveals a QoQ contraction in loans measured in average daily balances that reflects:</w:t>
      </w:r>
    </w:p>
    <w:p>
      <w:pPr>
        <w:spacing w:after="0" w:line="225"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contraction in Wholesale Banking loans, both in Corporate Banking and Middle Market Banking.</w:t>
      </w:r>
    </w:p>
    <w:p>
      <w:pPr>
        <w:spacing w:after="0" w:line="225" w:lineRule="exact"/>
        <w:rPr>
          <w:rFonts w:ascii="Arial" w:cs="Arial" w:eastAsia="Arial" w:hAnsi="Arial"/>
          <w:sz w:val="18"/>
          <w:szCs w:val="18"/>
          <w:color w:val="auto"/>
        </w:rPr>
      </w:pPr>
    </w:p>
    <w:p>
      <w:pPr>
        <w:ind w:left="980" w:right="220" w:hanging="648"/>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drop in loans in the SME-Business segment, specifically for working capital loans and, to a lesser extent, to finance sales. Both decreases were attributable to seasonality in this segment.</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aforementioned was offset by QoQ growth in the Mortgage, Consumer and Credit Card segments, both within Retail Banking and at BCP Stand-alone, and by expansion in Mibanco’s loan portfolio.</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0" w:name="page11"/>
    <w:bookmarkEnd w:id="10"/>
    <w:p>
      <w:pPr>
        <w:ind w:left="3980"/>
        <w:spacing w:after="0"/>
        <w:rPr>
          <w:sz w:val="20"/>
          <w:szCs w:val="20"/>
          <w:color w:val="auto"/>
        </w:rPr>
      </w:pPr>
      <w:r>
        <w:rPr>
          <w:rFonts w:ascii="Arial" w:cs="Arial" w:eastAsia="Arial" w:hAnsi="Arial"/>
          <w:sz w:val="18"/>
          <w:szCs w:val="18"/>
          <w:b w:val="1"/>
          <w:bCs w:val="1"/>
          <w:color w:val="auto"/>
        </w:rPr>
        <w:t>Loan Growth YoY in Average Daily Balances</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Expressed in millions of S/</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+7.2%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040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YoY growth by segments measured in average daily balances shows:</w:t>
      </w:r>
    </w:p>
    <w:p>
      <w:pPr>
        <w:spacing w:after="0" w:line="225" w:lineRule="exact"/>
        <w:rPr>
          <w:sz w:val="20"/>
          <w:szCs w:val="20"/>
          <w:color w:val="auto"/>
        </w:rPr>
      </w:pPr>
    </w:p>
    <w:p>
      <w:pPr>
        <w:ind w:left="980" w:hanging="648"/>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Loan expansion in Wholesale Banking, primarily in Middle Market Banking (+9.8% YoY) due to growth in medium and long-term loans.</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growth in the Mortgage, Credit Card, Consumer, SME and SME-Business segments in Retail Banking.</w:t>
      </w:r>
    </w:p>
    <w:p>
      <w:pPr>
        <w:spacing w:after="0" w:line="225" w:lineRule="exact"/>
        <w:rPr>
          <w:rFonts w:ascii="Arial" w:cs="Arial" w:eastAsia="Arial" w:hAnsi="Arial"/>
          <w:sz w:val="18"/>
          <w:szCs w:val="18"/>
          <w:color w:val="auto"/>
        </w:rPr>
      </w:pPr>
    </w:p>
    <w:p>
      <w:pPr>
        <w:ind w:left="980" w:right="700" w:hanging="648"/>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increase in loans at BCP Bolivia, which registered expansion of +13.4% YoY. This evolution was attributable to loan growth in the Corporate Banking and Mortgage segments (regulated portfolio).</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Growth in loans at Mibanco (+5.8% YoY), which have resumed a positive trend.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Loan evolution by currency - average daily balances </w:t>
      </w:r>
      <w:r>
        <w:rPr>
          <w:rFonts w:ascii="Arial" w:cs="Arial" w:eastAsia="Arial" w:hAnsi="Arial"/>
          <w:sz w:val="30"/>
          <w:szCs w:val="30"/>
          <w:b w:val="1"/>
          <w:bCs w:val="1"/>
          <w:color w:val="auto"/>
          <w:vertAlign w:val="superscript"/>
        </w:rPr>
        <w:t>(1)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DOMESTIC CURRENCY LOANS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48"/>
              <w:spacing w:after="0"/>
              <w:rPr>
                <w:sz w:val="20"/>
                <w:szCs w:val="20"/>
                <w:color w:val="auto"/>
              </w:rPr>
            </w:pPr>
            <w:r>
              <w:rPr>
                <w:rFonts w:ascii="Arial" w:cs="Arial" w:eastAsia="Arial" w:hAnsi="Arial"/>
                <w:sz w:val="14"/>
                <w:szCs w:val="14"/>
                <w:b w:val="1"/>
                <w:bCs w:val="1"/>
                <w:color w:val="auto"/>
              </w:rPr>
              <w:t>FOREIGN CURRENCY LOANS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5"/>
          </w:tcPr>
          <w:p>
            <w:pPr>
              <w:jc w:val="center"/>
              <w:ind w:right="68"/>
              <w:spacing w:after="0"/>
              <w:rPr>
                <w:sz w:val="20"/>
                <w:szCs w:val="20"/>
                <w:color w:val="auto"/>
              </w:rPr>
            </w:pPr>
            <w:r>
              <w:rPr>
                <w:rFonts w:ascii="Arial" w:cs="Arial" w:eastAsia="Arial" w:hAnsi="Arial"/>
                <w:sz w:val="14"/>
                <w:szCs w:val="14"/>
                <w:b w:val="1"/>
                <w:bCs w:val="1"/>
                <w:color w:val="auto"/>
                <w:w w:val="96"/>
              </w:rPr>
              <w:t>% part. by currency</w:t>
            </w:r>
          </w:p>
        </w:tc>
      </w:tr>
      <w:tr>
        <w:trPr>
          <w:trHeight w:val="162"/>
        </w:trPr>
        <w:tc>
          <w:tcPr>
            <w:tcW w:w="1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right="188"/>
              <w:spacing w:after="0"/>
              <w:rPr>
                <w:sz w:val="20"/>
                <w:szCs w:val="20"/>
                <w:color w:val="auto"/>
              </w:rPr>
            </w:pPr>
            <w:r>
              <w:rPr>
                <w:rFonts w:ascii="Arial" w:cs="Arial" w:eastAsia="Arial" w:hAnsi="Arial"/>
                <w:sz w:val="14"/>
                <w:szCs w:val="14"/>
                <w:b w:val="1"/>
                <w:bCs w:val="1"/>
                <w:i w:val="1"/>
                <w:iCs w:val="1"/>
                <w:color w:val="auto"/>
                <w:w w:val="89"/>
              </w:rPr>
              <w:t>Expressed in million 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gridSpan w:val="6"/>
          </w:tcPr>
          <w:p>
            <w:pPr>
              <w:jc w:val="center"/>
              <w:ind w:right="128"/>
              <w:spacing w:after="0"/>
              <w:rPr>
                <w:sz w:val="20"/>
                <w:szCs w:val="20"/>
                <w:color w:val="auto"/>
              </w:rPr>
            </w:pPr>
            <w:r>
              <w:rPr>
                <w:rFonts w:ascii="Arial" w:cs="Arial" w:eastAsia="Arial" w:hAnsi="Arial"/>
                <w:sz w:val="14"/>
                <w:szCs w:val="14"/>
                <w:b w:val="1"/>
                <w:bCs w:val="1"/>
                <w:i w:val="1"/>
                <w:iCs w:val="1"/>
                <w:color w:val="auto"/>
                <w:w w:val="90"/>
              </w:rPr>
              <w:t>Expressed in million US$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jc w:val="center"/>
              <w:ind w:left="388"/>
              <w:spacing w:after="0"/>
              <w:rPr>
                <w:sz w:val="20"/>
                <w:szCs w:val="20"/>
                <w:color w:val="auto"/>
              </w:rPr>
            </w:pPr>
            <w:r>
              <w:rPr>
                <w:rFonts w:ascii="Arial" w:cs="Arial" w:eastAsia="Arial" w:hAnsi="Arial"/>
                <w:sz w:val="14"/>
                <w:szCs w:val="14"/>
                <w:b w:val="1"/>
                <w:bCs w:val="1"/>
                <w:color w:val="auto"/>
                <w:w w:val="99"/>
              </w:rPr>
              <w:t>1Q19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19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1Q18</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4Q18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1Q19</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YoY</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1Q18</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4Q18</w:t>
            </w:r>
          </w:p>
        </w:tc>
        <w:tc>
          <w:tcPr>
            <w:tcW w:w="2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1Q19</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YoY</w:t>
            </w:r>
          </w:p>
        </w:tc>
        <w:tc>
          <w:tcPr>
            <w:tcW w:w="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LC</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FC</w:t>
            </w:r>
          </w:p>
        </w:tc>
        <w:tc>
          <w:tcPr>
            <w:tcW w:w="120" w:type="dxa"/>
            <w:vAlign w:val="bottom"/>
            <w:tcBorders>
              <w:bottom w:val="single" w:sz="8" w:color="CCEEFF"/>
            </w:tcBorders>
          </w:tcPr>
          <w:p>
            <w:pPr>
              <w:spacing w:after="0"/>
              <w:rPr>
                <w:sz w:val="14"/>
                <w:szCs w:val="14"/>
                <w:color w:val="auto"/>
              </w:rPr>
            </w:pPr>
          </w:p>
        </w:tc>
      </w:tr>
      <w:tr>
        <w:trPr>
          <w:trHeight w:val="142"/>
        </w:trPr>
        <w:tc>
          <w:tcPr>
            <w:tcW w:w="19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BCP Stand-alone</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50,401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54,850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55,180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0.6%</w:t>
            </w: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9.5%</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9,794</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10,039</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9,957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-0.8%</w:t>
            </w:r>
          </w:p>
        </w:tc>
        <w:tc>
          <w:tcPr>
            <w:tcW w:w="800" w:type="dxa"/>
            <w:vAlign w:val="bottom"/>
            <w:gridSpan w:val="2"/>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1.7%</w:t>
            </w:r>
          </w:p>
        </w:tc>
        <w:tc>
          <w:tcPr>
            <w:tcW w:w="820" w:type="dxa"/>
            <w:vAlign w:val="bottom"/>
            <w:gridSpan w:val="2"/>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rPr>
              <w:t>62.5%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37.5%</w:t>
            </w: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Wholesale Banking</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19,761</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20,640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19,977</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-3.2%</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1.1%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7,390</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7,660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7,692</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0.4%</w:t>
            </w:r>
          </w:p>
        </w:tc>
        <w:tc>
          <w:tcPr>
            <w:tcW w:w="800" w:type="dxa"/>
            <w:vAlign w:val="bottom"/>
            <w:gridSpan w:val="2"/>
          </w:tcPr>
          <w:p>
            <w:pPr>
              <w:jc w:val="right"/>
              <w:ind w:right="28"/>
              <w:spacing w:after="0" w:line="149" w:lineRule="exact"/>
              <w:rPr>
                <w:sz w:val="20"/>
                <w:szCs w:val="20"/>
                <w:color w:val="auto"/>
              </w:rPr>
            </w:pPr>
            <w:r>
              <w:rPr>
                <w:rFonts w:ascii="Arial" w:cs="Arial" w:eastAsia="Arial" w:hAnsi="Arial"/>
                <w:sz w:val="14"/>
                <w:szCs w:val="14"/>
                <w:b w:val="1"/>
                <w:bCs w:val="1"/>
                <w:color w:val="auto"/>
              </w:rPr>
              <w:t>4.1%</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43.9%</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56.1%</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Corporate</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11,951</w:t>
            </w:r>
          </w:p>
        </w:tc>
        <w:tc>
          <w:tcPr>
            <w:tcW w:w="1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12,308</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11,775</w:t>
            </w:r>
          </w:p>
        </w:tc>
        <w:tc>
          <w:tcPr>
            <w:tcW w:w="800" w:type="dxa"/>
            <w:vAlign w:val="bottom"/>
            <w:gridSpan w:val="2"/>
            <w:shd w:val="clear" w:color="auto" w:fill="FDE9D9"/>
          </w:tcPr>
          <w:p>
            <w:pPr>
              <w:jc w:val="right"/>
              <w:ind w:right="48"/>
              <w:spacing w:after="0" w:line="149" w:lineRule="exact"/>
              <w:rPr>
                <w:sz w:val="20"/>
                <w:szCs w:val="20"/>
                <w:color w:val="auto"/>
              </w:rPr>
            </w:pPr>
            <w:r>
              <w:rPr>
                <w:rFonts w:ascii="Arial" w:cs="Arial" w:eastAsia="Arial" w:hAnsi="Arial"/>
                <w:sz w:val="14"/>
                <w:szCs w:val="14"/>
                <w:color w:val="auto"/>
              </w:rPr>
              <w:t>-4.3%</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4,841</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4,812</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4,851</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0.8%</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0.2%</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42.2%</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Middle-Market</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7,810</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8,332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8,202</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5.0%</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2,549</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2,849</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2,841</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-0.3%</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11.4%</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46.5%</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53.5%</w:t>
            </w:r>
          </w:p>
        </w:tc>
      </w:tr>
      <w:tr>
        <w:trPr>
          <w:trHeight w:val="149"/>
        </w:trPr>
        <w:tc>
          <w:tcPr>
            <w:tcW w:w="19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Retail Banking</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30,640</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34,210</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35,203</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2.9%</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14.9%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2,404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2,379</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2,265</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-4.8%</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-5.8%</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82.4%</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17.6%</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SME - Business</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2,317</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2,556</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2,490</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7.4%</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899</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200" w:type="dxa"/>
            <w:vAlign w:val="bottom"/>
          </w:tcPr>
          <w:p>
            <w:pPr>
              <w:spacing w:after="0"/>
              <w:rPr>
                <w:sz w:val="12"/>
                <w:szCs w:val="12"/>
                <w:color w:val="auto"/>
              </w:rPr>
            </w:pPr>
          </w:p>
        </w:tc>
        <w:tc>
          <w:tcPr>
            <w:tcW w:w="820" w:type="dxa"/>
            <w:vAlign w:val="bottom"/>
            <w:gridSpan w:val="2"/>
            <w:shd w:val="clear" w:color="auto" w:fill="FDE9D9"/>
          </w:tcPr>
          <w:p>
            <w:pPr>
              <w:jc w:val="right"/>
              <w:ind w:right="68"/>
              <w:spacing w:after="0" w:line="149" w:lineRule="exact"/>
              <w:rPr>
                <w:sz w:val="20"/>
                <w:szCs w:val="20"/>
                <w:color w:val="auto"/>
              </w:rPr>
            </w:pPr>
            <w:r>
              <w:rPr>
                <w:rFonts w:ascii="Arial" w:cs="Arial" w:eastAsia="Arial" w:hAnsi="Arial"/>
                <w:sz w:val="14"/>
                <w:szCs w:val="14"/>
                <w:color w:val="auto"/>
              </w:rPr>
              <w:t>-7.2%</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-2.0%</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47.4%</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52.6%</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SME - Pyme</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8,343</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9,124</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9,161</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-6.1%</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-14.7%</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97.3%</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Mortgage</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10,365</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11,892</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12,477</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5D9F1"/>
          </w:tcPr>
          <w:p>
            <w:pPr>
              <w:jc w:val="right"/>
              <w:ind w:right="68"/>
              <w:spacing w:after="0" w:line="149" w:lineRule="exact"/>
              <w:rPr>
                <w:sz w:val="20"/>
                <w:szCs w:val="20"/>
                <w:color w:val="auto"/>
              </w:rPr>
            </w:pPr>
            <w:r>
              <w:rPr>
                <w:rFonts w:ascii="Arial" w:cs="Arial" w:eastAsia="Arial" w:hAnsi="Arial"/>
                <w:sz w:val="14"/>
                <w:szCs w:val="14"/>
                <w:color w:val="auto"/>
              </w:rPr>
              <w:t>20.4%</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911</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837</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790</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-5.5%</w:t>
            </w:r>
          </w:p>
        </w:tc>
        <w:tc>
          <w:tcPr>
            <w:tcW w:w="800" w:type="dxa"/>
            <w:vAlign w:val="bottom"/>
            <w:gridSpan w:val="2"/>
            <w:shd w:val="clear" w:color="auto" w:fill="FDE9D9"/>
          </w:tcPr>
          <w:p>
            <w:pPr>
              <w:jc w:val="right"/>
              <w:ind w:right="48"/>
              <w:spacing w:after="0" w:line="149" w:lineRule="exact"/>
              <w:rPr>
                <w:sz w:val="20"/>
                <w:szCs w:val="20"/>
                <w:color w:val="auto"/>
              </w:rPr>
            </w:pPr>
            <w:r>
              <w:rPr>
                <w:rFonts w:ascii="Arial" w:cs="Arial" w:eastAsia="Arial" w:hAnsi="Arial"/>
                <w:sz w:val="14"/>
                <w:szCs w:val="14"/>
                <w:color w:val="auto"/>
              </w:rPr>
              <w:t>-13.3%</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82.6%</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w:t>
            </w:r>
          </w:p>
        </w:tc>
      </w:tr>
      <w:tr>
        <w:trPr>
          <w:trHeight w:val="149"/>
        </w:trPr>
        <w:tc>
          <w:tcPr>
            <w:tcW w:w="196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Consumer</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5,772</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6,315</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6,478</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12.2%</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8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-5.0%</w:t>
            </w:r>
          </w:p>
        </w:tc>
        <w:tc>
          <w:tcPr>
            <w:tcW w:w="8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Credit Card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3,843</w:t>
            </w: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4,324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4,598</w:t>
            </w:r>
          </w:p>
        </w:tc>
        <w:tc>
          <w:tcPr>
            <w:tcW w:w="800" w:type="dxa"/>
            <w:vAlign w:val="bottom"/>
            <w:gridSpan w:val="2"/>
            <w:shd w:val="clear" w:color="auto" w:fill="C5D9F1"/>
          </w:tcPr>
          <w:p>
            <w:pPr>
              <w:jc w:val="right"/>
              <w:ind w:right="48"/>
              <w:spacing w:after="0" w:line="149" w:lineRule="exact"/>
              <w:rPr>
                <w:sz w:val="20"/>
                <w:szCs w:val="20"/>
                <w:color w:val="auto"/>
              </w:rPr>
            </w:pPr>
            <w:r>
              <w:rPr>
                <w:rFonts w:ascii="Arial" w:cs="Arial" w:eastAsia="Arial" w:hAnsi="Arial"/>
                <w:sz w:val="14"/>
                <w:szCs w:val="14"/>
                <w:color w:val="auto"/>
              </w:rPr>
              <w:t>6.4%</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19.7%</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213</w:t>
            </w:r>
          </w:p>
        </w:tc>
        <w:tc>
          <w:tcPr>
            <w:tcW w:w="200" w:type="dxa"/>
            <w:vAlign w:val="bottom"/>
          </w:tcPr>
          <w:p>
            <w:pPr>
              <w:spacing w:after="0"/>
              <w:rPr>
                <w:sz w:val="12"/>
                <w:szCs w:val="12"/>
                <w:color w:val="auto"/>
              </w:rPr>
            </w:pP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1.9%</w:t>
            </w:r>
          </w:p>
        </w:tc>
        <w:tc>
          <w:tcPr>
            <w:tcW w:w="8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16.7%</w:t>
            </w:r>
          </w:p>
        </w:tc>
        <w:tc>
          <w:tcPr>
            <w:tcW w:w="8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86.7%</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w:t>
            </w:r>
          </w:p>
        </w:tc>
      </w:tr>
      <w:tr>
        <w:trPr>
          <w:trHeight w:val="149"/>
        </w:trPr>
        <w:tc>
          <w:tcPr>
            <w:tcW w:w="1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Mibanco</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8,847</w:t>
            </w:r>
          </w:p>
        </w:tc>
        <w:tc>
          <w:tcPr>
            <w:tcW w:w="9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9,223</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9,364</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1.5%</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5.8%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160</w:t>
            </w: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2.6%</w:t>
            </w:r>
          </w:p>
        </w:tc>
        <w:tc>
          <w:tcPr>
            <w:tcW w:w="80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b w:val="1"/>
                <w:bCs w:val="1"/>
                <w:color w:val="auto"/>
              </w:rPr>
              <w:t>2.6%</w:t>
            </w:r>
          </w:p>
        </w:tc>
        <w:tc>
          <w:tcPr>
            <w:tcW w:w="8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b w:val="1"/>
                <w:bCs w:val="1"/>
                <w:color w:val="auto"/>
              </w:rPr>
              <w:t>94.5%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w:t>
            </w:r>
          </w:p>
        </w:tc>
      </w:tr>
      <w:tr>
        <w:trPr>
          <w:trHeight w:val="149"/>
        </w:trPr>
        <w:tc>
          <w:tcPr>
            <w:tcW w:w="1960" w:type="dxa"/>
            <w:vAlign w:val="bottom"/>
          </w:tcPr>
          <w:p>
            <w:pPr>
              <w:spacing w:after="0" w:line="149" w:lineRule="exact"/>
              <w:rPr>
                <w:sz w:val="20"/>
                <w:szCs w:val="20"/>
                <w:color w:val="auto"/>
              </w:rPr>
            </w:pPr>
            <w:r>
              <w:rPr>
                <w:rFonts w:ascii="Arial" w:cs="Arial" w:eastAsia="Arial" w:hAnsi="Arial"/>
                <w:sz w:val="14"/>
                <w:szCs w:val="14"/>
                <w:b w:val="1"/>
                <w:bCs w:val="1"/>
                <w:color w:val="auto"/>
              </w:rPr>
              <w:t>Bolivia</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1,934</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2,121</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2,139</w:t>
            </w:r>
          </w:p>
        </w:tc>
        <w:tc>
          <w:tcPr>
            <w:tcW w:w="820" w:type="dxa"/>
            <w:vAlign w:val="bottom"/>
            <w:gridSpan w:val="2"/>
          </w:tcPr>
          <w:p>
            <w:pPr>
              <w:jc w:val="right"/>
              <w:ind w:right="48"/>
              <w:spacing w:after="0" w:line="149" w:lineRule="exact"/>
              <w:rPr>
                <w:sz w:val="20"/>
                <w:szCs w:val="20"/>
                <w:color w:val="auto"/>
              </w:rPr>
            </w:pPr>
            <w:r>
              <w:rPr>
                <w:rFonts w:ascii="Arial" w:cs="Arial" w:eastAsia="Arial" w:hAnsi="Arial"/>
                <w:sz w:val="14"/>
                <w:szCs w:val="14"/>
                <w:b w:val="1"/>
                <w:bCs w:val="1"/>
                <w:color w:val="auto"/>
              </w:rPr>
              <w:t>0.8%</w:t>
            </w:r>
          </w:p>
        </w:tc>
        <w:tc>
          <w:tcPr>
            <w:tcW w:w="800" w:type="dxa"/>
            <w:vAlign w:val="bottom"/>
            <w:gridSpan w:val="2"/>
            <w:shd w:val="clear" w:color="auto" w:fill="C5D9F1"/>
          </w:tcPr>
          <w:p>
            <w:pPr>
              <w:jc w:val="right"/>
              <w:ind w:right="28"/>
              <w:spacing w:after="0" w:line="149" w:lineRule="exact"/>
              <w:rPr>
                <w:sz w:val="20"/>
                <w:szCs w:val="20"/>
                <w:color w:val="auto"/>
              </w:rPr>
            </w:pPr>
            <w:r>
              <w:rPr>
                <w:rFonts w:ascii="Arial" w:cs="Arial" w:eastAsia="Arial" w:hAnsi="Arial"/>
                <w:sz w:val="14"/>
                <w:szCs w:val="14"/>
                <w:b w:val="1"/>
                <w:bCs w:val="1"/>
                <w:color w:val="auto"/>
              </w:rPr>
              <w:t>10.6%</w:t>
            </w:r>
          </w:p>
        </w:tc>
        <w:tc>
          <w:tcPr>
            <w:tcW w:w="820" w:type="dxa"/>
            <w:vAlign w:val="bottom"/>
            <w:gridSpan w:val="2"/>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100.0%</w:t>
            </w:r>
          </w:p>
        </w:tc>
      </w:tr>
      <w:tr>
        <w:trPr>
          <w:trHeight w:val="162"/>
        </w:trPr>
        <w:tc>
          <w:tcPr>
            <w:tcW w:w="1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ASB</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838</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755</w:t>
            </w: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w:t>
            </w:r>
          </w:p>
        </w:tc>
        <w:tc>
          <w:tcPr>
            <w:tcW w:w="80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-13.4%</w:t>
            </w:r>
          </w:p>
        </w:tc>
        <w:tc>
          <w:tcPr>
            <w:tcW w:w="820" w:type="dxa"/>
            <w:vAlign w:val="bottom"/>
            <w:gridSpan w:val="2"/>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r>
      <w:tr>
        <w:trPr>
          <w:trHeight w:val="142"/>
        </w:trPr>
        <w:tc>
          <w:tcPr>
            <w:tcW w:w="1960" w:type="dxa"/>
            <w:vAlign w:val="bottom"/>
          </w:tcPr>
          <w:p>
            <w:pPr>
              <w:spacing w:after="0" w:line="142" w:lineRule="exact"/>
              <w:rPr>
                <w:sz w:val="20"/>
                <w:szCs w:val="20"/>
                <w:color w:val="auto"/>
              </w:rPr>
            </w:pPr>
            <w:r>
              <w:rPr>
                <w:rFonts w:ascii="Arial" w:cs="Arial" w:eastAsia="Arial" w:hAnsi="Arial"/>
                <w:sz w:val="14"/>
                <w:szCs w:val="14"/>
                <w:b w:val="1"/>
                <w:bCs w:val="1"/>
                <w:color w:val="auto"/>
              </w:rPr>
              <w:t>Total loans</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59,248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64,073</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64,545</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0.7</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12,726</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13,075</w:t>
            </w: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12,986</w:t>
            </w:r>
          </w:p>
        </w:tc>
        <w:tc>
          <w:tcPr>
            <w:tcW w:w="20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-0.7</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w:t>
            </w:r>
          </w:p>
        </w:tc>
        <w:tc>
          <w:tcPr>
            <w:tcW w:w="24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19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1148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(1) Includes Work out unit, and other banking.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the analysis of loan expansion by currency, the QoQ and YoY growth is due primarily to an increase in the LC-denominated portfolio (+0.7% QoQ and +8.9% YoY).</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 xml:space="preserve">YoY evolution of the level of dollarization by segment </w:t>
      </w:r>
      <w:r>
        <w:rPr>
          <w:rFonts w:ascii="Arial" w:cs="Arial" w:eastAsia="Arial" w:hAnsi="Arial"/>
          <w:sz w:val="30"/>
          <w:szCs w:val="30"/>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90170</wp:posOffset>
            </wp:positionV>
            <wp:extent cx="5574030" cy="1878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daily balances.</w:t>
      </w:r>
    </w:p>
    <w:p>
      <w:pPr>
        <w:spacing w:after="0" w:line="23" w:lineRule="exact"/>
        <w:rPr>
          <w:rFonts w:ascii="Arial" w:cs="Arial" w:eastAsia="Arial" w:hAnsi="Arial"/>
          <w:sz w:val="18"/>
          <w:szCs w:val="18"/>
          <w:color w:val="auto"/>
        </w:rPr>
      </w:pPr>
    </w:p>
    <w:p>
      <w:pPr>
        <w:ind w:firstLine="8"/>
        <w:spacing w:after="0" w:line="250"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FC share of Credicorp’s loan portfolio is calculated including BCP Bolivia and ASB, however the chart shows only the loan books of BCP Stand-alone and Mibanco.</w:t>
      </w: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year with the historic maximum level of dollarization for Wholesale Banking was 2012, for Mibanco was 2016 and for the rest of segments was 2009.</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BCP Stand-alone, the loan dollarization level fell YoY to 37%. As expected, the Mortgage segment continued to posted a downward trend in dollarization, falling from 22% at the end of March 2018 to 17% at the end of March 2019. The aforementioned is attributable to a high level of loan disbursements in LC in a scenario in which the interest-rate differential for new loans continued to fall.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important to note that, as is evident in the following figure, the percentage of loans that is highly exposed to FX risk on credit risk continues to be very 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FX risk on credit risk –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154940</wp:posOffset>
            </wp:positionV>
            <wp:extent cx="3387725" cy="1724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8772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 BCRP de-dollarization plan at BCP Stand-alone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2014, BCRP set up a Loan De-dollarization Program. Among the measures taken, reduction targets were set for loan balances in US Dollars with progressive targets for the end of June 2015, December 2016, December 2017, December 2018 and December 2019. These targets apply to the balance of the total FC portfolio, with certain exceptions, and to the balance of the combined mortgage and car portfolio. The balance required at the end of December 2019 is as follows:</w:t>
      </w:r>
    </w:p>
    <w:p>
      <w:pPr>
        <w:spacing w:after="0" w:line="187" w:lineRule="exact"/>
        <w:rPr>
          <w:sz w:val="20"/>
          <w:szCs w:val="20"/>
          <w:color w:val="auto"/>
        </w:rPr>
      </w:pPr>
    </w:p>
    <w:p>
      <w:pPr>
        <w:jc w:val="both"/>
        <w:ind w:left="980" w:hanging="648"/>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the total FC portfolio, the goal set for the end of 2018 remains in effect. In this scenario, the balance at the end of December 2019 must represent no more than 80% of the total loan balance in FC reported at the end of September 2013 (excluding loans that fulfill certain specifications).</w:t>
      </w:r>
    </w:p>
    <w:p>
      <w:pPr>
        <w:spacing w:after="0" w:line="181" w:lineRule="exact"/>
        <w:rPr>
          <w:rFonts w:ascii="Arial" w:cs="Arial" w:eastAsia="Arial" w:hAnsi="Arial"/>
          <w:sz w:val="18"/>
          <w:szCs w:val="18"/>
          <w:color w:val="auto"/>
        </w:rPr>
      </w:pPr>
    </w:p>
    <w:p>
      <w:pPr>
        <w:ind w:left="980" w:right="720"/>
        <w:spacing w:after="0" w:line="277" w:lineRule="auto"/>
        <w:rPr>
          <w:rFonts w:ascii="Arial" w:cs="Arial" w:eastAsia="Arial" w:hAnsi="Arial"/>
          <w:sz w:val="18"/>
          <w:szCs w:val="18"/>
          <w:color w:val="auto"/>
        </w:rPr>
      </w:pPr>
      <w:r>
        <w:rPr>
          <w:rFonts w:ascii="Arial" w:cs="Arial" w:eastAsia="Arial" w:hAnsi="Arial"/>
          <w:sz w:val="18"/>
          <w:szCs w:val="18"/>
          <w:color w:val="auto"/>
        </w:rPr>
        <w:t>By the end of March 2019, BCP Stand-alone had already reported a compliance level of 101% with regard to the goal set by BCRP for December 2019.</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2" w:name="page13"/>
    <w:bookmarkEnd w:id="12"/>
    <w:p>
      <w:pPr>
        <w:jc w:val="both"/>
        <w:ind w:left="980" w:hanging="648"/>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FC Mortgage and Loan portfolio, the goal was adjusted in December 2018. In this scenario, the balance at the end of December 2019 must represent a maximum of 40% of the loan balance for Mortgage and Cars that was reported at the end of February 2013. Every year, the goal will be adjusted 10% to reach a minimum of 5% of Net Equity.</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 the end of March 2019, BCP Stand-alone registered a compliance level of 96% with regard to BCRP’s dedollarization goal.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1.2.4. Market share in loans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154940</wp:posOffset>
            </wp:positionV>
            <wp:extent cx="5574030" cy="15951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1595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Wholesale Banking market shares are different that previously reported because loans from COFIDE are now included in the denominator.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Mortgage segment includes Mibanco's market share of 1.1% as of February 2019, December 2018 and March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segment includes Mibanco's market share of 1.4% as of February 2019, 1.5% as of December 2018 and 1.7% as of March 2018.</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Shares for Corporate and Middle-market are as of March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2019, BCP Stand-alone continues to be the leader of the Peruvian financial market share (MS) of 28.7%, higher than the MS of 17.4% held by the closest competitor. This level presents a slight reduction compared to the level of March 2018 and December 2018. For its part, Mibanco maintains its MS at 3.2% within the total of the Financial System.</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Within Wholesale Banking, the Corporate Banking segment reported a reduction of -230 bps of MS QoQ and Middle Market Banking decreased its MS by -100 bps. In the YoY evolution, Corporate Banking reported a decrease of -330 pbs in its MS while Middle-Market Banking posted an increase of +110 bps. It is important to note that both continue to lead in their respective segments.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Retail Banking, BCP reported a relatively stable MS, leading the markets in the mortgage and SME-PYME segments. In the SME-Business, consumer and credit card segments, BCP ranks second but in the consumer and credit card segment it has increased its share (19.3% in 1Q19 vs 19.2% in 4Q18 and 22.9% in 1Q19 vs 22.7% in 4Q18,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Finally, </w:t>
      </w:r>
      <w:r>
        <w:rPr>
          <w:rFonts w:ascii="Arial" w:cs="Arial" w:eastAsia="Arial" w:hAnsi="Arial"/>
          <w:sz w:val="18"/>
          <w:szCs w:val="18"/>
          <w:b w:val="1"/>
          <w:bCs w:val="1"/>
          <w:color w:val="auto"/>
        </w:rPr>
        <w:t>BCP Bolivia’s</w:t>
      </w:r>
      <w:r>
        <w:rPr>
          <w:rFonts w:ascii="Arial" w:cs="Arial" w:eastAsia="Arial" w:hAnsi="Arial"/>
          <w:sz w:val="18"/>
          <w:szCs w:val="18"/>
          <w:color w:val="auto"/>
        </w:rPr>
        <w:t xml:space="preserve"> MS held steady QoQ but fell slightly YoY. With this result, the bank is ranked fifth in the Bolivian financial system.</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Funding 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Total funding fell slightly QoQ, which was mainly attributable to a drop in Due to banks and Correspondents and in Repurchase agreements (BCRP and Third Parties). With regard to Credicorp’s funding structure, total deposits continue to represent the main source of funding with noteworthy on-going growth in savings deposits, which constitute one of the cheapest sources of funding. All of the aforementioned has allowed Credicorp to maintain a relatively stable cost of funding.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Funding</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31,062,028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32,515,165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31,695,558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29,724,860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32,593,978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32,968,147</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Time deposits </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30,238,770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31,303,607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31,399,811</w:t>
            </w:r>
          </w:p>
        </w:tc>
        <w:tc>
          <w:tcPr>
            <w:tcW w:w="7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6,676,449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7,571,375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7,074,344</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490,998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567,186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589,397</w:t>
            </w:r>
          </w:p>
        </w:tc>
        <w:tc>
          <w:tcPr>
            <w:tcW w:w="7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98,193,105</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104,551,311</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103,727,257</w:t>
            </w:r>
          </w:p>
        </w:tc>
        <w:tc>
          <w:tcPr>
            <w:tcW w:w="2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7,824,148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8,448,139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7,219,120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6,647,658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5,226,870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4,984,192</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Repurchase agreements </w:t>
            </w:r>
            <w:r>
              <w:rPr>
                <w:rFonts w:ascii="Arial" w:cs="Arial" w:eastAsia="Arial" w:hAnsi="Arial"/>
                <w:sz w:val="29"/>
                <w:szCs w:val="29"/>
                <w:color w:val="auto"/>
                <w:vertAlign w:val="superscript"/>
              </w:rPr>
              <w:t>(2)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2,714,459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2,638,231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2,324,385</w:t>
            </w:r>
          </w:p>
        </w:tc>
        <w:tc>
          <w:tcPr>
            <w:tcW w:w="7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-11.9%</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15,318,649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15,457,540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15,472,882</w:t>
            </w: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funding</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130,698,019</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136,322,091</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133,727,836</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4Q18 figure differs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1Q18 figure differs from previously reported, please consider the data presented on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Funding Structure</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Evolution of the funding structure and cost – BAP</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142875</wp:posOffset>
            </wp:positionV>
            <wp:extent cx="5462905" cy="2752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2905"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chart that depicts the Evolution of the funding structure and cost at Credicorp is calculated with quarter-end balances. In general, the funding structure mainly reflects:</w:t>
      </w:r>
    </w:p>
    <w:p>
      <w:pPr>
        <w:spacing w:after="0" w:line="170" w:lineRule="exact"/>
        <w:rPr>
          <w:sz w:val="20"/>
          <w:szCs w:val="20"/>
          <w:color w:val="auto"/>
        </w:rPr>
      </w:pPr>
    </w:p>
    <w:p>
      <w:pPr>
        <w:ind w:left="980" w:right="20" w:hanging="648"/>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importance of deposits as a source of funding; deposits continued to increase their share of total funding QoQ and YoY, to situate at 77.6% at the end of Mar 19 (vs. 76.7% in Dec 18 and 75.1% in Mar 18).</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 w:name="page15"/>
    <w:bookmarkEnd w:id="14"/>
    <w:p>
      <w:pPr>
        <w:jc w:val="both"/>
        <w:ind w:left="980" w:hanging="648"/>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deposit mix reflects the significant share held by savings deposits and demand deposits, which continued to represent 62.3% of total deposits at the end of March 2019 (at the end of March 2018, they represented 61.9%). Both types of deposits are considered low-cost alternatives within the deposit mix.</w:t>
      </w:r>
    </w:p>
    <w:p>
      <w:pPr>
        <w:spacing w:after="0" w:line="181"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Within other sources of funding, the QoQ and YoY analysis reveals an on-going reduction in the volume of BCRP Instruments since 2016when they represented 9.1% of total funding, whereas at the end of March 2019, the figure was situated at 3.7%. This funding source have been replaced mainly by low-cost deposits.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has helped keep the funding cost relatively stable since December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2.2. Deposits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Dec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QoQ</w:t>
            </w: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Demand deposits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31,062,028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32,515,165</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31,695,558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3"/>
              </w:rPr>
              <w:t>-2.5%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Saving deposits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29,724,860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32,593,978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32,968,147</w:t>
            </w:r>
          </w:p>
        </w:tc>
        <w:tc>
          <w:tcPr>
            <w:tcW w:w="78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10.9%</w:t>
            </w:r>
          </w:p>
        </w:tc>
      </w:tr>
      <w:tr>
        <w:trPr>
          <w:trHeight w:val="257"/>
        </w:trPr>
        <w:tc>
          <w:tcPr>
            <w:tcW w:w="3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Time deposits </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30,238,770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31,303,607</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31,399,811</w:t>
            </w:r>
          </w:p>
        </w:tc>
        <w:tc>
          <w:tcPr>
            <w:tcW w:w="7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Severance indemnity deposits</w:t>
            </w:r>
          </w:p>
        </w:tc>
        <w:tc>
          <w:tcPr>
            <w:tcW w:w="1120" w:type="dxa"/>
            <w:vAlign w:val="bottom"/>
          </w:tcPr>
          <w:p>
            <w:pPr>
              <w:jc w:val="right"/>
              <w:spacing w:after="0"/>
              <w:rPr>
                <w:sz w:val="20"/>
                <w:szCs w:val="20"/>
                <w:color w:val="auto"/>
              </w:rPr>
            </w:pPr>
            <w:r>
              <w:rPr>
                <w:rFonts w:ascii="Arial" w:cs="Arial" w:eastAsia="Arial" w:hAnsi="Arial"/>
                <w:sz w:val="18"/>
                <w:szCs w:val="18"/>
                <w:color w:val="auto"/>
              </w:rPr>
              <w:t>6,676,449</w:t>
            </w:r>
          </w:p>
        </w:tc>
        <w:tc>
          <w:tcPr>
            <w:tcW w:w="2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7,571,375</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7,074,344</w:t>
            </w:r>
          </w:p>
        </w:tc>
        <w:tc>
          <w:tcPr>
            <w:tcW w:w="78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w w:val="93"/>
              </w:rPr>
              <w:t>-6.6%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490,998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567,186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589,397</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98,193,105</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104,551,311</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103,727,257</w:t>
            </w:r>
          </w:p>
        </w:tc>
        <w:tc>
          <w:tcPr>
            <w:tcW w:w="2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-0.8</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4Q18 figure differs from previously reported, please consider the data presented on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posted a slight 0.8% decline QoQ, within the composition of deposits and evolution QoQ shows:</w:t>
      </w:r>
    </w:p>
    <w:p>
      <w:pPr>
        <w:spacing w:after="0" w:line="225" w:lineRule="exact"/>
        <w:rPr>
          <w:sz w:val="20"/>
          <w:szCs w:val="20"/>
          <w:color w:val="auto"/>
        </w:rPr>
      </w:pPr>
    </w:p>
    <w:p>
      <w:pPr>
        <w:ind w:left="980" w:hanging="648"/>
        <w:spacing w:after="0" w:line="28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Demand deposits </w:t>
      </w:r>
      <w:r>
        <w:rPr>
          <w:rFonts w:ascii="Arial" w:cs="Arial" w:eastAsia="Arial" w:hAnsi="Arial"/>
          <w:sz w:val="18"/>
          <w:szCs w:val="18"/>
          <w:color w:val="auto"/>
        </w:rPr>
        <w:t>fell mainly at BCP Stand-alone due to a decrease in the level of deposits with the financial system and in current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held by Wholesale Banking clients.</w:t>
      </w:r>
    </w:p>
    <w:p>
      <w:pPr>
        <w:spacing w:after="0" w:line="161" w:lineRule="exact"/>
        <w:rPr>
          <w:rFonts w:ascii="Arial" w:cs="Arial" w:eastAsia="Arial" w:hAnsi="Arial"/>
          <w:sz w:val="18"/>
          <w:szCs w:val="18"/>
          <w:color w:val="auto"/>
        </w:rPr>
      </w:pPr>
    </w:p>
    <w:p>
      <w:pPr>
        <w:jc w:val="both"/>
        <w:ind w:left="980" w:hanging="648"/>
        <w:spacing w:after="0" w:line="26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Savings deposits </w:t>
      </w:r>
      <w:r>
        <w:rPr>
          <w:rFonts w:ascii="Arial" w:cs="Arial" w:eastAsia="Arial" w:hAnsi="Arial"/>
          <w:sz w:val="18"/>
          <w:szCs w:val="18"/>
          <w:color w:val="auto"/>
        </w:rPr>
        <w:t>continue to grow, mainly at BCP Stand-alone and to a lesser extent, at Mibanco. Both increases are associated with profit-sharing payments to natural persons in the month of March. Clients continued to open more savings accounts through the Kiosks and through the interbank payment application Yape.</w:t>
      </w:r>
    </w:p>
    <w:p>
      <w:pPr>
        <w:spacing w:after="0" w:line="176" w:lineRule="exact"/>
        <w:rPr>
          <w:rFonts w:ascii="Arial" w:cs="Arial" w:eastAsia="Arial" w:hAnsi="Arial"/>
          <w:sz w:val="18"/>
          <w:szCs w:val="18"/>
          <w:color w:val="auto"/>
        </w:rPr>
      </w:pPr>
    </w:p>
    <w:p>
      <w:pPr>
        <w:ind w:left="980" w:right="20" w:hanging="648"/>
        <w:spacing w:after="0" w:line="282"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b w:val="1"/>
          <w:bCs w:val="1"/>
          <w:color w:val="auto"/>
        </w:rPr>
        <w:t>Time deposits,</w:t>
      </w:r>
      <w:r>
        <w:rPr>
          <w:rFonts w:ascii="Arial" w:cs="Arial" w:eastAsia="Arial" w:hAnsi="Arial"/>
          <w:sz w:val="18"/>
          <w:szCs w:val="18"/>
          <w:color w:val="auto"/>
        </w:rPr>
        <w:t xml:space="preserve"> the increase was associated with higher balances from Middle Market Banking at BCP Stand-alone given that these deposits, which are considered professional funding, were offered at competitive rates.</w:t>
      </w:r>
    </w:p>
    <w:p>
      <w:pPr>
        <w:spacing w:after="0" w:line="161" w:lineRule="exact"/>
        <w:rPr>
          <w:rFonts w:ascii="Arial" w:cs="Arial" w:eastAsia="Arial" w:hAnsi="Arial"/>
          <w:sz w:val="18"/>
          <w:szCs w:val="18"/>
          <w:color w:val="auto"/>
        </w:rPr>
      </w:pPr>
    </w:p>
    <w:p>
      <w:pPr>
        <w:jc w:val="both"/>
        <w:ind w:left="980" w:hanging="648"/>
        <w:spacing w:after="0" w:line="266"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Severance indemnity deposits, </w:t>
      </w:r>
      <w:r>
        <w:rPr>
          <w:rFonts w:ascii="Arial" w:cs="Arial" w:eastAsia="Arial" w:hAnsi="Arial"/>
          <w:sz w:val="18"/>
          <w:szCs w:val="18"/>
          <w:color w:val="auto"/>
        </w:rPr>
        <w:t>which represent a higher-cost funding alternative, fell QoQ due to seasonal effects that are present every 1Q,</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given that in every 4Q these deposits increase after the second and final </w:t>
      </w:r>
      <w:r>
        <w:rPr>
          <w:rFonts w:ascii="Arial" w:cs="Arial" w:eastAsia="Arial" w:hAnsi="Arial"/>
          <w:sz w:val="18"/>
          <w:szCs w:val="18"/>
          <w:b w:val="1"/>
          <w:bCs w:val="1"/>
          <w:color w:val="auto"/>
        </w:rPr>
        <w:t>Severance indemnity deposit</w:t>
      </w:r>
      <w:r>
        <w:rPr>
          <w:rFonts w:ascii="Arial" w:cs="Arial" w:eastAsia="Arial" w:hAnsi="Arial"/>
          <w:sz w:val="18"/>
          <w:szCs w:val="18"/>
          <w:color w:val="auto"/>
        </w:rPr>
        <w:t xml:space="preserve"> payment of the year is made in November.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YoY</w:t>
      </w:r>
      <w:r>
        <w:rPr>
          <w:rFonts w:ascii="Arial" w:cs="Arial" w:eastAsia="Arial" w:hAnsi="Arial"/>
          <w:sz w:val="18"/>
          <w:szCs w:val="18"/>
          <w:color w:val="auto"/>
        </w:rPr>
        <w:t xml:space="preserve"> terms, total Deposits increased +5.6%, mainly due to:</w:t>
      </w:r>
    </w:p>
    <w:p>
      <w:pPr>
        <w:spacing w:after="0" w:line="225" w:lineRule="exact"/>
        <w:rPr>
          <w:sz w:val="20"/>
          <w:szCs w:val="20"/>
          <w:color w:val="auto"/>
        </w:rPr>
      </w:pPr>
    </w:p>
    <w:p>
      <w:pPr>
        <w:ind w:left="980" w:hanging="648"/>
        <w:spacing w:after="0" w:line="282"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xml:space="preserve"> which is attributable to campaigns to capture savings, mainly through digital channels; these channels have registered high levels of acceptance and use among BCP Stand-alone’s clients.</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increase in </w:t>
      </w:r>
      <w:r>
        <w:rPr>
          <w:rFonts w:ascii="Arial" w:cs="Arial" w:eastAsia="Arial" w:hAnsi="Arial"/>
          <w:sz w:val="17"/>
          <w:szCs w:val="17"/>
          <w:b w:val="1"/>
          <w:bCs w:val="1"/>
          <w:color w:val="auto"/>
        </w:rPr>
        <w:t>Time deposits</w:t>
      </w:r>
      <w:r>
        <w:rPr>
          <w:rFonts w:ascii="Arial" w:cs="Arial" w:eastAsia="Arial" w:hAnsi="Arial"/>
          <w:sz w:val="17"/>
          <w:szCs w:val="17"/>
          <w:color w:val="auto"/>
        </w:rPr>
        <w:t xml:space="preserve"> due to growth in the average balance maintained in current accounts held by Wholesale Banking clients.</w:t>
      </w: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Dollarization Level of Deposits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90170</wp:posOffset>
            </wp:positionV>
            <wp:extent cx="3387725" cy="1235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8772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 Q-end balances.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2604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level of dollarization of Credicorp’s deposits fell </w:t>
      </w:r>
      <w:r>
        <w:rPr>
          <w:rFonts w:ascii="Arial" w:cs="Arial" w:eastAsia="Arial" w:hAnsi="Arial"/>
          <w:sz w:val="18"/>
          <w:szCs w:val="18"/>
          <w:b w:val="1"/>
          <w:bCs w:val="1"/>
          <w:color w:val="auto"/>
        </w:rPr>
        <w:t>QoQ</w:t>
      </w:r>
      <w:r>
        <w:rPr>
          <w:rFonts w:ascii="Arial" w:cs="Arial" w:eastAsia="Arial" w:hAnsi="Arial"/>
          <w:sz w:val="18"/>
          <w:szCs w:val="18"/>
          <w:color w:val="auto"/>
        </w:rPr>
        <w:t xml:space="preserve"> due to higher growth in LC volumes, which was attenuated by a drop in FC volumes.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Growth in LC was attributable primarily to Time deposits and Savings Deposits. With regard to the drop in FC, time deposits and demand deposits registered the most significant decline.</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evolution</w:t>
      </w:r>
      <w:r>
        <w:rPr>
          <w:rFonts w:ascii="Arial" w:cs="Arial" w:eastAsia="Arial" w:hAnsi="Arial"/>
          <w:sz w:val="18"/>
          <w:szCs w:val="18"/>
          <w:color w:val="auto"/>
        </w:rPr>
        <w:t>, a similar trend was evident and was accompanied by an even more appreciable drop in the dollarization of total deposits. This was once again attributable to growth in time deposits and savings deposits in LC.</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280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Source: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Peruvian Financial System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the end of February 2019, Credicorp’s subsidiaries in Peru, BCP Stand-alone and Mibanco, registered a market share of 29.6% and 2.9%,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BCP Stand-alone continued to lead the market of total deposits and situated above its next competitor, which registered a MS of 19.1%.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the MS of BCP Stand-alone at the end of February 2019 fell in comparison with the figure reported at the end of March 2018 (30.2%). This was attributable to a decrease in the MS of demand deposits at BCP Stand-alone due to strong competition, mainly in the corporate segment. It is important to mention the increase of Mibanco’s MS YoY was mainly attributable to the campaign of time deposits, which led to an increase from 6.2% in March 2018 to 6.3% at the end of February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Bolivian Financial System</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BCP Bolivia continued to rank fifth in the Bolivian financial system, with an MS of 9.9% at the end of March 2019 in comparison to 9.8% at the end of December 2018. In the YoY analysis, the MS remained stable with regard to March 2018 (9.9%).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2.3. Other funding sources</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Other funding sources</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Dec 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Mar 19</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7,824,148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8,448,139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7,219,120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BCRP instruments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6,647,658</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5,226,870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4,984,192</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-25.0%</w:t>
            </w: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Repurchase agreements </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2,714,459</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2,638,231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2,324,385</w:t>
            </w:r>
          </w:p>
        </w:tc>
        <w:tc>
          <w:tcPr>
            <w:tcW w:w="74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-11.9%</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Bonds and notes issued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15,318,649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15,457,540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15,472,882</w:t>
            </w:r>
          </w:p>
        </w:tc>
        <w:tc>
          <w:tcPr>
            <w:tcW w:w="740" w:type="dxa"/>
            <w:vAlign w:val="bottom"/>
          </w:tcPr>
          <w:p>
            <w:pPr>
              <w:spacing w:after="0"/>
              <w:rPr>
                <w:sz w:val="19"/>
                <w:szCs w:val="19"/>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other funding sources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32,504,914</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31,770,780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30,000,579</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1Q18 figure differs from previously reported, please consider the data presented on this report.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Total of other funding sources</w:t>
      </w:r>
      <w:r>
        <w:rPr>
          <w:rFonts w:ascii="Arial" w:cs="Arial" w:eastAsia="Arial" w:hAnsi="Arial"/>
          <w:sz w:val="18"/>
          <w:szCs w:val="18"/>
          <w:color w:val="auto"/>
        </w:rPr>
        <w:t xml:space="preserve"> fell QoQ, primarily due to a drop in Due to Banks and correspondents and to a lesser extent, to repurchase agreements with third parties and BCRP instruments.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Due to banks and Correspondents </w:t>
      </w:r>
      <w:r>
        <w:rPr>
          <w:rFonts w:ascii="Arial" w:cs="Arial" w:eastAsia="Arial" w:hAnsi="Arial"/>
          <w:sz w:val="18"/>
          <w:szCs w:val="18"/>
          <w:color w:val="auto"/>
        </w:rPr>
        <w:t>registered a decrease due to a drop in the debt level with foreign financial institutions and interbank funds, mainly</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BCP Stand-alone.</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both"/>
        <w:ind w:right="5940"/>
        <w:spacing w:after="0" w:line="347" w:lineRule="auto"/>
        <w:rPr>
          <w:sz w:val="20"/>
          <w:szCs w:val="20"/>
          <w:color w:val="auto"/>
        </w:rPr>
      </w:pPr>
      <w:r>
        <w:rPr>
          <w:rFonts w:ascii="Arial" w:cs="Arial" w:eastAsia="Arial" w:hAnsi="Arial"/>
          <w:sz w:val="16"/>
          <w:szCs w:val="16"/>
          <w:color w:val="auto"/>
        </w:rPr>
        <w:t xml:space="preserve">With regard to </w:t>
      </w:r>
      <w:r>
        <w:rPr>
          <w:rFonts w:ascii="Arial" w:cs="Arial" w:eastAsia="Arial" w:hAnsi="Arial"/>
          <w:sz w:val="16"/>
          <w:szCs w:val="16"/>
          <w:b w:val="1"/>
          <w:bCs w:val="1"/>
          <w:color w:val="auto"/>
        </w:rPr>
        <w:t>BCRP Instruments,</w:t>
      </w:r>
      <w:r>
        <w:rPr>
          <w:rFonts w:ascii="Arial" w:cs="Arial" w:eastAsia="Arial" w:hAnsi="Arial"/>
          <w:sz w:val="16"/>
          <w:szCs w:val="16"/>
          <w:color w:val="auto"/>
        </w:rPr>
        <w:t xml:space="preserve"> the QoQ decline was mainly associated with maturities of substitution and expansion Repos with BCRP.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-325755</wp:posOffset>
            </wp:positionV>
            <wp:extent cx="2624455" cy="1577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2445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Repurchase agreements with third parties </w:t>
      </w:r>
      <w:r>
        <w:rPr>
          <w:rFonts w:ascii="Arial" w:cs="Arial" w:eastAsia="Arial" w:hAnsi="Arial"/>
          <w:sz w:val="18"/>
          <w:szCs w:val="18"/>
          <w:color w:val="auto"/>
        </w:rPr>
        <w:t>fell QoQ due to a decrease in the volume at BCP Stand-alone.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Bonds and subordinated debt </w:t>
      </w:r>
      <w:r>
        <w:rPr>
          <w:rFonts w:ascii="Arial" w:cs="Arial" w:eastAsia="Arial" w:hAnsi="Arial"/>
          <w:sz w:val="18"/>
          <w:szCs w:val="18"/>
          <w:color w:val="auto"/>
        </w:rPr>
        <w:t>registered slight growth QoQ due to corporate bond issuances in the month of February at BCP Stand-alone.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w:t>
      </w:r>
      <w:r>
        <w:rPr>
          <w:rFonts w:ascii="Arial" w:cs="Arial" w:eastAsia="Arial" w:hAnsi="Arial"/>
          <w:sz w:val="18"/>
          <w:szCs w:val="18"/>
          <w:color w:val="auto"/>
        </w:rPr>
        <w:t xml:space="preserve"> evolution, the on-going reduction in BCRP instruments, which have been replaced by deposits with lower costs and tenures as explained in section 2.2 Deposits is noteworthy.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Loan / Deposit (L/D)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17145</wp:posOffset>
            </wp:positionV>
            <wp:extent cx="3704590" cy="17240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70459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L/D ratio at Credicorp dropped once again QoQ to situate at 104.5%. This was generated in a context in which loans fell more than deposits (-2.2% vs -0.8% respectively). The analysis by subsidiary shows the same trend at BCP Stand-alone. Mibanco, however, posted a slight QoQ increase in the L/D that was attributable to maturities of time deposits held by corporate clients and to QoQ growth in the loan portfolio.</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there was a slight increase both in the L/D ratio at both Credicorp and BCP Stand-alone. This was in line with on-going growth in loans throughout 2018, which surpassed the expansion in deposits. Mibanco, in contrast, has registered an on-going decline in the L/D ratio, in line with the campaign in 2018 to capture deposits from natural persons.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Loan / Deposit Ratio by Currency</w:t>
      </w:r>
    </w:p>
    <w:p>
      <w:pPr>
        <w:spacing w:after="0" w:line="225" w:lineRule="exact"/>
        <w:rPr>
          <w:sz w:val="20"/>
          <w:szCs w:val="20"/>
          <w:color w:val="auto"/>
        </w:rPr>
      </w:pPr>
    </w:p>
    <w:p>
      <w:pPr>
        <w:ind w:left="2020"/>
        <w:spacing w:after="0"/>
        <w:tabs>
          <w:tab w:leader="none" w:pos="7640" w:val="left"/>
        </w:tabs>
        <w:rPr>
          <w:sz w:val="20"/>
          <w:szCs w:val="20"/>
          <w:color w:val="auto"/>
        </w:rPr>
      </w:pPr>
      <w:r>
        <w:rPr>
          <w:rFonts w:ascii="Arial" w:cs="Arial" w:eastAsia="Arial" w:hAnsi="Arial"/>
          <w:sz w:val="18"/>
          <w:szCs w:val="18"/>
          <w:b w:val="1"/>
          <w:bCs w:val="1"/>
          <w:color w:val="auto"/>
        </w:rPr>
        <w:t>Local Currency</w:t>
      </w:r>
      <w:r>
        <w:rPr>
          <w:sz w:val="20"/>
          <w:szCs w:val="20"/>
          <w:color w:val="auto"/>
        </w:rPr>
        <w:tab/>
      </w:r>
      <w:r>
        <w:rPr>
          <w:rFonts w:ascii="Arial" w:cs="Arial" w:eastAsia="Arial" w:hAnsi="Arial"/>
          <w:sz w:val="16"/>
          <w:szCs w:val="16"/>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154940</wp:posOffset>
            </wp:positionV>
            <wp:extent cx="6329045" cy="1637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2904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QoQ analysis per currency, a drop in the L/D ratio in LC is evident at Credicorp. This was in line with the increase in LC deposits, mainly through BCP Stand-alone, and was accentuated by the drop in LC loans. The L/D in FC remained stable.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a significant reduction in the L/D ratio in LC was noteworthy and attributable to an increase in the deposit level in 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Funding Cost</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Funding Cost – Credicorp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90170</wp:posOffset>
            </wp:positionV>
            <wp:extent cx="5402580" cy="2075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02580" cy="2075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580" w:firstLine="980"/>
        <w:spacing w:after="0" w:line="501" w:lineRule="auto"/>
        <w:tabs>
          <w:tab w:leader="none" w:pos="1224"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funding cost by currency is calculated with the average of period-beginning and period-end balances. Credicorp’s funding cost remained stable QoQ and YoY.</w:t>
      </w:r>
    </w:p>
    <w:p>
      <w:pPr>
        <w:spacing w:after="0"/>
        <w:rPr>
          <w:rFonts w:ascii="Arial" w:cs="Arial" w:eastAsia="Arial" w:hAnsi="Arial"/>
          <w:sz w:val="18"/>
          <w:szCs w:val="18"/>
          <w:color w:val="auto"/>
        </w:rPr>
      </w:pPr>
      <w:r>
        <w:rPr>
          <w:rFonts w:ascii="Arial" w:cs="Arial" w:eastAsia="Arial" w:hAnsi="Arial"/>
          <w:sz w:val="18"/>
          <w:szCs w:val="18"/>
          <w:color w:val="auto"/>
        </w:rPr>
        <w:t>The QoQ evolution was primarily due to:</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improvement in the total funding mix, which reflected an increase in the volume of sources of lower-cost funding such as Deposits. With regard to other sources of higher-cost funding, there as a decrease in Due to banks and correspondents.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more favorable mix of deposits given that lower-cost deposits, such as saving deposits continue increasing its volume.</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jc w:val="both"/>
        <w:ind w:left="980" w:hanging="648"/>
        <w:spacing w:after="0" w:line="312"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Since January 1st, 2019 onwards, we adopted the new requirements of IFRS 161, which, among other things, represented an increase QoQ of 14 million of soles in Interest expenses, which translated into 4 pbs in the 1Q19 funding cost. In that sense, if we exclude the effect of the S/ 14 million from the calculation of the funding cost, the ratio should situate at 2.37%, which translates into a reduction of 2 pbs QoQ.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funding cost has remained stable since 1Q18, due to:</w:t>
      </w:r>
    </w:p>
    <w:p>
      <w:pPr>
        <w:spacing w:after="0" w:line="225" w:lineRule="exact"/>
        <w:rPr>
          <w:sz w:val="20"/>
          <w:szCs w:val="20"/>
          <w:color w:val="auto"/>
        </w:rPr>
      </w:pPr>
    </w:p>
    <w:p>
      <w:pPr>
        <w:ind w:left="980" w:hanging="648"/>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recomposition in the funding structure where deposits posted a significant increase in their share of total funding (from 75.1% 1Q18 to 77.7% 1Q19) and replaced mainly BCRP Instruments.</w:t>
      </w:r>
    </w:p>
    <w:p>
      <w:pPr>
        <w:spacing w:after="0" w:line="170"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important to mention that the increase of + 11 bps YoY (excluding the effect of IFRS 16) of the funding cost is in line with the expected. This was mainly explained by the constant growth of deposit and these in turn have been offered at a more competitive rate, particularly deposits in LC.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Funding Cost by subsidiary–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154940</wp:posOffset>
            </wp:positionV>
            <wp:extent cx="4768215" cy="1844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821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980" w:hanging="648"/>
        <w:spacing w:after="0" w:line="281"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BCP Stand-alone’s </w:t>
      </w:r>
      <w:r>
        <w:rPr>
          <w:rFonts w:ascii="Arial" w:cs="Arial" w:eastAsia="Arial" w:hAnsi="Arial"/>
          <w:sz w:val="17"/>
          <w:szCs w:val="17"/>
          <w:color w:val="auto"/>
        </w:rPr>
        <w:t>funding cost registered the same trend as Credicorp’s funding cost, mainly associated with the higher volumes of savings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deposits. It is important to mention that BCP Stand- alone was the main subsidiary impacted by the application of IFRS 16, the impact was an increase of S / 13.2 million in interest expense, which translated into 4 pbs in the funding cost ratio. If we exclude the impact of IFRS 16 from the calculation of the funding cost, the ratio should situate at 2.11%, which represents a reduction of 2 bps QoQ.</w:t>
      </w:r>
    </w:p>
    <w:p>
      <w:pPr>
        <w:spacing w:after="0" w:line="164" w:lineRule="exact"/>
        <w:rPr>
          <w:rFonts w:ascii="Arial" w:cs="Arial" w:eastAsia="Arial" w:hAnsi="Arial"/>
          <w:sz w:val="17"/>
          <w:szCs w:val="17"/>
          <w:color w:val="auto"/>
        </w:rPr>
      </w:pPr>
    </w:p>
    <w:p>
      <w:pPr>
        <w:ind w:left="980" w:hanging="648"/>
        <w:spacing w:after="0" w:line="282"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At </w:t>
      </w:r>
      <w:r>
        <w:rPr>
          <w:rFonts w:ascii="Arial" w:cs="Arial" w:eastAsia="Arial" w:hAnsi="Arial"/>
          <w:sz w:val="18"/>
          <w:szCs w:val="18"/>
          <w:b w:val="1"/>
          <w:bCs w:val="1"/>
          <w:color w:val="auto"/>
        </w:rPr>
        <w:t>Mibanco,</w:t>
      </w:r>
      <w:r>
        <w:rPr>
          <w:rFonts w:ascii="Arial" w:cs="Arial" w:eastAsia="Arial" w:hAnsi="Arial"/>
          <w:sz w:val="18"/>
          <w:szCs w:val="18"/>
          <w:color w:val="auto"/>
        </w:rPr>
        <w:t xml:space="preserve"> the funding cost reported a slight increase QoQ, which was attributable to the strategies rolled out to capture more retail funding by offering more competitive interest rates.</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funding cost at </w:t>
      </w:r>
      <w:r>
        <w:rPr>
          <w:rFonts w:ascii="Arial" w:cs="Arial" w:eastAsia="Arial" w:hAnsi="Arial"/>
          <w:sz w:val="16"/>
          <w:szCs w:val="16"/>
          <w:b w:val="1"/>
          <w:bCs w:val="1"/>
          <w:color w:val="auto"/>
        </w:rPr>
        <w:t>BCP Bolivia</w:t>
      </w:r>
      <w:r>
        <w:rPr>
          <w:rFonts w:ascii="Arial" w:cs="Arial" w:eastAsia="Arial" w:hAnsi="Arial"/>
          <w:sz w:val="16"/>
          <w:szCs w:val="16"/>
          <w:color w:val="auto"/>
        </w:rPr>
        <w:t xml:space="preserve"> decrease QoQ and increase YoY, the latter was due primarily to an increase in interest expenses on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00" w:lineRule="exact"/>
        <w:rPr>
          <w:sz w:val="20"/>
          <w:szCs w:val="20"/>
          <w:color w:val="auto"/>
        </w:rPr>
      </w:pPr>
    </w:p>
    <w:p>
      <w:pPr>
        <w:jc w:val="both"/>
        <w:ind w:firstLine="8"/>
        <w:spacing w:after="0" w:line="245" w:lineRule="auto"/>
        <w:tabs>
          <w:tab w:leader="none" w:pos="131" w:val="left"/>
        </w:tabs>
        <w:numPr>
          <w:ilvl w:val="0"/>
          <w:numId w:val="27"/>
        </w:numPr>
        <w:rPr>
          <w:rFonts w:ascii="Arial" w:cs="Arial" w:eastAsia="Arial" w:hAnsi="Arial"/>
          <w:sz w:val="28"/>
          <w:szCs w:val="28"/>
          <w:color w:val="auto"/>
          <w:vertAlign w:val="superscript"/>
        </w:rPr>
      </w:pPr>
      <w:r>
        <w:rPr>
          <w:rFonts w:ascii="Arial" w:cs="Arial" w:eastAsia="Arial" w:hAnsi="Arial"/>
          <w:sz w:val="17"/>
          <w:szCs w:val="17"/>
          <w:color w:val="auto"/>
        </w:rPr>
        <w:t>IFRS 16 "Leases" is effective in the presentation of the financial statements since January 1st, 2019 onwards. This mainly affect the accounting treatment for lessees, which will result in the recognition of almost all lease contracts in the statement of financial position, since the standard eliminates the distinction between finance and operating leases. Pursuant to the new standard, we recognized an asset, which is the right of use of the leased asset, and a financial liability related to the lease payments. The impact in the income statement is as follows: the total expense will be normally higher in the initial years of the lease contract and lower in the final years. Furthermore, the operating costs will be replaced with interest expense and depreciation. Please take into account that the new requirements of IFRS 16 are applied by adjusting our consolidated statement of financial position at January 1, 2019, the date of its initial application, without restating the financial information for the comparative period.</w:t>
      </w: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 w:name="page21"/>
    <w:bookmarkEnd w:id="20"/>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Portfolio quality and Provisions for loan losses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Credicorp’s CofR posted a slight reduction QoQ (6 bps) mainly due to the decrease of the CofR of Mibanco as a result of the reduction of its provision requirement. YoY, the cost of risk decreased 7 bps mainly due to the reduction of BCP’s CofR, in line with the expansion of its loan portfolio and the improvement in risk quality. The NPL ratio increased year-over-year as a result of the growth of the refinanced loans mainly at Wholesale banking</w:t>
      </w:r>
    </w:p>
    <w:p>
      <w:pPr>
        <w:sectPr>
          <w:pgSz w:w="11900" w:h="16838" w:orient="portrait"/>
          <w:cols w:equalWidth="0" w:num="1">
            <w:col w:w="11420"/>
          </w:cols>
          <w:pgMar w:left="240" w:top="796" w:right="239" w:bottom="1440" w:gutter="0" w:footer="0" w:header="0"/>
        </w:sectPr>
      </w:pPr>
    </w:p>
    <w:p>
      <w:pPr>
        <w:spacing w:after="0" w:line="162"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Quarterly evolution of</w:t>
      </w:r>
    </w:p>
    <w:p>
      <w:pPr>
        <w:spacing w:after="0" w:line="50"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157480</wp:posOffset>
            </wp:positionV>
            <wp:extent cx="2855595" cy="1132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55595" cy="1132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1680"/>
        <w:spacing w:after="0"/>
        <w:rPr>
          <w:sz w:val="20"/>
          <w:szCs w:val="20"/>
          <w:color w:val="auto"/>
        </w:rPr>
      </w:pPr>
      <w:r>
        <w:rPr>
          <w:rFonts w:ascii="Arial" w:cs="Arial" w:eastAsia="Arial" w:hAnsi="Arial"/>
          <w:sz w:val="16"/>
          <w:szCs w:val="16"/>
          <w:b w:val="1"/>
          <w:bCs w:val="1"/>
          <w:color w:val="auto"/>
        </w:rPr>
        <w:t>Year-over-Year evolution of</w:t>
      </w:r>
    </w:p>
    <w:p>
      <w:pPr>
        <w:spacing w:after="0" w:line="50" w:lineRule="exact"/>
        <w:rPr>
          <w:sz w:val="20"/>
          <w:szCs w:val="20"/>
          <w:color w:val="auto"/>
        </w:rPr>
      </w:pPr>
    </w:p>
    <w:p>
      <w:pPr>
        <w:jc w:val="center"/>
        <w:ind w:right="1680"/>
        <w:spacing w:after="0"/>
        <w:rPr>
          <w:sz w:val="20"/>
          <w:szCs w:val="20"/>
          <w:color w:val="auto"/>
        </w:rPr>
      </w:pPr>
      <w:r>
        <w:rPr>
          <w:rFonts w:ascii="Arial" w:cs="Arial" w:eastAsia="Arial" w:hAnsi="Arial"/>
          <w:sz w:val="18"/>
          <w:szCs w:val="18"/>
          <w:b w:val="1"/>
          <w:bCs w:val="1"/>
          <w:color w:val="auto"/>
        </w:rPr>
        <w:t>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142875</wp:posOffset>
            </wp:positionV>
            <wp:extent cx="2950210" cy="1132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50210" cy="1132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80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Arial" w:cs="Arial" w:eastAsia="Arial" w:hAnsi="Arial"/>
                <w:sz w:val="18"/>
                <w:szCs w:val="18"/>
                <w:b w:val="1"/>
                <w:bCs w:val="1"/>
                <w:color w:val="auto"/>
              </w:rPr>
              <w:t>3.1. Provisions for loan losses</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27"/>
        </w:trPr>
        <w:tc>
          <w:tcPr>
            <w:tcW w:w="4720" w:type="dxa"/>
            <w:vAlign w:val="bottom"/>
          </w:tcPr>
          <w:p>
            <w:pPr>
              <w:spacing w:after="0"/>
              <w:rPr>
                <w:sz w:val="20"/>
                <w:szCs w:val="20"/>
                <w:color w:val="auto"/>
              </w:rPr>
            </w:pPr>
            <w:r>
              <w:rPr>
                <w:rFonts w:ascii="Arial" w:cs="Arial" w:eastAsia="Arial" w:hAnsi="Arial"/>
                <w:sz w:val="18"/>
                <w:szCs w:val="18"/>
                <w:b w:val="1"/>
                <w:bCs w:val="1"/>
                <w:color w:val="auto"/>
                <w:w w:val="89"/>
              </w:rPr>
              <w:t>Provision for credit losses on loan portfolio, net of recoveries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3"/>
          </w:tcPr>
          <w:p>
            <w:pPr>
              <w:ind w:left="20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ind w:left="600"/>
              <w:spacing w:after="0"/>
              <w:rPr>
                <w:sz w:val="20"/>
                <w:szCs w:val="20"/>
                <w:color w:val="auto"/>
              </w:rPr>
            </w:pPr>
            <w:r>
              <w:rPr>
                <w:rFonts w:ascii="Arial" w:cs="Arial" w:eastAsia="Arial" w:hAnsi="Arial"/>
                <w:sz w:val="18"/>
                <w:szCs w:val="18"/>
                <w:b w:val="1"/>
                <w:bCs w:val="1"/>
                <w:color w:val="auto"/>
                <w:w w:val="88"/>
              </w:rPr>
              <w:t>% change</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4"/>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1Q18</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4Q18</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1Q19</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QoQ</w:t>
            </w:r>
          </w:p>
        </w:tc>
        <w:tc>
          <w:tcPr>
            <w:tcW w:w="2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provision for credit losses on loan portfolio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(438,873)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(453,285)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7"/>
              </w:rPr>
              <w:t>-5.4%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7"/>
              </w:rPr>
              <w:t>3.3%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Recoveries of written-off loans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67,849</w:t>
            </w: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71,230</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70,074</w:t>
            </w:r>
          </w:p>
        </w:tc>
        <w:tc>
          <w:tcPr>
            <w:tcW w:w="8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w w:val="97"/>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w w:val="97"/>
              </w:rPr>
              <w:t>3.3%</w:t>
            </w: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9"/>
              </w:rPr>
              <w:t>Provision for credit losses on loan portfolio, net of recoveries</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(371,024)</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(407,954)</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(383,211)</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97"/>
              </w:rPr>
              <w:t>-6.1%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97"/>
              </w:rPr>
              <w:t>3.3%</w:t>
            </w:r>
          </w:p>
        </w:tc>
      </w:tr>
      <w:tr>
        <w:trPr>
          <w:trHeight w:val="20"/>
        </w:trPr>
        <w:tc>
          <w:tcPr>
            <w:tcW w:w="4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QoQ analysis shows a -6.1% reduction in provisions for loss losses net recoveries, which was driven primarily by:</w:t>
      </w:r>
    </w:p>
    <w:p>
      <w:pPr>
        <w:spacing w:after="0" w:line="225" w:lineRule="exact"/>
        <w:rPr>
          <w:sz w:val="20"/>
          <w:szCs w:val="20"/>
          <w:color w:val="auto"/>
        </w:rPr>
      </w:pPr>
    </w:p>
    <w:p>
      <w:pPr>
        <w:jc w:val="both"/>
        <w:ind w:left="980" w:hanging="648"/>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decrease in the provisions requirement at Mibanco after the adjustments made in 2018 to the admission policies (upgrade of the score and calibration of the risk policies applied since 2018) and collections (improvement of collections effectiveness in the first 60 days to avoid increasing the balance of Stage 3 loans) which resulted in the improvement of the default ratio.</w:t>
      </w:r>
    </w:p>
    <w:p>
      <w:pPr>
        <w:spacing w:after="0" w:line="181" w:lineRule="exact"/>
        <w:rPr>
          <w:rFonts w:ascii="Arial" w:cs="Arial" w:eastAsia="Arial" w:hAnsi="Arial"/>
          <w:sz w:val="18"/>
          <w:szCs w:val="18"/>
          <w:color w:val="auto"/>
        </w:rPr>
      </w:pPr>
    </w:p>
    <w:p>
      <w:pPr>
        <w:jc w:val="both"/>
        <w:ind w:left="980" w:hanging="648"/>
        <w:spacing w:after="0" w:line="259"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decrease in the provisions’ requirement at BCP, mainly from Stage 3 loans, attributable to (i) the reduction of loan balances from construction companies (debt amortization); and (ii) an improvement in the risk quality of the Retail Banking portfolio, at the SME-Pyme, Consumer and Mortgage segments in particular. The latter offset the increase in the provision requirement of some specific Wholesale banking clients of sectors different from construction.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provisions for loan losses net recoveries grew, which was primarily due to:</w:t>
      </w:r>
    </w:p>
    <w:p>
      <w:pPr>
        <w:spacing w:after="0" w:line="225" w:lineRule="exact"/>
        <w:rPr>
          <w:sz w:val="20"/>
          <w:szCs w:val="20"/>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increase in the provisions requirement at Mibanco in line with the deterioration in portfolio quality that was identified in prior quarters (Stage 3 loans); and</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relatively stable provisions requirement at BCP Stand-alone, despite growth of the loan portfolio, in line with the decrease of loan balances related to construction sector clients, and the improvement of the risk quality of new Retail banking vintages.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Credicorp’s CofR decreased 6 bps QoQ in line with the reduction of Mibanco’s CofR due to the reduction of its provision requirement, as we explained before. In the YoY analysis, Credicorp’s CofR decreased 7 bps in line with the reduction of BCP’s Stand-alone CofR as a result of the improvements in the risk quality of the Retail Banking loan book and the reduction of loan balances related to construction sector portfolio (Wholesale Banking).</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3.2. Portfolio Quality: Delinquency ratios</w:t>
            </w: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quality and Delinquency ratios</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Quarter</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ind w:left="800"/>
              <w:spacing w:after="0"/>
              <w:rPr>
                <w:sz w:val="20"/>
                <w:szCs w:val="20"/>
                <w:color w:val="auto"/>
              </w:rPr>
            </w:pPr>
            <w:r>
              <w:rPr>
                <w:rFonts w:ascii="Arial" w:cs="Arial" w:eastAsia="Arial" w:hAnsi="Arial"/>
                <w:sz w:val="18"/>
                <w:szCs w:val="18"/>
                <w:b w:val="1"/>
                <w:bCs w:val="1"/>
                <w:color w:val="auto"/>
                <w:w w:val="92"/>
              </w:rPr>
              <w:t>% change</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S/ 000</w:t>
            </w:r>
          </w:p>
        </w:tc>
        <w:tc>
          <w:tcPr>
            <w:tcW w:w="1380" w:type="dxa"/>
            <w:vAlign w:val="bottom"/>
            <w:gridSpan w:val="3"/>
          </w:tcPr>
          <w:p>
            <w:pPr>
              <w:ind w:left="340"/>
              <w:spacing w:after="0"/>
              <w:rPr>
                <w:sz w:val="20"/>
                <w:szCs w:val="20"/>
                <w:color w:val="auto"/>
              </w:rPr>
            </w:pPr>
            <w:r>
              <w:rPr>
                <w:rFonts w:ascii="Arial" w:cs="Arial" w:eastAsia="Arial" w:hAnsi="Arial"/>
                <w:sz w:val="18"/>
                <w:szCs w:val="18"/>
                <w:b w:val="1"/>
                <w:bCs w:val="1"/>
                <w:color w:val="auto"/>
              </w:rPr>
              <w:t>1Q18</w:t>
            </w: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5"/>
              </w:rPr>
              <w:t>4Q18</w:t>
            </w:r>
          </w:p>
        </w:tc>
        <w:tc>
          <w:tcPr>
            <w:tcW w:w="1400" w:type="dxa"/>
            <w:vAlign w:val="bottom"/>
            <w:gridSpan w:val="3"/>
          </w:tcPr>
          <w:p>
            <w:pPr>
              <w:ind w:left="360"/>
              <w:spacing w:after="0"/>
              <w:rPr>
                <w:sz w:val="20"/>
                <w:szCs w:val="20"/>
                <w:color w:val="auto"/>
              </w:rPr>
            </w:pPr>
            <w:r>
              <w:rPr>
                <w:rFonts w:ascii="Arial" w:cs="Arial" w:eastAsia="Arial" w:hAnsi="Arial"/>
                <w:sz w:val="18"/>
                <w:szCs w:val="18"/>
                <w:b w:val="1"/>
                <w:bCs w:val="1"/>
                <w:color w:val="auto"/>
              </w:rPr>
              <w:t>1Q19</w:t>
            </w:r>
          </w:p>
        </w:tc>
        <w:tc>
          <w:tcPr>
            <w:tcW w:w="1600" w:type="dxa"/>
            <w:vAlign w:val="bottom"/>
            <w:gridSpan w:val="4"/>
          </w:tcPr>
          <w:p>
            <w:pPr>
              <w:ind w:left="34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23"/>
        </w:trPr>
        <w:tc>
          <w:tcPr>
            <w:tcW w:w="3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 (Quarter-end balance)</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100,570,511</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110,759,390</w:t>
            </w:r>
          </w:p>
        </w:tc>
        <w:tc>
          <w:tcPr>
            <w:tcW w:w="2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108,350,384</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4,805,105</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4,952,392</w:t>
            </w:r>
          </w:p>
        </w:tc>
        <w:tc>
          <w:tcPr>
            <w:tcW w:w="2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4,862,801</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353,984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518,558</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433,231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60" w:type="dxa"/>
            <w:vAlign w:val="bottom"/>
          </w:tcPr>
          <w:p>
            <w:pPr>
              <w:spacing w:after="0" w:line="236" w:lineRule="exact"/>
              <w:rPr>
                <w:sz w:val="20"/>
                <w:szCs w:val="20"/>
                <w:color w:val="auto"/>
              </w:rPr>
            </w:pPr>
            <w:r>
              <w:rPr>
                <w:rFonts w:ascii="Arial" w:cs="Arial" w:eastAsia="Arial" w:hAnsi="Arial"/>
                <w:sz w:val="17"/>
                <w:szCs w:val="17"/>
                <w:color w:val="auto"/>
              </w:rPr>
              <w:t xml:space="preserve">Internal overdue loans (IOLs) </w:t>
            </w:r>
            <w:r>
              <w:rPr>
                <w:rFonts w:ascii="Arial" w:cs="Arial" w:eastAsia="Arial" w:hAnsi="Arial"/>
                <w:sz w:val="27"/>
                <w:szCs w:val="27"/>
                <w:color w:val="auto"/>
                <w:vertAlign w:val="superscript"/>
              </w:rPr>
              <w:t>(1)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2,995,217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3,117,078</w:t>
            </w:r>
          </w:p>
        </w:tc>
        <w:tc>
          <w:tcPr>
            <w:tcW w:w="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3,153,187</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Internal overdue loans over 90-days </w:t>
            </w:r>
            <w:r>
              <w:rPr>
                <w:rFonts w:ascii="Arial" w:cs="Arial" w:eastAsia="Arial" w:hAnsi="Arial"/>
                <w:sz w:val="29"/>
                <w:szCs w:val="29"/>
                <w:color w:val="auto"/>
                <w:vertAlign w:val="superscript"/>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2,206,551</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2,353,669</w:t>
            </w: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2,263,777</w:t>
            </w:r>
          </w:p>
        </w:tc>
        <w:tc>
          <w:tcPr>
            <w:tcW w:w="10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Refinanced loans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910,583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1,278,169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1,278,459</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70"/>
        </w:trPr>
        <w:tc>
          <w:tcPr>
            <w:tcW w:w="34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Non-performing loans (NPLs) </w:t>
            </w:r>
            <w:r>
              <w:rPr>
                <w:rFonts w:ascii="Arial" w:cs="Arial" w:eastAsia="Arial" w:hAnsi="Arial"/>
                <w:sz w:val="30"/>
                <w:szCs w:val="30"/>
                <w:color w:val="auto"/>
                <w:vertAlign w:val="superscript"/>
              </w:rPr>
              <w:t>(2)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3,905,800</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4,395,247</w:t>
            </w:r>
          </w:p>
        </w:tc>
        <w:tc>
          <w:tcPr>
            <w:tcW w:w="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4,431,646</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b w:val="1"/>
                <w:bCs w:val="1"/>
                <w:color w:val="auto"/>
              </w:rPr>
              <w:t>IOL ratio</w:t>
            </w: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2.98%</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2.81%</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 bps</w:t>
            </w:r>
          </w:p>
        </w:tc>
        <w:tc>
          <w:tcPr>
            <w:tcW w:w="180" w:type="dxa"/>
            <w:vAlign w:val="bottom"/>
            <w:vMerge w:val="continue"/>
          </w:tcPr>
          <w:p>
            <w:pPr>
              <w:spacing w:after="0"/>
              <w:rPr>
                <w:sz w:val="18"/>
                <w:szCs w:val="18"/>
                <w:color w:val="auto"/>
              </w:rPr>
            </w:pPr>
          </w:p>
        </w:tc>
        <w:tc>
          <w:tcPr>
            <w:tcW w:w="38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 bps</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IOL over 90-days ratio </w:t>
            </w:r>
            <w:r>
              <w:rPr>
                <w:rFonts w:ascii="Arial" w:cs="Arial" w:eastAsia="Arial" w:hAnsi="Arial"/>
                <w:sz w:val="29"/>
                <w:szCs w:val="29"/>
                <w:b w:val="1"/>
                <w:bCs w:val="1"/>
                <w:color w:val="auto"/>
                <w:vertAlign w:val="superscript"/>
              </w:rPr>
              <w:t>(3)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2.13%</w:t>
            </w:r>
          </w:p>
        </w:tc>
        <w:tc>
          <w:tcPr>
            <w:tcW w:w="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22"/>
                <w:szCs w:val="22"/>
                <w:color w:val="auto"/>
              </w:rPr>
            </w:pPr>
          </w:p>
        </w:tc>
        <w:tc>
          <w:tcPr>
            <w:tcW w:w="16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 bps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 bps</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NPL ratio</w:t>
            </w: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3.88%</w:t>
            </w: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3.97%</w:t>
            </w:r>
          </w:p>
        </w:tc>
        <w:tc>
          <w:tcPr>
            <w:tcW w:w="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4.09%</w:t>
            </w:r>
          </w:p>
        </w:tc>
        <w:tc>
          <w:tcPr>
            <w:tcW w:w="100" w:type="dxa"/>
            <w:vAlign w:val="bottom"/>
          </w:tcPr>
          <w:p>
            <w:pPr>
              <w:spacing w:after="0"/>
              <w:rPr>
                <w:sz w:val="18"/>
                <w:szCs w:val="18"/>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8"/>
                <w:szCs w:val="18"/>
                <w:color w:val="auto"/>
              </w:rPr>
              <w:t>12 bps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21 bps</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Internal overdue loans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160.4%</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154.2%</w:t>
            </w:r>
          </w:p>
        </w:tc>
        <w:tc>
          <w:tcPr>
            <w:tcW w:w="10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-466 bps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-620 bps</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Coverage ratio of IOL 90-days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210.4%</w:t>
            </w: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214.8%</w:t>
            </w:r>
          </w:p>
        </w:tc>
        <w:tc>
          <w:tcPr>
            <w:tcW w:w="100" w:type="dxa"/>
            <w:vAlign w:val="bottom"/>
          </w:tcPr>
          <w:p>
            <w:pPr>
              <w:spacing w:after="0"/>
              <w:rPr>
                <w:sz w:val="18"/>
                <w:szCs w:val="18"/>
                <w:color w:val="auto"/>
              </w:rPr>
            </w:pPr>
          </w:p>
        </w:tc>
        <w:tc>
          <w:tcPr>
            <w:tcW w:w="1600" w:type="dxa"/>
            <w:vAlign w:val="bottom"/>
            <w:gridSpan w:val="4"/>
          </w:tcPr>
          <w:p>
            <w:pPr>
              <w:jc w:val="right"/>
              <w:ind w:right="560"/>
              <w:spacing w:after="0"/>
              <w:rPr>
                <w:sz w:val="20"/>
                <w:szCs w:val="20"/>
                <w:color w:val="auto"/>
              </w:rPr>
            </w:pPr>
            <w:r>
              <w:rPr>
                <w:rFonts w:ascii="Arial" w:cs="Arial" w:eastAsia="Arial" w:hAnsi="Arial"/>
                <w:sz w:val="18"/>
                <w:szCs w:val="18"/>
                <w:color w:val="auto"/>
              </w:rPr>
              <w:t>440 bps</w:t>
            </w:r>
          </w:p>
        </w:tc>
        <w:tc>
          <w:tcPr>
            <w:tcW w:w="960" w:type="dxa"/>
            <w:vAlign w:val="bottom"/>
            <w:gridSpan w:val="2"/>
          </w:tcPr>
          <w:p>
            <w:pPr>
              <w:jc w:val="right"/>
              <w:ind w:right="110"/>
              <w:spacing w:after="0"/>
              <w:rPr>
                <w:sz w:val="20"/>
                <w:szCs w:val="20"/>
                <w:color w:val="auto"/>
              </w:rPr>
            </w:pPr>
            <w:r>
              <w:rPr>
                <w:rFonts w:ascii="Arial" w:cs="Arial" w:eastAsia="Arial" w:hAnsi="Arial"/>
                <w:sz w:val="18"/>
                <w:szCs w:val="18"/>
                <w:color w:val="auto"/>
              </w:rPr>
              <w:t>-300 bps</w:t>
            </w: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Coverage ratio of NPLs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w:t>
            </w:r>
          </w:p>
        </w:tc>
        <w:tc>
          <w:tcPr>
            <w:tcW w:w="100" w:type="dxa"/>
            <w:vAlign w:val="bottom"/>
            <w:shd w:val="clear" w:color="auto" w:fill="CCEEFF"/>
          </w:tcPr>
          <w:p>
            <w:pPr>
              <w:spacing w:after="0"/>
              <w:rPr>
                <w:sz w:val="19"/>
                <w:szCs w:val="19"/>
                <w:color w:val="auto"/>
              </w:rPr>
            </w:pPr>
          </w:p>
        </w:tc>
        <w:tc>
          <w:tcPr>
            <w:tcW w:w="160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-300 bps</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2"/>
              </w:rPr>
              <w:t>-1330 bps</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overdue loans and loans under legal collection. (Quarter-end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Non-performing loans include internal overdue loans and refinanced loans. (Quarter-end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in this report.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terms of Deliquency, it is important to note that:</w:t>
      </w:r>
    </w:p>
    <w:p>
      <w:pPr>
        <w:spacing w:after="0" w:line="225" w:lineRule="exact"/>
        <w:rPr>
          <w:sz w:val="20"/>
          <w:szCs w:val="20"/>
          <w:color w:val="auto"/>
        </w:rPr>
      </w:pPr>
    </w:p>
    <w:p>
      <w:pPr>
        <w:ind w:left="980" w:hanging="648"/>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balance of the IOL portfolio posted a moderate increase QoQ and YoY due to the positive evolution of the portfolio risk quality in the last years, which is also reflected in the 3.8% contraction QoQ and the slight increase of 2.6% YoY of the IOL loans over 90 days.</w:t>
      </w:r>
    </w:p>
    <w:p>
      <w:pPr>
        <w:spacing w:after="0" w:line="146" w:lineRule="exact"/>
        <w:rPr>
          <w:rFonts w:ascii="Arial" w:cs="Arial" w:eastAsia="Arial" w:hAnsi="Arial"/>
          <w:sz w:val="17"/>
          <w:szCs w:val="17"/>
          <w:color w:val="auto"/>
        </w:rPr>
      </w:pPr>
    </w:p>
    <w:p>
      <w:pPr>
        <w:jc w:val="both"/>
        <w:ind w:left="980" w:hanging="648"/>
        <w:spacing w:after="0" w:line="259"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NPL portfolio posted a significant increase YoY mainly explained by (i) the refinanced loans that were granted to some specific clients of different sectors (Wholesale banking in general), and the impact of refinanced loans in 2Q18 and 3Q18 that were granted after the execution of performance bonds to construction sector clients (Corporate banking); and to a lesser extent, (ii) the increase in the internal overdue loan book of SME-Business segment at BCP Stand-alone and at Mibanco.</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terms of Coverage ratios, they posted a YoY reduction that reflects the higher pace of growth of the non-performance loans portfolio compared to the pace of growth of the allowance for loan losses in line with,</w:t>
      </w:r>
    </w:p>
    <w:p>
      <w:pPr>
        <w:spacing w:after="0" w:line="170" w:lineRule="exact"/>
        <w:rPr>
          <w:sz w:val="20"/>
          <w:szCs w:val="20"/>
          <w:color w:val="auto"/>
        </w:rPr>
      </w:pPr>
    </w:p>
    <w:p>
      <w:pPr>
        <w:ind w:left="980" w:hanging="648"/>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presence of real estate collateral, commercial and residential properties and warrants of commodities, that represent a coverage ratio after haircuts of around 180% of the Wholesale banking balances;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sale of non-performing loans under judiciary process during 1Q19;</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decrease of loan balances related to construction sector clients; and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improvement in the risk quality of the new vintages in the Retail Banking segment.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Prior to analyzing the evolution of delinquency indicators, we must consider that:</w:t>
      </w:r>
    </w:p>
    <w:p>
      <w:pPr>
        <w:spacing w:after="0" w:line="225" w:lineRule="exact"/>
        <w:rPr>
          <w:sz w:val="20"/>
          <w:szCs w:val="20"/>
          <w:color w:val="auto"/>
        </w:rPr>
      </w:pPr>
    </w:p>
    <w:p>
      <w:pPr>
        <w:jc w:val="both"/>
        <w:ind w:left="980" w:hanging="648"/>
        <w:spacing w:after="0" w:line="312"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written-off (despite the fact that provisions have been set aside) given that a judicial process must be initiated to liquidate the collateral, which takes five years on average.</w:t>
      </w:r>
    </w:p>
    <w:p>
      <w:pPr>
        <w:spacing w:after="0" w:line="146" w:lineRule="exact"/>
        <w:rPr>
          <w:rFonts w:ascii="Arial" w:cs="Arial" w:eastAsia="Arial" w:hAnsi="Arial"/>
          <w:sz w:val="16"/>
          <w:szCs w:val="16"/>
          <w:color w:val="auto"/>
        </w:rPr>
      </w:pPr>
    </w:p>
    <w:p>
      <w:pPr>
        <w:jc w:val="both"/>
        <w:ind w:left="980" w:hanging="648"/>
        <w:spacing w:after="0" w:line="26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second half (2H) of every year, loans are more dynamic, particularly in the SME-Pyme and Mibanco segments given that the main campaigns (Christmas and year-end campaigns) are held in the second semester (2H) and these short-term loans are paid off in 1H of the following year.</w:t>
      </w:r>
    </w:p>
    <w:p>
      <w:pPr>
        <w:spacing w:after="0" w:line="2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154940</wp:posOffset>
            </wp:positionV>
            <wp:extent cx="5111115" cy="2023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11115"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20" w:hanging="240"/>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NPL ratio = (Non-performing loans+ Write-offs) / (Total loans + Write-offs)</w:t>
      </w:r>
    </w:p>
    <w:p>
      <w:pPr>
        <w:spacing w:after="0" w:line="23" w:lineRule="exact"/>
        <w:rPr>
          <w:rFonts w:ascii="Arial" w:cs="Arial" w:eastAsia="Arial" w:hAnsi="Arial"/>
          <w:sz w:val="18"/>
          <w:szCs w:val="18"/>
          <w:color w:val="auto"/>
        </w:rPr>
      </w:pPr>
    </w:p>
    <w:p>
      <w:pPr>
        <w:ind w:left="1240" w:hanging="260"/>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 of risk = Annualized provisions for loan losses net of recoveries / Total loans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Delinquency indicators by business 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2006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980" w:hanging="648"/>
        <w:spacing w:after="0" w:line="259"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QoQ and YoY analysis shows an increase in the volume of the IOL and refinanced portfolio in Wholesale Banking. The volume of the NPL portfolio increased due primarily to growth in refinanced loans for a small number of clients, as we explained before. It is important to note that the loan balances of these clients have an average coverage of 180% of real estate collateral, commercial and residential properties and warrants of commodities.</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jc w:val="center"/>
        <w:ind w:right="212"/>
        <w:spacing w:after="0"/>
        <w:rPr>
          <w:sz w:val="20"/>
          <w:szCs w:val="20"/>
          <w:color w:val="auto"/>
        </w:rPr>
      </w:pPr>
      <w:r>
        <w:rPr>
          <w:rFonts w:ascii="Arial" w:cs="Arial" w:eastAsia="Arial" w:hAnsi="Arial"/>
          <w:sz w:val="18"/>
          <w:szCs w:val="18"/>
          <w:b w:val="1"/>
          <w:bCs w:val="1"/>
          <w:color w:val="auto"/>
        </w:rPr>
        <w:t>BCP Bolivia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154940</wp:posOffset>
            </wp:positionV>
            <wp:extent cx="5574030" cy="20066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8" w:right="220" w:hanging="648"/>
        <w:spacing w:after="0" w:line="277" w:lineRule="auto"/>
        <w:tabs>
          <w:tab w:leader="none" w:pos="64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BCP Bolivia reported an increase in the IOL portfolio due to a slight deterioration in the mortgage and consumer portfolios (car loans), which led to a deterioration in the IOL and NPL ratios both QoQ and YoY.</w:t>
      </w:r>
    </w:p>
    <w:p>
      <w:pPr>
        <w:spacing w:after="0" w:line="166" w:lineRule="exact"/>
        <w:rPr>
          <w:sz w:val="20"/>
          <w:szCs w:val="20"/>
          <w:color w:val="auto"/>
        </w:rPr>
      </w:pPr>
    </w:p>
    <w:p>
      <w:pPr>
        <w:jc w:val="center"/>
        <w:ind w:right="212"/>
        <w:spacing w:after="0"/>
        <w:rPr>
          <w:sz w:val="20"/>
          <w:szCs w:val="20"/>
          <w:color w:val="auto"/>
        </w:rPr>
      </w:pPr>
      <w:r>
        <w:rPr>
          <w:rFonts w:ascii="Arial" w:cs="Arial" w:eastAsia="Arial" w:hAnsi="Arial"/>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154940</wp:posOffset>
            </wp:positionV>
            <wp:extent cx="5574030" cy="2015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48" w:hanging="648"/>
        <w:spacing w:after="0" w:line="257"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Given that the SME-Business segment registers seasonality in loan origination, it is important to focus on the YoY analysis, which shows that traditional delinquency ratios, both IOL and NPL, increased +127 bps and +153 bps, respectively. The aforementioned was due mainly to growth in the IOL portfolio, which was attributable to the deterioration of specific clients. It is important to note that this segment’s risk quality indicators are within the risk appetite set for this segment, where the objective is to maximize the portfolio’s profitability by striking an adequate balance between risk quality and portfolio growth.</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040" w:right="239" w:bottom="1440" w:gutter="0" w:footer="0" w:header="0"/>
        </w:sectPr>
      </w:pPr>
    </w:p>
    <w:bookmarkStart w:id="24" w:name="page25"/>
    <w:bookmarkEnd w:id="24"/>
    <w:p>
      <w:pPr>
        <w:jc w:val="center"/>
        <w:ind w:right="212"/>
        <w:spacing w:after="0"/>
        <w:rPr>
          <w:sz w:val="20"/>
          <w:szCs w:val="20"/>
          <w:color w:val="auto"/>
        </w:rPr>
      </w:pPr>
      <w:r>
        <w:rPr>
          <w:rFonts w:ascii="Arial" w:cs="Arial" w:eastAsia="Arial" w:hAnsi="Arial"/>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154940</wp:posOffset>
            </wp:positionV>
            <wp:extent cx="6020435" cy="2178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2043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648" w:hanging="648"/>
        <w:spacing w:after="0" w:line="312" w:lineRule="auto"/>
        <w:tabs>
          <w:tab w:leader="none" w:pos="648"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SME-Pyme loan portfolio,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 commercial properties collateral that take five years on average to liquidate).</w:t>
      </w:r>
    </w:p>
    <w:p>
      <w:pPr>
        <w:spacing w:after="0" w:line="146" w:lineRule="exact"/>
        <w:rPr>
          <w:rFonts w:ascii="Arial" w:cs="Arial" w:eastAsia="Arial" w:hAnsi="Arial"/>
          <w:sz w:val="16"/>
          <w:szCs w:val="16"/>
          <w:color w:val="auto"/>
        </w:rPr>
      </w:pPr>
    </w:p>
    <w:p>
      <w:pPr>
        <w:jc w:val="both"/>
        <w:ind w:left="648"/>
        <w:spacing w:after="0" w:line="259" w:lineRule="auto"/>
        <w:rPr>
          <w:rFonts w:ascii="Arial" w:cs="Arial" w:eastAsia="Arial" w:hAnsi="Arial"/>
          <w:sz w:val="16"/>
          <w:szCs w:val="16"/>
          <w:color w:val="auto"/>
        </w:rPr>
      </w:pPr>
      <w:r>
        <w:rPr>
          <w:rFonts w:ascii="Arial" w:cs="Arial" w:eastAsia="Arial" w:hAnsi="Arial"/>
          <w:sz w:val="18"/>
          <w:szCs w:val="18"/>
          <w:color w:val="auto"/>
        </w:rPr>
        <w:t>Since the beginning of the second half of 2014, early delinquency has followed a downward trend YoY. This is in line with on-going improvement in the risk quality of vintages after adjustments were made in the SME-Pyme business model. The impact of these adjustments became more evident in vintages since 2015. In 1Q19, the SME-Pyme portfolio growth rate YoY outpaced expansion in the IOL portfolio, which led to a drop in early delinquency and in the traditional delinquency ratios of the segment.</w:t>
      </w:r>
    </w:p>
    <w:p>
      <w:pPr>
        <w:spacing w:after="0" w:line="186" w:lineRule="exact"/>
        <w:rPr>
          <w:rFonts w:ascii="Arial" w:cs="Arial" w:eastAsia="Arial" w:hAnsi="Arial"/>
          <w:sz w:val="16"/>
          <w:szCs w:val="16"/>
          <w:color w:val="auto"/>
        </w:rPr>
      </w:pPr>
    </w:p>
    <w:p>
      <w:pPr>
        <w:jc w:val="both"/>
        <w:ind w:left="648"/>
        <w:spacing w:after="0" w:line="264" w:lineRule="auto"/>
        <w:rPr>
          <w:rFonts w:ascii="Arial" w:cs="Arial" w:eastAsia="Arial" w:hAnsi="Arial"/>
          <w:sz w:val="16"/>
          <w:szCs w:val="16"/>
          <w:color w:val="auto"/>
        </w:rPr>
      </w:pPr>
      <w:r>
        <w:rPr>
          <w:rFonts w:ascii="Arial" w:cs="Arial" w:eastAsia="Arial" w:hAnsi="Arial"/>
          <w:sz w:val="18"/>
          <w:szCs w:val="18"/>
          <w:color w:val="auto"/>
        </w:rPr>
        <w:t>It is important to note that since 2017, the SME-Pyme segment has situated comfortably within the risk appetite levels set for the segment, that seeks to maximize the portfolio’s profitability while striking an adequate balance between risk quality and portfolio growth that is in accordance with the organization’s risk framework.</w:t>
      </w:r>
    </w:p>
    <w:p>
      <w:pPr>
        <w:spacing w:after="0" w:line="177"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154940</wp:posOffset>
            </wp:positionV>
            <wp:extent cx="5574030" cy="2023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48" w:hanging="648"/>
        <w:spacing w:after="0" w:line="277" w:lineRule="auto"/>
        <w:tabs>
          <w:tab w:leader="none" w:pos="64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terms of Mortgage loans, it is important to note that these ratios are also affected by the existence of real estate collateral and foreclosure takes around 5 years. During this period, these loans cannot be written-off, even when they are fully provisioned.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796" w:right="239" w:bottom="1440" w:gutter="0" w:footer="0" w:header="0"/>
        </w:sectPr>
      </w:pPr>
    </w:p>
    <w:bookmarkStart w:id="25" w:name="page26"/>
    <w:bookmarkEnd w:id="25"/>
    <w:p>
      <w:pPr>
        <w:jc w:val="both"/>
        <w:ind w:left="648" w:right="20"/>
        <w:spacing w:after="0" w:line="259" w:lineRule="auto"/>
        <w:rPr>
          <w:sz w:val="20"/>
          <w:szCs w:val="20"/>
          <w:color w:val="auto"/>
        </w:rPr>
      </w:pPr>
      <w:r>
        <w:rPr>
          <w:rFonts w:ascii="Arial" w:cs="Arial" w:eastAsia="Arial" w:hAnsi="Arial"/>
          <w:sz w:val="18"/>
          <w:szCs w:val="18"/>
          <w:color w:val="auto"/>
        </w:rPr>
        <w:t>Traditional delinquency ratios posted a reduction QoQ, in line with a decrease in the IOL portfolio and, to a lesser extent, with an increase in the pace of growth of total loans. YoY, the drop in traditional delinquency ratios was attributable to an acceleration in mortgage loan origination after a strategy to enter segments with slightly higher risk to maximize the portfolio’s profitability- while respecting the organization’s appetite for risk- was put in motion.</w:t>
      </w:r>
    </w:p>
    <w:p>
      <w:pPr>
        <w:spacing w:after="0" w:line="187" w:lineRule="exact"/>
        <w:rPr>
          <w:sz w:val="20"/>
          <w:szCs w:val="20"/>
          <w:color w:val="auto"/>
        </w:rPr>
      </w:pPr>
    </w:p>
    <w:p>
      <w:pPr>
        <w:jc w:val="both"/>
        <w:ind w:left="648" w:right="20"/>
        <w:spacing w:after="0" w:line="308" w:lineRule="auto"/>
        <w:rPr>
          <w:sz w:val="20"/>
          <w:szCs w:val="20"/>
          <w:color w:val="auto"/>
        </w:rPr>
      </w:pPr>
      <w:r>
        <w:rPr>
          <w:rFonts w:ascii="Arial" w:cs="Arial" w:eastAsia="Arial" w:hAnsi="Arial"/>
          <w:sz w:val="17"/>
          <w:szCs w:val="17"/>
          <w:color w:val="auto"/>
        </w:rPr>
        <w:t>The Early Delinquency indicator, which excludes the effect of loans that are more than 150 days overdue, fell QoQ and YoY. It is important to note that this indicator is within both the average levels observed over the last two years and the business’s appetite for risk.</w:t>
      </w:r>
    </w:p>
    <w:p>
      <w:pPr>
        <w:spacing w:after="0" w:line="143" w:lineRule="exact"/>
        <w:rPr>
          <w:sz w:val="20"/>
          <w:szCs w:val="20"/>
          <w:color w:val="auto"/>
        </w:rPr>
      </w:pPr>
    </w:p>
    <w:p>
      <w:pPr>
        <w:jc w:val="center"/>
        <w:ind w:right="232"/>
        <w:spacing w:after="0"/>
        <w:rPr>
          <w:sz w:val="20"/>
          <w:szCs w:val="20"/>
          <w:color w:val="auto"/>
        </w:rPr>
      </w:pPr>
      <w:r>
        <w:rPr>
          <w:rFonts w:ascii="Arial" w:cs="Arial" w:eastAsia="Arial" w:hAnsi="Arial"/>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154940</wp:posOffset>
            </wp:positionV>
            <wp:extent cx="5574030" cy="20154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48" w:hanging="648"/>
        <w:spacing w:after="0" w:line="264" w:lineRule="auto"/>
        <w:tabs>
          <w:tab w:leader="none" w:pos="6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Consumer portfolio continues to show an improvement in the portfolio’s risk profile (compared to the vintages of 2015 or before, which generated the delinquency problem), in line with different initiatives for risk management and collections that are in place. The portfolio’s new composition reflects the calibrated profile generated by the change in the risk policy for admissions.</w:t>
      </w:r>
    </w:p>
    <w:p>
      <w:pPr>
        <w:spacing w:after="0" w:line="181" w:lineRule="exact"/>
        <w:rPr>
          <w:rFonts w:ascii="Arial" w:cs="Arial" w:eastAsia="Arial" w:hAnsi="Arial"/>
          <w:sz w:val="18"/>
          <w:szCs w:val="18"/>
          <w:color w:val="auto"/>
        </w:rPr>
      </w:pPr>
    </w:p>
    <w:p>
      <w:pPr>
        <w:jc w:val="both"/>
        <w:ind w:left="648"/>
        <w:spacing w:after="0" w:line="264" w:lineRule="auto"/>
        <w:rPr>
          <w:rFonts w:ascii="Arial" w:cs="Arial" w:eastAsia="Arial" w:hAnsi="Arial"/>
          <w:sz w:val="18"/>
          <w:szCs w:val="18"/>
          <w:color w:val="auto"/>
        </w:rPr>
      </w:pPr>
      <w:r>
        <w:rPr>
          <w:rFonts w:ascii="Arial" w:cs="Arial" w:eastAsia="Arial" w:hAnsi="Arial"/>
          <w:sz w:val="18"/>
          <w:szCs w:val="18"/>
          <w:color w:val="auto"/>
        </w:rPr>
        <w:t>Early delinquency fell -19 bps both QoQ and YoY to reach its lowest point since 2013, prior to the deterioration in risk quality. It is evident that although the portfolio’s pace of growth accelerated in 2018, we still have space to increase the pace of growth of this segment to fulfill the objective to maximize the portfolio’s profitability while respecting the organization’s risk appetite.</w:t>
      </w:r>
    </w:p>
    <w:p>
      <w:pPr>
        <w:spacing w:after="0" w:line="181" w:lineRule="exact"/>
        <w:rPr>
          <w:rFonts w:ascii="Arial" w:cs="Arial" w:eastAsia="Arial" w:hAnsi="Arial"/>
          <w:sz w:val="18"/>
          <w:szCs w:val="18"/>
          <w:color w:val="auto"/>
        </w:rPr>
      </w:pPr>
    </w:p>
    <w:p>
      <w:pPr>
        <w:jc w:val="both"/>
        <w:ind w:left="648"/>
        <w:spacing w:after="0" w:line="279" w:lineRule="auto"/>
        <w:rPr>
          <w:rFonts w:ascii="Arial" w:cs="Arial" w:eastAsia="Arial" w:hAnsi="Arial"/>
          <w:sz w:val="18"/>
          <w:szCs w:val="18"/>
          <w:color w:val="auto"/>
        </w:rPr>
      </w:pPr>
      <w:r>
        <w:rPr>
          <w:rFonts w:ascii="Arial" w:cs="Arial" w:eastAsia="Arial" w:hAnsi="Arial"/>
          <w:sz w:val="17"/>
          <w:szCs w:val="17"/>
          <w:color w:val="auto"/>
        </w:rPr>
        <w:t>Traditional delinquency indicators presented a drop both QoQ and YoY. This was mainly attributable to a decrease in IOL loans, which was due primarily to on-going improvements in the risk quality of new vintages and to a lesser extent, to an increase in the pace of growth of total loans after adjustments were made in origination guidelines and campaigns were rolled out to offer more client benefits. All of these efforts focus on accelerating growth in this segment. It is important to note that the portfolio is within the organization’s risk appetite.</w:t>
      </w: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800" w:right="239" w:bottom="1440" w:gutter="0" w:footer="0" w:header="0"/>
        </w:sectPr>
      </w:pPr>
    </w:p>
    <w:bookmarkStart w:id="26" w:name="page27"/>
    <w:bookmarkEnd w:id="26"/>
    <w:p>
      <w:pPr>
        <w:jc w:val="center"/>
        <w:ind w:right="312"/>
        <w:spacing w:after="0"/>
        <w:rPr>
          <w:sz w:val="20"/>
          <w:szCs w:val="20"/>
          <w:color w:val="auto"/>
        </w:rPr>
      </w:pPr>
      <w:r>
        <w:rPr>
          <w:rFonts w:ascii="Arial" w:cs="Arial" w:eastAsia="Arial" w:hAnsi="Arial"/>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154940</wp:posOffset>
            </wp:positionV>
            <wp:extent cx="5574030" cy="20154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648" w:hanging="648"/>
        <w:spacing w:after="0" w:line="259"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Credit Card segment, the early delinquency ratio remained stable QoQ but fell YoY; this ratio remains within the organization’s risk appetite. This mainly reflects the increase registered in the portfolio’s pace of growth. It is important to note the improvement in the risk quality of new vintages and in the portfolio mix, both attributable to the corrective measures applied to address the delinquency problem that began at the end of 2015.</w:t>
      </w:r>
    </w:p>
    <w:p>
      <w:pPr>
        <w:spacing w:after="0" w:line="183" w:lineRule="exact"/>
        <w:rPr>
          <w:sz w:val="20"/>
          <w:szCs w:val="20"/>
          <w:color w:val="auto"/>
        </w:rPr>
      </w:pPr>
    </w:p>
    <w:p>
      <w:pPr>
        <w:jc w:val="center"/>
        <w:ind w:right="212"/>
        <w:spacing w:after="0"/>
        <w:rPr>
          <w:sz w:val="20"/>
          <w:szCs w:val="20"/>
          <w:color w:val="auto"/>
        </w:rPr>
      </w:pPr>
      <w:r>
        <w:rPr>
          <w:rFonts w:ascii="Arial" w:cs="Arial" w:eastAsia="Arial" w:hAnsi="Arial"/>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154940</wp:posOffset>
            </wp:positionV>
            <wp:extent cx="5574030" cy="20154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648" w:hanging="648"/>
        <w:spacing w:after="0" w:line="264"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IOL and NPL ratios remained relatively stable QoQ. In the YoY analysis, the IOL ratio grew +25 bps, in line with the deterioration in portfolio quality that was identified in prior quarters and which led the sales force to prioritize collections efforts over loan origination. These efforts have already begun to show good results.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796" w:right="239" w:bottom="1440" w:gutter="0" w:footer="0" w:header="0"/>
        </w:sectPr>
      </w:pPr>
    </w:p>
    <w:bookmarkStart w:id="27" w:name="page28"/>
    <w:bookmarkEnd w:id="27"/>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Net Interest Income (NII)</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In 1Q19, NII, the main source of income, contracted -2.5% QoQ due to lower loan growth. In YoY terms, NII expanded +7.1% YoY due to higher dynamism in total loans. The latter translated into an increase in NIM of +21 bps YoY that was driven by: i) growth in interest income on loans as a result of average daily loan balances expansion and ii) by a more favorable funding structure, where deposits increased their share of total funding.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Net interest income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3"/>
          </w:tcPr>
          <w:p>
            <w:pPr>
              <w:ind w:left="640"/>
              <w:spacing w:after="0"/>
              <w:rPr>
                <w:sz w:val="20"/>
                <w:szCs w:val="20"/>
                <w:color w:val="auto"/>
              </w:rPr>
            </w:pPr>
            <w:r>
              <w:rPr>
                <w:rFonts w:ascii="Arial" w:cs="Arial" w:eastAsia="Arial" w:hAnsi="Arial"/>
                <w:sz w:val="18"/>
                <w:szCs w:val="18"/>
                <w:b w:val="1"/>
                <w:bCs w:val="1"/>
                <w:color w:val="auto"/>
                <w:w w:val="90"/>
              </w:rPr>
              <w:t>% 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1Q18</w:t>
            </w:r>
          </w:p>
        </w:tc>
        <w:tc>
          <w:tcPr>
            <w:tcW w:w="3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4Q18</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1Q19</w:t>
            </w:r>
          </w:p>
        </w:tc>
        <w:tc>
          <w:tcPr>
            <w:tcW w:w="30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2,789,141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3,033,544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3,001,674</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Interest on loans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2,414,352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2,625,181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2,562,286</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on investments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9,667</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55.8%</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Interest on deposits with banks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28,349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63,709</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86,699</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securities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324,068</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327,208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332,788</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Other interest income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14,562</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11,241</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10,234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746,240</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789,292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812,756</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Interest on deposits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288,309</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324,622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353,834</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on borrowed funds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167,432</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157,205</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145,303</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240" w:type="dxa"/>
            <w:vAlign w:val="bottom"/>
            <w:gridSpan w:val="2"/>
          </w:tcPr>
          <w:p>
            <w:pPr>
              <w:ind w:left="180"/>
              <w:spacing w:after="0"/>
              <w:rPr>
                <w:sz w:val="20"/>
                <w:szCs w:val="20"/>
                <w:color w:val="auto"/>
              </w:rPr>
            </w:pPr>
            <w:r>
              <w:rPr>
                <w:rFonts w:ascii="Arial" w:cs="Arial" w:eastAsia="Arial" w:hAnsi="Arial"/>
                <w:sz w:val="18"/>
                <w:szCs w:val="18"/>
                <w:color w:val="auto"/>
              </w:rPr>
              <w:t>Interest on bonds and subordinated notes</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216,083</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233,233</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226,498</w:t>
            </w: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180"/>
              <w:spacing w:after="0" w:line="269" w:lineRule="exact"/>
              <w:rPr>
                <w:sz w:val="20"/>
                <w:szCs w:val="20"/>
                <w:color w:val="auto"/>
              </w:rPr>
            </w:pPr>
            <w:r>
              <w:rPr>
                <w:rFonts w:ascii="Arial" w:cs="Arial" w:eastAsia="Arial" w:hAnsi="Arial"/>
                <w:sz w:val="18"/>
                <w:szCs w:val="18"/>
                <w:color w:val="auto"/>
              </w:rPr>
              <w:t xml:space="preserve">Other interest expense </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74,416</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74,232</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87,121</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2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40"/>
              <w:spacing w:after="0" w:line="269" w:lineRule="exact"/>
              <w:rPr>
                <w:sz w:val="20"/>
                <w:szCs w:val="20"/>
                <w:color w:val="auto"/>
              </w:rPr>
            </w:pPr>
            <w:r>
              <w:rPr>
                <w:rFonts w:ascii="Arial" w:cs="Arial" w:eastAsia="Arial" w:hAnsi="Arial"/>
                <w:sz w:val="18"/>
                <w:szCs w:val="18"/>
                <w:b w:val="1"/>
                <w:bCs w:val="1"/>
                <w:color w:val="auto"/>
              </w:rPr>
              <w:t xml:space="preserve">Net interest income </w:t>
            </w:r>
            <w:r>
              <w:rPr>
                <w:rFonts w:ascii="Arial" w:cs="Arial" w:eastAsia="Arial" w:hAnsi="Arial"/>
                <w:sz w:val="30"/>
                <w:szCs w:val="30"/>
                <w:b w:val="1"/>
                <w:bCs w:val="1"/>
                <w:color w:val="auto"/>
                <w:vertAlign w:val="superscript"/>
              </w:rPr>
              <w:t>(1)</w:t>
            </w: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gridSpan w:val="2"/>
            <w:vMerge w:val="continue"/>
          </w:tcPr>
          <w:p>
            <w:pPr>
              <w:spacing w:after="0"/>
              <w:rPr>
                <w:sz w:val="21"/>
                <w:szCs w:val="21"/>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2,042,901</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2,244,252</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2,188,918</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-2.5%</w:t>
            </w:r>
          </w:p>
        </w:tc>
        <w:tc>
          <w:tcPr>
            <w:tcW w:w="2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
        </w:trPr>
        <w:tc>
          <w:tcPr>
            <w:tcW w:w="5240" w:type="dxa"/>
            <w:vAlign w:val="bottom"/>
            <w:gridSpan w:val="2"/>
            <w:vMerge w:val="restart"/>
            <w:shd w:val="clear" w:color="auto" w:fill="CCEEFF"/>
          </w:tcPr>
          <w:p>
            <w:pPr>
              <w:ind w:left="40"/>
              <w:spacing w:after="0" w:line="269" w:lineRule="exact"/>
              <w:rPr>
                <w:sz w:val="20"/>
                <w:szCs w:val="20"/>
                <w:color w:val="auto"/>
              </w:rPr>
            </w:pPr>
            <w:r>
              <w:rPr>
                <w:rFonts w:ascii="Arial" w:cs="Arial" w:eastAsia="Arial" w:hAnsi="Arial"/>
                <w:sz w:val="18"/>
                <w:szCs w:val="18"/>
                <w:b w:val="1"/>
                <w:bCs w:val="1"/>
                <w:color w:val="auto"/>
              </w:rPr>
              <w:t xml:space="preserve">Risk-adjusted Net interest income </w:t>
            </w:r>
            <w:r>
              <w:rPr>
                <w:rFonts w:ascii="Arial" w:cs="Arial" w:eastAsia="Arial" w:hAnsi="Arial"/>
                <w:sz w:val="30"/>
                <w:szCs w:val="30"/>
                <w:b w:val="1"/>
                <w:bCs w:val="1"/>
                <w:color w:val="auto"/>
                <w:vertAlign w:val="superscript"/>
              </w:rPr>
              <w:t>(1)</w:t>
            </w: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gridSpan w:val="2"/>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1,671,877</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1,836,298</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1,805,707</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2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0"/>
        </w:trPr>
        <w:tc>
          <w:tcPr>
            <w:tcW w:w="52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Average interest earning assets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158,409,211</w:t>
            </w:r>
          </w:p>
        </w:tc>
        <w:tc>
          <w:tcPr>
            <w:tcW w:w="30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159,104,005</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162,988,746</w:t>
            </w:r>
          </w:p>
        </w:tc>
        <w:tc>
          <w:tcPr>
            <w:tcW w:w="3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7"/>
        </w:trPr>
        <w:tc>
          <w:tcPr>
            <w:tcW w:w="5240" w:type="dxa"/>
            <w:vAlign w:val="bottom"/>
            <w:gridSpan w:val="2"/>
            <w:shd w:val="clear" w:color="auto" w:fill="CCEEFF"/>
          </w:tcPr>
          <w:p>
            <w:pPr>
              <w:ind w:left="40"/>
              <w:spacing w:after="0" w:line="236" w:lineRule="exact"/>
              <w:rPr>
                <w:sz w:val="20"/>
                <w:szCs w:val="20"/>
                <w:color w:val="auto"/>
              </w:rPr>
            </w:pPr>
            <w:r>
              <w:rPr>
                <w:rFonts w:ascii="Arial" w:cs="Arial" w:eastAsia="Arial" w:hAnsi="Arial"/>
                <w:sz w:val="17"/>
                <w:szCs w:val="17"/>
                <w:b w:val="1"/>
                <w:bCs w:val="1"/>
                <w:color w:val="auto"/>
              </w:rPr>
              <w:t xml:space="preserve">Net interest margin </w:t>
            </w:r>
            <w:r>
              <w:rPr>
                <w:rFonts w:ascii="Arial" w:cs="Arial" w:eastAsia="Arial" w:hAnsi="Arial"/>
                <w:sz w:val="27"/>
                <w:szCs w:val="27"/>
                <w:b w:val="1"/>
                <w:bCs w:val="1"/>
                <w:color w:val="auto"/>
                <w:vertAlign w:val="superscript"/>
              </w:rPr>
              <w:t>(1)(2)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5.16%</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5.64%</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5.37%</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-27bps</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21bps</w:t>
            </w:r>
          </w:p>
        </w:tc>
        <w:tc>
          <w:tcPr>
            <w:tcW w:w="0" w:type="dxa"/>
            <w:vAlign w:val="bottom"/>
          </w:tcPr>
          <w:p>
            <w:pPr>
              <w:spacing w:after="0"/>
              <w:rPr>
                <w:sz w:val="1"/>
                <w:szCs w:val="1"/>
                <w:color w:val="auto"/>
              </w:rPr>
            </w:pPr>
          </w:p>
        </w:tc>
      </w:tr>
      <w:tr>
        <w:trPr>
          <w:trHeight w:val="257"/>
        </w:trPr>
        <w:tc>
          <w:tcPr>
            <w:tcW w:w="5240" w:type="dxa"/>
            <w:vAlign w:val="bottom"/>
            <w:gridSpan w:val="2"/>
          </w:tcPr>
          <w:p>
            <w:pPr>
              <w:ind w:left="40"/>
              <w:spacing w:after="0" w:line="256" w:lineRule="exact"/>
              <w:rPr>
                <w:sz w:val="20"/>
                <w:szCs w:val="20"/>
                <w:color w:val="auto"/>
              </w:rPr>
            </w:pPr>
            <w:r>
              <w:rPr>
                <w:rFonts w:ascii="Arial" w:cs="Arial" w:eastAsia="Arial" w:hAnsi="Arial"/>
                <w:sz w:val="18"/>
                <w:szCs w:val="18"/>
                <w:b w:val="1"/>
                <w:bCs w:val="1"/>
                <w:color w:val="auto"/>
              </w:rPr>
              <w:t xml:space="preserve">NIM on loans </w:t>
            </w:r>
            <w:r>
              <w:rPr>
                <w:rFonts w:ascii="Arial" w:cs="Arial" w:eastAsia="Arial" w:hAnsi="Arial"/>
                <w:sz w:val="29"/>
                <w:szCs w:val="29"/>
                <w:b w:val="1"/>
                <w:bCs w:val="1"/>
                <w:color w:val="auto"/>
                <w:vertAlign w:val="superscript"/>
              </w:rPr>
              <w:t>(1)(2)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7.73%</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7.75%</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7.36%</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-39bps</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-37bps</w:t>
            </w:r>
          </w:p>
        </w:tc>
        <w:tc>
          <w:tcPr>
            <w:tcW w:w="0" w:type="dxa"/>
            <w:vAlign w:val="bottom"/>
          </w:tcPr>
          <w:p>
            <w:pPr>
              <w:spacing w:after="0"/>
              <w:rPr>
                <w:sz w:val="1"/>
                <w:szCs w:val="1"/>
                <w:color w:val="auto"/>
              </w:rPr>
            </w:pPr>
          </w:p>
        </w:tc>
      </w:tr>
      <w:tr>
        <w:trPr>
          <w:trHeight w:val="257"/>
        </w:trPr>
        <w:tc>
          <w:tcPr>
            <w:tcW w:w="5240" w:type="dxa"/>
            <w:vAlign w:val="bottom"/>
            <w:gridSpan w:val="2"/>
            <w:shd w:val="clear" w:color="auto" w:fill="CCEEFF"/>
          </w:tcPr>
          <w:p>
            <w:pPr>
              <w:ind w:left="40"/>
              <w:spacing w:after="0" w:line="256" w:lineRule="exact"/>
              <w:rPr>
                <w:sz w:val="20"/>
                <w:szCs w:val="20"/>
                <w:color w:val="auto"/>
              </w:rPr>
            </w:pPr>
            <w:r>
              <w:rPr>
                <w:rFonts w:ascii="Arial" w:cs="Arial" w:eastAsia="Arial" w:hAnsi="Arial"/>
                <w:sz w:val="18"/>
                <w:szCs w:val="18"/>
                <w:b w:val="1"/>
                <w:bCs w:val="1"/>
                <w:color w:val="auto"/>
              </w:rPr>
              <w:t xml:space="preserve">Risk-adjusted Net interest margin </w:t>
            </w:r>
            <w:r>
              <w:rPr>
                <w:rFonts w:ascii="Arial" w:cs="Arial" w:eastAsia="Arial" w:hAnsi="Arial"/>
                <w:sz w:val="29"/>
                <w:szCs w:val="29"/>
                <w:b w:val="1"/>
                <w:bCs w:val="1"/>
                <w:color w:val="auto"/>
                <w:vertAlign w:val="superscript"/>
              </w:rPr>
              <w:t>(1)(2)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4.43%</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-19bps</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21bps</w:t>
            </w:r>
          </w:p>
        </w:tc>
        <w:tc>
          <w:tcPr>
            <w:tcW w:w="0" w:type="dxa"/>
            <w:vAlign w:val="bottom"/>
          </w:tcPr>
          <w:p>
            <w:pPr>
              <w:spacing w:after="0"/>
              <w:rPr>
                <w:sz w:val="1"/>
                <w:szCs w:val="1"/>
                <w:color w:val="auto"/>
              </w:rPr>
            </w:pPr>
          </w:p>
        </w:tc>
      </w:tr>
      <w:tr>
        <w:trPr>
          <w:trHeight w:val="270"/>
        </w:trPr>
        <w:tc>
          <w:tcPr>
            <w:tcW w:w="5240" w:type="dxa"/>
            <w:vAlign w:val="bottom"/>
            <w:gridSpan w:val="2"/>
          </w:tcPr>
          <w:p>
            <w:pPr>
              <w:ind w:left="40"/>
              <w:spacing w:after="0" w:line="269" w:lineRule="exact"/>
              <w:rPr>
                <w:sz w:val="20"/>
                <w:szCs w:val="20"/>
                <w:color w:val="auto"/>
              </w:rPr>
            </w:pPr>
            <w:r>
              <w:rPr>
                <w:rFonts w:ascii="Arial" w:cs="Arial" w:eastAsia="Arial" w:hAnsi="Arial"/>
                <w:sz w:val="18"/>
                <w:szCs w:val="18"/>
                <w:b w:val="1"/>
                <w:bCs w:val="1"/>
                <w:color w:val="auto"/>
              </w:rPr>
              <w:t xml:space="preserve">Net provisions for loan losses / Net interest income </w:t>
            </w:r>
            <w:r>
              <w:rPr>
                <w:rFonts w:ascii="Arial" w:cs="Arial" w:eastAsia="Arial" w:hAnsi="Arial"/>
                <w:sz w:val="30"/>
                <w:szCs w:val="30"/>
                <w:b w:val="1"/>
                <w:bCs w:val="1"/>
                <w:color w:val="auto"/>
                <w:vertAlign w:val="superscript"/>
              </w:rPr>
              <w:t>(1)(2)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18.16%</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18.18%</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17.51%</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-67bps</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-65bps</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Interest Income</w:t>
      </w:r>
    </w:p>
    <w:p>
      <w:pPr>
        <w:sectPr>
          <w:pgSz w:w="11900" w:h="16838" w:orient="portrait"/>
          <w:cols w:equalWidth="0" w:num="1">
            <w:col w:w="11420"/>
          </w:cols>
          <w:pgMar w:left="240" w:top="796" w:right="239" w:bottom="1440" w:gutter="0" w:footer="0" w:header="0"/>
        </w:sectPr>
      </w:pP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Interest Income - LC</w:t>
      </w:r>
    </w:p>
    <w:p>
      <w:pPr>
        <w:spacing w:after="0" w:line="5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280035</wp:posOffset>
            </wp:positionV>
            <wp:extent cx="5574030" cy="21437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4030" cy="21437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560"/>
        <w:spacing w:after="0"/>
        <w:rPr>
          <w:sz w:val="20"/>
          <w:szCs w:val="20"/>
          <w:color w:val="auto"/>
        </w:rPr>
      </w:pPr>
      <w:r>
        <w:rPr>
          <w:rFonts w:ascii="Arial" w:cs="Arial" w:eastAsia="Arial" w:hAnsi="Arial"/>
          <w:sz w:val="16"/>
          <w:szCs w:val="16"/>
          <w:b w:val="1"/>
          <w:bCs w:val="1"/>
          <w:color w:val="auto"/>
        </w:rPr>
        <w:t>Interest Income – FC</w:t>
      </w:r>
    </w:p>
    <w:p>
      <w:pPr>
        <w:spacing w:after="0" w:line="50" w:lineRule="exact"/>
        <w:rPr>
          <w:sz w:val="20"/>
          <w:szCs w:val="20"/>
          <w:color w:val="auto"/>
        </w:rPr>
      </w:pPr>
    </w:p>
    <w:p>
      <w:pPr>
        <w:jc w:val="center"/>
        <w:ind w:right="256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500" w:space="720"/>
            <w:col w:w="420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the -1.1% reduction in Interest Income was due primarily to a contraction in interest income on loans, which was in turn attributable primarily to:</w:t>
      </w:r>
    </w:p>
    <w:p>
      <w:pPr>
        <w:spacing w:after="0" w:line="166" w:lineRule="exact"/>
        <w:rPr>
          <w:sz w:val="20"/>
          <w:szCs w:val="20"/>
          <w:color w:val="auto"/>
        </w:rPr>
      </w:pPr>
    </w:p>
    <w:p>
      <w:pPr>
        <w:jc w:val="both"/>
        <w:ind w:left="980" w:hanging="648"/>
        <w:spacing w:after="0" w:line="264"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reduction in average daily loan balances (-0.5% QoQ), mainly in Wholesale Banking loans. The aforementioned partially offset by the expansion in the Retail Banking loan portfolio. In this context, the volume effect has been the most important driver in the contraction of income from loans in 1Q19.</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28" w:name="page29"/>
    <w:bookmarkEnd w:id="28"/>
    <w:p>
      <w:pPr>
        <w:ind w:left="980" w:hanging="648"/>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negative effect by LC rates, which was attributable to downward trend in LC market rates and to the pressure generated by the competitive environment in which Mibanco and Retail Banking operate.</w:t>
      </w:r>
    </w:p>
    <w:p>
      <w:pPr>
        <w:spacing w:after="0" w:line="170"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aforementioned was offset, in part, by the fact that the loans that posted the highest growth were in LC, where the margins are normally higher than FC loans. As such, the effect of the currency mix helped offset the drop in interest income on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the aforementioned was partially offset by the QoQ increase in interest on deposits with banks.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income rose +7.6%, which topped the figure reported in 4Q18. This clear recovery in interest income was due mainly to growth in interest income on loans (+6.1%), which was in turn was attributable to:</w:t>
      </w:r>
    </w:p>
    <w:p>
      <w:pPr>
        <w:spacing w:after="0" w:line="166" w:lineRule="exact"/>
        <w:rPr>
          <w:sz w:val="20"/>
          <w:szCs w:val="20"/>
          <w:color w:val="auto"/>
        </w:rPr>
      </w:pPr>
    </w:p>
    <w:p>
      <w:pPr>
        <w:ind w:left="980" w:hanging="648"/>
        <w:spacing w:after="0"/>
        <w:tabs>
          <w:tab w:leader="none" w:pos="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volume effect due to the acceleration in the pace of growth of average daily loan balances in all segments, with the exception of ASB.</w:t>
      </w:r>
    </w:p>
    <w:p>
      <w:pPr>
        <w:spacing w:after="0" w:line="236" w:lineRule="exact"/>
        <w:rPr>
          <w:rFonts w:ascii="Arial" w:cs="Arial" w:eastAsia="Arial" w:hAnsi="Arial"/>
          <w:sz w:val="17"/>
          <w:szCs w:val="17"/>
          <w:color w:val="auto"/>
        </w:rPr>
      </w:pPr>
    </w:p>
    <w:p>
      <w:pPr>
        <w:ind w:left="980" w:hanging="648"/>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favorable currency mix given that the growth in average daily balances was led primarily by the LC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to a lesser extent, Interest on deposits with banks also increased in line with the higher profitability of Cash and due from banks.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Interest Expenses</w:t>
      </w:r>
    </w:p>
    <w:p>
      <w:pPr>
        <w:sectPr>
          <w:pgSz w:w="11900" w:h="16838" w:orient="portrait"/>
          <w:cols w:equalWidth="0" w:num="1">
            <w:col w:w="11420"/>
          </w:cols>
          <w:pgMar w:left="240" w:top="800" w:right="239" w:bottom="1440" w:gutter="0" w:footer="0" w:header="0"/>
        </w:sectPr>
      </w:pP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6"/>
          <w:szCs w:val="16"/>
          <w:b w:val="1"/>
          <w:bCs w:val="1"/>
          <w:color w:val="auto"/>
        </w:rPr>
        <w:t>Interest Expenses – LC</w:t>
      </w:r>
    </w:p>
    <w:p>
      <w:pPr>
        <w:spacing w:after="0" w:line="5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142875</wp:posOffset>
            </wp:positionV>
            <wp:extent cx="5574030" cy="1029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4030" cy="1029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500"/>
        <w:spacing w:after="0"/>
        <w:rPr>
          <w:sz w:val="20"/>
          <w:szCs w:val="20"/>
          <w:color w:val="auto"/>
        </w:rPr>
      </w:pPr>
      <w:r>
        <w:rPr>
          <w:rFonts w:ascii="Arial" w:cs="Arial" w:eastAsia="Arial" w:hAnsi="Arial"/>
          <w:sz w:val="15"/>
          <w:szCs w:val="15"/>
          <w:b w:val="1"/>
          <w:bCs w:val="1"/>
          <w:color w:val="auto"/>
        </w:rPr>
        <w:t>Interest Expenses – FC</w:t>
      </w:r>
    </w:p>
    <w:p>
      <w:pPr>
        <w:spacing w:after="0" w:line="62" w:lineRule="exact"/>
        <w:rPr>
          <w:sz w:val="20"/>
          <w:szCs w:val="20"/>
          <w:color w:val="auto"/>
        </w:rPr>
      </w:pPr>
    </w:p>
    <w:p>
      <w:pPr>
        <w:jc w:val="center"/>
        <w:ind w:right="2500"/>
        <w:spacing w:after="0"/>
        <w:rPr>
          <w:sz w:val="20"/>
          <w:szCs w:val="20"/>
          <w:color w:val="auto"/>
        </w:rPr>
      </w:pPr>
      <w:r>
        <w:rPr>
          <w:rFonts w:ascii="Arial" w:cs="Arial" w:eastAsia="Arial" w:hAnsi="Arial"/>
          <w:sz w:val="18"/>
          <w:szCs w:val="18"/>
          <w:color w:val="auto"/>
        </w:rPr>
        <w:t>(S/ millions)</w:t>
      </w:r>
    </w:p>
    <w:p>
      <w:pPr>
        <w:spacing w:after="0" w:line="200" w:lineRule="exact"/>
        <w:rPr>
          <w:sz w:val="20"/>
          <w:szCs w:val="20"/>
          <w:color w:val="auto"/>
        </w:rPr>
      </w:pPr>
    </w:p>
    <w:p>
      <w:pPr>
        <w:sectPr>
          <w:pgSz w:w="11900" w:h="16838" w:orient="portrait"/>
          <w:cols w:equalWidth="0" w:num="2">
            <w:col w:w="6440" w:space="720"/>
            <w:col w:w="4260"/>
          </w:cols>
          <w:pgMar w:left="240" w:top="80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Interest expenses increased +3.0% QoQ, which was mainly attributable to an increase in interest expenses on deposits. The main factors that drove 9.0% QoQ increase in interest expenses on deposits were:</w:t>
      </w:r>
    </w:p>
    <w:p>
      <w:pPr>
        <w:spacing w:after="0" w:line="170" w:lineRule="exact"/>
        <w:rPr>
          <w:sz w:val="20"/>
          <w:szCs w:val="20"/>
          <w:color w:val="auto"/>
        </w:rPr>
      </w:pPr>
    </w:p>
    <w:p>
      <w:pPr>
        <w:ind w:left="980" w:right="400" w:hanging="648"/>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the deposit mix in which total deposits contracted QoQ but time deposits, which constitute one of the highest-cost alternatives within total deposits, grew QoQ.</w:t>
      </w:r>
    </w:p>
    <w:p>
      <w:pPr>
        <w:spacing w:after="0" w:line="170" w:lineRule="exact"/>
        <w:rPr>
          <w:rFonts w:ascii="Arial" w:cs="Arial" w:eastAsia="Arial" w:hAnsi="Arial"/>
          <w:sz w:val="18"/>
          <w:szCs w:val="18"/>
          <w:color w:val="auto"/>
        </w:rPr>
      </w:pPr>
    </w:p>
    <w:p>
      <w:pPr>
        <w:ind w:left="980" w:right="660" w:hanging="648"/>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effect, mainly in LC, in line with higher level of market competition and our decision to increase deposits’ share of the funding structure.</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aforementioned was attenuated by a -7.6% QoQ drop in interest expenses on borrowed funds, mainly in LC, due to a decrease in the volume of BCRP Instruments.</w:t>
      </w:r>
    </w:p>
    <w:p>
      <w:pPr>
        <w:spacing w:after="0" w:line="166"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interest expenses grew +8.9%, which was primarily explain by +22.7% YoY expansion in interest expenses on deposits, which was in turn attributable to:</w:t>
      </w:r>
    </w:p>
    <w:p>
      <w:pPr>
        <w:spacing w:after="0" w:line="166" w:lineRule="exact"/>
        <w:rPr>
          <w:sz w:val="20"/>
          <w:szCs w:val="20"/>
          <w:color w:val="auto"/>
        </w:rPr>
      </w:pPr>
    </w:p>
    <w:p>
      <w:pPr>
        <w:ind w:left="980" w:right="540" w:hanging="648"/>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volume effect, given that all deposit types increased YoY, and the deposit mix effect, given that the deposits that grew the most in the deposit mix, after savings deposits, were time deposits.</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currency mix given that the increase in the deposit volume was seen in LC deposits, which was accompanied by a decline in FC deposits.</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type w:val="continuous"/>
        </w:sectPr>
      </w:pPr>
    </w:p>
    <w:bookmarkStart w:id="29" w:name="page30"/>
    <w:bookmarkEnd w:id="29"/>
    <w:p>
      <w:pPr>
        <w:ind w:right="120"/>
        <w:spacing w:after="0" w:line="277" w:lineRule="auto"/>
        <w:rPr>
          <w:sz w:val="20"/>
          <w:szCs w:val="20"/>
          <w:color w:val="auto"/>
        </w:rPr>
      </w:pPr>
      <w:r>
        <w:rPr>
          <w:rFonts w:ascii="Arial" w:cs="Arial" w:eastAsia="Arial" w:hAnsi="Arial"/>
          <w:sz w:val="18"/>
          <w:szCs w:val="18"/>
          <w:color w:val="auto"/>
        </w:rPr>
        <w:t>The effect of both of the aforementioned factors was attenuated by a decrease in interest expenses on borrowed funds, specifically in LC, due to a significant reduction in the volume of BCRP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4.3. Net Interest Margin (NIM) and Risk-Adjusted NIM</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Credicorp’s NIM and Risk-Adjusted NIM </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90170</wp:posOffset>
            </wp:positionV>
            <wp:extent cx="5574030" cy="26244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4030"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firstLine="8"/>
        <w:spacing w:after="0" w:line="277"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Starting on 1Q17, we exclude derivatives from the NII result. For comparative purposes, figures starting from 1Q16 have been recalculated with the new methodology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NIM </w:t>
      </w:r>
      <w:r>
        <w:rPr>
          <w:rFonts w:ascii="Arial" w:cs="Arial" w:eastAsia="Arial" w:hAnsi="Arial"/>
          <w:sz w:val="17"/>
          <w:szCs w:val="17"/>
          <w:color w:val="auto"/>
        </w:rPr>
        <w:t>posted a contraction of -27 bps QoQ, which was in line with expectation and due to seasonality in loan growth in the fourth quarter every year.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NIM </w:t>
      </w:r>
      <w:r>
        <w:rPr>
          <w:rFonts w:ascii="Arial" w:cs="Arial" w:eastAsia="Arial" w:hAnsi="Arial"/>
          <w:sz w:val="18"/>
          <w:szCs w:val="18"/>
          <w:color w:val="auto"/>
        </w:rPr>
        <w:t>evolved positively YoY, increasing +21bps, which was due to:</w:t>
      </w:r>
    </w:p>
    <w:p>
      <w:pPr>
        <w:spacing w:after="0" w:line="229" w:lineRule="exact"/>
        <w:rPr>
          <w:sz w:val="20"/>
          <w:szCs w:val="20"/>
          <w:color w:val="auto"/>
        </w:rPr>
      </w:pPr>
    </w:p>
    <w:p>
      <w:pPr>
        <w:ind w:left="980" w:hanging="648"/>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growth in NII (+7.1% YoY vs 1.8% in 1Q18), in line with an improvement in loan growth, mainly in LC.</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Higher growth in loans than in interest-earning assets accentuated the change in the composition of IEAs, where the share of loans, the most profitable asset, reached 66.5% in March 2019 in comparison to 63.5% in March 2018.</w:t>
      </w:r>
    </w:p>
    <w:p>
      <w:pPr>
        <w:spacing w:after="0" w:line="16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Risk-adjusted NIM </w:t>
      </w:r>
      <w:r>
        <w:rPr>
          <w:rFonts w:ascii="Arial" w:cs="Arial" w:eastAsia="Arial" w:hAnsi="Arial"/>
          <w:sz w:val="18"/>
          <w:szCs w:val="18"/>
          <w:color w:val="auto"/>
        </w:rPr>
        <w:t>fell QoQ, in line with a QoQ contraction in NII. Nevertheless, the YoY level in risk-adjusted NIM increased +21bps (following NIM’s</w:t>
      </w:r>
      <w:r>
        <w:rPr>
          <w:rFonts w:ascii="Arial" w:cs="Arial" w:eastAsia="Arial" w:hAnsi="Arial"/>
          <w:sz w:val="18"/>
          <w:szCs w:val="18"/>
          <w:b w:val="1"/>
          <w:bCs w:val="1"/>
          <w:color w:val="auto"/>
        </w:rPr>
        <w:t xml:space="preserve"> </w:t>
      </w:r>
      <w:r>
        <w:rPr>
          <w:rFonts w:ascii="Arial" w:cs="Arial" w:eastAsia="Arial" w:hAnsi="Arial"/>
          <w:sz w:val="18"/>
          <w:szCs w:val="18"/>
          <w:color w:val="auto"/>
        </w:rPr>
        <w:t>trend) due to growth in NII, which took place despite a +3.0% YoY increase in the net provisions from loan losses.</w:t>
      </w: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jc w:val="both"/>
        <w:ind w:right="5700"/>
        <w:spacing w:after="0" w:line="255" w:lineRule="auto"/>
        <w:rPr>
          <w:sz w:val="20"/>
          <w:szCs w:val="20"/>
          <w:color w:val="auto"/>
        </w:rPr>
      </w:pPr>
      <w:r>
        <w:rPr>
          <w:rFonts w:ascii="Arial" w:cs="Arial" w:eastAsia="Arial" w:hAnsi="Arial"/>
          <w:sz w:val="18"/>
          <w:szCs w:val="18"/>
          <w:color w:val="auto"/>
        </w:rPr>
        <w:t>NIM on loans fell QoQ. This was primarily due to a drop in NII at Mibanco due to a highly competitive environment that pressured measures. The drop in NIM on loans YoY of -37 bps was associated with a drop in margins, mainly in LC loans, which continued to feel the pressure of a highly competitive environment in the local market. The downward trend for LC rates negatively impacted the margins of some segments of Retail Banking, such as Mortgage, Consumer and SME.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-967740</wp:posOffset>
            </wp:positionV>
            <wp:extent cx="2246630" cy="1551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246630"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It is important to also analyze NIM by subsidiary. The table below shows the interest margins for each of Credicorp’s main subsidiaries.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BCP</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BCP</w:t>
            </w: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w w:val="87"/>
              </w:rPr>
              <w:t xml:space="preserve">Credicorp </w:t>
            </w:r>
            <w:r>
              <w:rPr>
                <w:rFonts w:ascii="Arial" w:cs="Arial" w:eastAsia="Arial" w:hAnsi="Arial"/>
                <w:sz w:val="30"/>
                <w:szCs w:val="30"/>
                <w:color w:val="auto"/>
                <w:w w:val="87"/>
                <w:vertAlign w:val="superscript"/>
              </w:rPr>
              <w:t>(1)</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r>
              <w:rPr>
                <w:rFonts w:ascii="Arial" w:cs="Arial" w:eastAsia="Arial" w:hAnsi="Arial"/>
                <w:sz w:val="18"/>
                <w:szCs w:val="18"/>
                <w:b w:val="1"/>
                <w:bCs w:val="1"/>
                <w:color w:val="auto"/>
              </w:rPr>
              <w:t>NIM Breakdown</w:t>
            </w:r>
          </w:p>
        </w:tc>
        <w:tc>
          <w:tcPr>
            <w:tcW w:w="8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Stand-alone</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Mibanco</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Bolivia</w:t>
            </w: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1Q18</w:t>
            </w:r>
          </w:p>
        </w:tc>
        <w:tc>
          <w:tcPr>
            <w:tcW w:w="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15.91%</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5.16%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b w:val="1"/>
                <w:bCs w:val="1"/>
                <w:color w:val="auto"/>
              </w:rPr>
              <w:t>4Q18</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5.00%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15.33%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5.64%</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1Q19</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4.72%</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NIM: Annualized Net interest income / Average period end and period beginning interest earning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Credicorp also includes Credicorp Capital, Prima, Grupo Credito and Eliminations for consolidation purposes.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QoQ evolution of the global NIM by subsidiary shows a reduction in Credicorp’s margin. This was attributable mainly to </w:t>
      </w:r>
      <w:r>
        <w:rPr>
          <w:rFonts w:ascii="Arial" w:cs="Arial" w:eastAsia="Arial" w:hAnsi="Arial"/>
          <w:sz w:val="18"/>
          <w:szCs w:val="18"/>
          <w:b w:val="1"/>
          <w:bCs w:val="1"/>
          <w:color w:val="auto"/>
        </w:rPr>
        <w:t>BCP Stand-alone</w:t>
      </w:r>
      <w:r>
        <w:rPr>
          <w:rFonts w:ascii="Arial" w:cs="Arial" w:eastAsia="Arial" w:hAnsi="Arial"/>
          <w:sz w:val="18"/>
          <w:szCs w:val="18"/>
          <w:color w:val="auto"/>
        </w:rPr>
        <w:t>, which represents around 68% of net interest income. YoY, BCP Stand- alone’s NIM shows a clear recovery- in line with the recovery in loan growth- which was mainly seen in higher margin segments and in LC.</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With regard to </w:t>
      </w:r>
      <w:r>
        <w:rPr>
          <w:rFonts w:ascii="Arial" w:cs="Arial" w:eastAsia="Arial" w:hAnsi="Arial"/>
          <w:sz w:val="18"/>
          <w:szCs w:val="18"/>
          <w:b w:val="1"/>
          <w:bCs w:val="1"/>
          <w:color w:val="auto"/>
        </w:rPr>
        <w:t>Mibanco</w:t>
      </w:r>
      <w:r>
        <w:rPr>
          <w:rFonts w:ascii="Arial" w:cs="Arial" w:eastAsia="Arial" w:hAnsi="Arial"/>
          <w:sz w:val="18"/>
          <w:szCs w:val="18"/>
          <w:color w:val="auto"/>
        </w:rPr>
        <w:t>, which represents around 23% of net interest income, NIM deteriorated QoQ and YoY; this was primarily attributable to lower rates in LC within a highly competitive environment, which affected interest income 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8097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53" w:lineRule="exact"/>
        <w:rPr>
          <w:sz w:val="20"/>
          <w:szCs w:val="20"/>
          <w:color w:val="auto"/>
        </w:rPr>
      </w:pPr>
    </w:p>
    <w:p>
      <w:pPr>
        <w:ind w:left="220" w:hanging="212"/>
        <w:spacing w:after="0"/>
        <w:tabs>
          <w:tab w:leader="none" w:pos="220" w:val="left"/>
        </w:tabs>
        <w:numPr>
          <w:ilvl w:val="0"/>
          <w:numId w:val="53"/>
        </w:numPr>
        <w:rPr>
          <w:rFonts w:ascii="Arial" w:cs="Arial" w:eastAsia="Arial" w:hAnsi="Arial"/>
          <w:sz w:val="26"/>
          <w:szCs w:val="26"/>
          <w:color w:val="auto"/>
          <w:vertAlign w:val="superscript"/>
        </w:rPr>
      </w:pPr>
      <w:r>
        <w:rPr>
          <w:rFonts w:ascii="Arial" w:cs="Arial" w:eastAsia="Arial" w:hAnsi="Arial"/>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137160</wp:posOffset>
            </wp:positionV>
            <wp:extent cx="404749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04749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Non-Financial Income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 1Q19, non-financial income expanded due to an increase in the Net gain on sales of securities, mainly through Credicorp Capital. Nevertheless, the main components, such as Fee income and the Net gain on foreign exchange transactions, fell after having registered satisfactory levels of income generation in 4Q18. In the YoY analysis, the main components of non-financial income, Fee income and the Net gain on foreign exchange transactions, reported growth due to an increase in transactional activity, mainly through BCP Stand-alone.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Non-financial income</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 income</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749,692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836,642</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782,922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Net gain on foreign exchange transactions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162,295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212,213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178,423</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362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 xml:space="preserve">Net gain on securities </w:t>
            </w:r>
            <w:r>
              <w:rPr>
                <w:rFonts w:ascii="Arial" w:cs="Arial" w:eastAsia="Arial" w:hAnsi="Arial"/>
                <w:sz w:val="29"/>
                <w:szCs w:val="29"/>
                <w:color w:val="auto"/>
                <w:vertAlign w:val="superscript"/>
              </w:rPr>
              <w:t>(1)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89,924</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47,139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113,545</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140.9%</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57"/>
        </w:trPr>
        <w:tc>
          <w:tcPr>
            <w:tcW w:w="362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(1) (2)</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16,493</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18,844</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14,786</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-21.5%</w:t>
            </w:r>
          </w:p>
        </w:tc>
        <w:tc>
          <w:tcPr>
            <w:tcW w:w="3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gain on derivatives held for trading</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(2,434)</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Net gain from exchange differences</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5,889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268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7,660</w:t>
            </w:r>
          </w:p>
        </w:tc>
        <w:tc>
          <w:tcPr>
            <w:tcW w:w="1720" w:type="dxa"/>
            <w:vAlign w:val="bottom"/>
            <w:gridSpan w:val="3"/>
          </w:tcPr>
          <w:p>
            <w:pPr>
              <w:ind w:left="80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30.1%</w:t>
            </w:r>
          </w:p>
        </w:tc>
      </w:tr>
      <w:tr>
        <w:trPr>
          <w:trHeight w:val="230"/>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non-financial income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82,876</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39,825</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75,605</w:t>
            </w: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89.8%</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0"/>
        </w:trPr>
        <w:tc>
          <w:tcPr>
            <w:tcW w:w="3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non financial income, net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1,106,857</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1,153,234</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1,170,507</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8"/>
        <w:spacing w:after="0" w:line="258"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gain from other investments in related companies has been included in the item "Net gain from associates"; which previously was presented in the item "Net gain on sales of securities".</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ind w:left="2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3"/>
          </w:tcPr>
          <w:p>
            <w:pPr>
              <w:ind w:left="880"/>
              <w:spacing w:after="0"/>
              <w:rPr>
                <w:sz w:val="20"/>
                <w:szCs w:val="20"/>
                <w:color w:val="auto"/>
              </w:rPr>
            </w:pPr>
            <w:r>
              <w:rPr>
                <w:rFonts w:ascii="Arial" w:cs="Arial" w:eastAsia="Arial" w:hAnsi="Arial"/>
                <w:sz w:val="18"/>
                <w:szCs w:val="18"/>
                <w:b w:val="1"/>
                <w:bCs w:val="1"/>
                <w:color w:val="auto"/>
                <w:w w:val="97"/>
              </w:rPr>
              <w:t>% change</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Millions (S/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 EPS contribution (50%)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 Private health insurance deduction (50%)</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-4,855</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-5,711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-2,736</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-43.6%</w:t>
            </w:r>
          </w:p>
        </w:tc>
      </w:tr>
      <w:tr>
        <w:trPr>
          <w:trHeight w:val="178"/>
        </w:trPr>
        <w:tc>
          <w:tcPr>
            <w:tcW w:w="36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5"/>
              </w:rPr>
              <w:t>(=) Net gain from associates excluding Non-</w:t>
            </w: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48"/>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income / expense</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8,388</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4,974</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6,182</w:t>
            </w:r>
          </w:p>
        </w:tc>
        <w:tc>
          <w:tcPr>
            <w:tcW w:w="1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24.3%</w:t>
            </w:r>
          </w:p>
        </w:tc>
        <w:tc>
          <w:tcPr>
            <w:tcW w:w="3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r>
      <w:tr>
        <w:trPr>
          <w:trHeight w:val="210"/>
        </w:trPr>
        <w:tc>
          <w:tcPr>
            <w:tcW w:w="36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Non-recurring income/expense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r>
      <w:tr>
        <w:trPr>
          <w:trHeight w:val="21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 Net gain from associates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8,388</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4,974</w:t>
            </w:r>
          </w:p>
        </w:tc>
        <w:tc>
          <w:tcPr>
            <w:tcW w:w="18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6,182</w:t>
            </w:r>
          </w:p>
        </w:tc>
        <w:tc>
          <w:tcPr>
            <w:tcW w:w="2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QoQ evolution shows expansion of 1.5% in non-financial income due to:</w:t>
      </w:r>
    </w:p>
    <w:p>
      <w:pPr>
        <w:spacing w:after="0" w:line="221" w:lineRule="exact"/>
        <w:rPr>
          <w:sz w:val="20"/>
          <w:szCs w:val="20"/>
          <w:color w:val="auto"/>
        </w:rPr>
      </w:pPr>
    </w:p>
    <w:p>
      <w:pPr>
        <w:jc w:val="both"/>
        <w:ind w:left="980" w:hanging="648"/>
        <w:spacing w:after="0" w:line="266"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increase in the </w:t>
      </w:r>
      <w:r>
        <w:rPr>
          <w:rFonts w:ascii="Arial" w:cs="Arial" w:eastAsia="Arial" w:hAnsi="Arial"/>
          <w:sz w:val="18"/>
          <w:szCs w:val="18"/>
          <w:b w:val="1"/>
          <w:bCs w:val="1"/>
          <w:color w:val="auto"/>
        </w:rPr>
        <w:t>Net gain on sales of securities</w:t>
      </w:r>
      <w:r>
        <w:rPr>
          <w:rFonts w:ascii="Arial" w:cs="Arial" w:eastAsia="Arial" w:hAnsi="Arial"/>
          <w:sz w:val="18"/>
          <w:szCs w:val="18"/>
          <w:color w:val="auto"/>
        </w:rPr>
        <w:t xml:space="preserve"> was due primarily to higher gains on Credicorp Capital’s proprietary investments portfolios, which was attributable to an increase in the mark-to- market value of securities and to the gain produced by the sale of some fair value through comprehensive income investments.</w:t>
      </w:r>
    </w:p>
    <w:p>
      <w:pPr>
        <w:spacing w:after="0" w:line="176" w:lineRule="exact"/>
        <w:rPr>
          <w:rFonts w:ascii="Arial" w:cs="Arial" w:eastAsia="Arial" w:hAnsi="Arial"/>
          <w:sz w:val="18"/>
          <w:szCs w:val="18"/>
          <w:color w:val="auto"/>
        </w:rPr>
      </w:pPr>
    </w:p>
    <w:p>
      <w:pPr>
        <w:ind w:left="980" w:hanging="648"/>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Expansion in </w:t>
      </w:r>
      <w:r>
        <w:rPr>
          <w:rFonts w:ascii="Arial" w:cs="Arial" w:eastAsia="Arial" w:hAnsi="Arial"/>
          <w:sz w:val="18"/>
          <w:szCs w:val="18"/>
          <w:b w:val="1"/>
          <w:bCs w:val="1"/>
          <w:color w:val="auto"/>
        </w:rPr>
        <w:t>Other Income</w:t>
      </w:r>
      <w:r>
        <w:rPr>
          <w:rFonts w:ascii="Arial" w:cs="Arial" w:eastAsia="Arial" w:hAnsi="Arial"/>
          <w:sz w:val="18"/>
          <w:szCs w:val="18"/>
          <w:color w:val="auto"/>
        </w:rPr>
        <w:t>, which was primarily due to the sale of a portfolio at BCP Stand-alone.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of the aforementioned was offset by:</w:t>
      </w:r>
    </w:p>
    <w:p>
      <w:pPr>
        <w:spacing w:after="0" w:line="221" w:lineRule="exact"/>
        <w:rPr>
          <w:sz w:val="20"/>
          <w:szCs w:val="20"/>
          <w:color w:val="auto"/>
        </w:rPr>
      </w:pPr>
    </w:p>
    <w:p>
      <w:pPr>
        <w:jc w:val="both"/>
        <w:ind w:left="980" w:hanging="648"/>
        <w:spacing w:after="0" w:line="314"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Lower </w:t>
      </w:r>
      <w:r>
        <w:rPr>
          <w:rFonts w:ascii="Arial" w:cs="Arial" w:eastAsia="Arial" w:hAnsi="Arial"/>
          <w:sz w:val="16"/>
          <w:szCs w:val="16"/>
          <w:b w:val="1"/>
          <w:bCs w:val="1"/>
          <w:color w:val="auto"/>
        </w:rPr>
        <w:t>Fee Income,</w:t>
      </w:r>
      <w:r>
        <w:rPr>
          <w:rFonts w:ascii="Arial" w:cs="Arial" w:eastAsia="Arial" w:hAnsi="Arial"/>
          <w:sz w:val="16"/>
          <w:szCs w:val="16"/>
          <w:color w:val="auto"/>
        </w:rPr>
        <w:t xml:space="preserve"> which was attributable to the fact that lower levels are registered every 1Q. The aforementioned was associated with the reduction in banking service transactions that is registered at this point every year, mainly at BCP Stand-alone, and, to a lesser extent, to a drop in income at Credicorp Capital in the corporate finance business. For more information, please see section 5.1.2 Banking Business.</w:t>
      </w:r>
    </w:p>
    <w:p>
      <w:pPr>
        <w:spacing w:after="0" w:line="142" w:lineRule="exact"/>
        <w:rPr>
          <w:rFonts w:ascii="Arial" w:cs="Arial" w:eastAsia="Arial" w:hAnsi="Arial"/>
          <w:sz w:val="16"/>
          <w:szCs w:val="16"/>
          <w:color w:val="auto"/>
        </w:rPr>
      </w:pPr>
    </w:p>
    <w:p>
      <w:pPr>
        <w:ind w:left="980" w:hanging="648"/>
        <w:spacing w:after="0" w:line="313"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The drop in the </w:t>
      </w:r>
      <w:r>
        <w:rPr>
          <w:rFonts w:ascii="Arial" w:cs="Arial" w:eastAsia="Arial" w:hAnsi="Arial"/>
          <w:sz w:val="17"/>
          <w:szCs w:val="17"/>
          <w:b w:val="1"/>
          <w:bCs w:val="1"/>
          <w:color w:val="auto"/>
        </w:rPr>
        <w:t>Net gain on foreign exchange transactions,</w:t>
      </w:r>
      <w:r>
        <w:rPr>
          <w:rFonts w:ascii="Arial" w:cs="Arial" w:eastAsia="Arial" w:hAnsi="Arial"/>
          <w:sz w:val="17"/>
          <w:szCs w:val="17"/>
          <w:color w:val="auto"/>
        </w:rPr>
        <w:t xml:space="preserve"> mainly at BCP Stand-alone and via Retail Banking. The aforementioned was attributable to a decrease in QoQ volumes and to a scenario marked by low exchange rate volatility (-1.6% QoQ)</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we see an increase of 5.8% in non-financial income due to:</w:t>
      </w:r>
    </w:p>
    <w:p>
      <w:pPr>
        <w:spacing w:after="0" w:line="225" w:lineRule="exact"/>
        <w:rPr>
          <w:sz w:val="20"/>
          <w:szCs w:val="20"/>
          <w:color w:val="auto"/>
        </w:rPr>
      </w:pPr>
    </w:p>
    <w:p>
      <w:pPr>
        <w:jc w:val="both"/>
        <w:ind w:left="980" w:hanging="648"/>
        <w:spacing w:after="0" w:line="266"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 increase of +4.4% in </w:t>
      </w:r>
      <w:r>
        <w:rPr>
          <w:rFonts w:ascii="Arial" w:cs="Arial" w:eastAsia="Arial" w:hAnsi="Arial"/>
          <w:sz w:val="18"/>
          <w:szCs w:val="18"/>
          <w:b w:val="1"/>
          <w:bCs w:val="1"/>
          <w:color w:val="auto"/>
        </w:rPr>
        <w:t>Fee income,</w:t>
      </w:r>
      <w:r>
        <w:rPr>
          <w:rFonts w:ascii="Arial" w:cs="Arial" w:eastAsia="Arial" w:hAnsi="Arial"/>
          <w:sz w:val="18"/>
          <w:szCs w:val="18"/>
          <w:color w:val="auto"/>
        </w:rPr>
        <w:t xml:space="preserve"> mainly due to an increase in transactional activity at BCP Stand-alone, which is outlined in greater detail in section 5.1.2 Fee Income in the Banking Business and, to a lesser extent, to Mibanco, due to a change in the accounting recognition of the fee related to insurances</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2" w:name="page33"/>
    <w:bookmarkEnd w:id="32"/>
    <w:p>
      <w:pPr>
        <w:ind w:left="980"/>
        <w:spacing w:after="0"/>
        <w:rPr>
          <w:sz w:val="20"/>
          <w:szCs w:val="20"/>
          <w:color w:val="auto"/>
        </w:rPr>
      </w:pPr>
      <w:r>
        <w:rPr>
          <w:rFonts w:ascii="Arial" w:cs="Arial" w:eastAsia="Arial" w:hAnsi="Arial"/>
          <w:sz w:val="18"/>
          <w:szCs w:val="18"/>
          <w:color w:val="auto"/>
        </w:rPr>
        <w:t>on loans, which were previously accrued over 12 months, and now are registered when the policy is sold</w:t>
      </w:r>
      <w:r>
        <w:rPr>
          <w:rFonts w:ascii="Arial" w:cs="Arial" w:eastAsia="Arial" w:hAnsi="Arial"/>
          <w:sz w:val="18"/>
          <w:szCs w:val="18"/>
          <w:color w:val="202020"/>
        </w:rPr>
        <w:t>.</w:t>
      </w:r>
    </w:p>
    <w:p>
      <w:pPr>
        <w:spacing w:after="0" w:line="221" w:lineRule="exact"/>
        <w:rPr>
          <w:sz w:val="20"/>
          <w:szCs w:val="20"/>
          <w:color w:val="auto"/>
        </w:rPr>
      </w:pPr>
    </w:p>
    <w:p>
      <w:pPr>
        <w:ind w:left="980" w:hanging="648"/>
        <w:spacing w:after="0"/>
        <w:tabs>
          <w:tab w:leader="none" w:pos="9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An increase in the </w:t>
      </w:r>
      <w:r>
        <w:rPr>
          <w:rFonts w:ascii="Arial" w:cs="Arial" w:eastAsia="Arial" w:hAnsi="Arial"/>
          <w:sz w:val="16"/>
          <w:szCs w:val="16"/>
          <w:b w:val="1"/>
          <w:bCs w:val="1"/>
          <w:color w:val="auto"/>
        </w:rPr>
        <w:t>Net gain on sales of securities,</w:t>
      </w:r>
      <w:r>
        <w:rPr>
          <w:rFonts w:ascii="Arial" w:cs="Arial" w:eastAsia="Arial" w:hAnsi="Arial"/>
          <w:sz w:val="16"/>
          <w:szCs w:val="16"/>
          <w:color w:val="auto"/>
        </w:rPr>
        <w:t xml:space="preserve"> which was mainly attributable to Credicorp Capital and, to a lesser extent, to Prima AFP.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charts shows the contribution of each of Credicorp’s subsidiaries to fee income from Credicorp in 1Q19.</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 xml:space="preserve">Evolution of fee income QoQ by subsidiary </w:t>
      </w:r>
      <w:r>
        <w:rPr>
          <w:rFonts w:ascii="Arial" w:cs="Arial" w:eastAsia="Arial" w:hAnsi="Arial"/>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-6.4% 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154940</wp:posOffset>
            </wp:positionV>
            <wp:extent cx="5539740" cy="1724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397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annual evolution of fee income by subsidiary: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Evolution of fee income YoY by subsidiary </w:t>
      </w:r>
      <w:r>
        <w:rPr>
          <w:rFonts w:ascii="Arial" w:cs="Arial" w:eastAsia="Arial" w:hAnsi="Arial"/>
          <w:sz w:val="18"/>
          <w:szCs w:val="18"/>
          <w:color w:val="auto"/>
        </w:rPr>
        <w:t>(S/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+4.4% AaA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154940</wp:posOffset>
            </wp:positionV>
            <wp:extent cx="5574030" cy="19037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*Others include Grupo Pacifico and eliminations for consolidation purposes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Next, we show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Composition of Fee Income in the Banking Business</w:t>
      </w:r>
    </w:p>
    <w:p>
      <w:pPr>
        <w:spacing w:after="0" w:line="22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Fee Income</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Quarter</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1Q18</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4Q18</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50"/>
        </w:trPr>
        <w:tc>
          <w:tcPr>
            <w:tcW w:w="45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 xml:space="preserve">Miscellaneous accounts </w:t>
            </w:r>
            <w:r>
              <w:rPr>
                <w:rFonts w:ascii="Arial" w:cs="Arial" w:eastAsia="Arial" w:hAnsi="Arial"/>
                <w:sz w:val="29"/>
                <w:szCs w:val="29"/>
                <w:color w:val="auto"/>
                <w:vertAlign w:val="superscript"/>
              </w:rPr>
              <w:t>(1)</w:t>
            </w:r>
          </w:p>
        </w:tc>
        <w:tc>
          <w:tcPr>
            <w:tcW w:w="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177,257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187,989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177,517</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Credit cards </w:t>
            </w:r>
            <w:r>
              <w:rPr>
                <w:rFonts w:ascii="Arial" w:cs="Arial" w:eastAsia="Arial" w:hAnsi="Arial"/>
                <w:sz w:val="29"/>
                <w:szCs w:val="29"/>
                <w:color w:val="auto"/>
                <w:vertAlign w:val="superscript"/>
              </w:rPr>
              <w:t>(2)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71,241</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79,103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69,499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Drafts and transfers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48,966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62,602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60,232</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Personal loans </w:t>
            </w:r>
            <w:r>
              <w:rPr>
                <w:rFonts w:ascii="Arial" w:cs="Arial" w:eastAsia="Arial" w:hAnsi="Arial"/>
                <w:sz w:val="29"/>
                <w:szCs w:val="29"/>
                <w:color w:val="auto"/>
                <w:vertAlign w:val="superscript"/>
              </w:rPr>
              <w:t>(2)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22,898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26,694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23,599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57"/>
        </w:trPr>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SME loans </w:t>
            </w:r>
            <w:r>
              <w:rPr>
                <w:rFonts w:ascii="Arial" w:cs="Arial" w:eastAsia="Arial" w:hAnsi="Arial"/>
                <w:sz w:val="29"/>
                <w:szCs w:val="29"/>
                <w:color w:val="auto"/>
                <w:vertAlign w:val="superscript"/>
              </w:rPr>
              <w:t>(2)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17,049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16,987</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18,565</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Insurance </w:t>
            </w:r>
            <w:r>
              <w:rPr>
                <w:rFonts w:ascii="Arial" w:cs="Arial" w:eastAsia="Arial" w:hAnsi="Arial"/>
                <w:sz w:val="29"/>
                <w:szCs w:val="29"/>
                <w:color w:val="auto"/>
                <w:vertAlign w:val="superscript"/>
              </w:rPr>
              <w:t>(2)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19,629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22,478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22,201</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57"/>
        </w:trPr>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Mortgage loans </w:t>
            </w:r>
            <w:r>
              <w:rPr>
                <w:rFonts w:ascii="Arial" w:cs="Arial" w:eastAsia="Arial" w:hAnsi="Arial"/>
                <w:sz w:val="29"/>
                <w:szCs w:val="29"/>
                <w:color w:val="auto"/>
                <w:vertAlign w:val="superscript"/>
              </w:rPr>
              <w:t>(2)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9,428</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Off-balance sheet </w:t>
            </w:r>
            <w:r>
              <w:rPr>
                <w:rFonts w:ascii="Arial" w:cs="Arial" w:eastAsia="Arial" w:hAnsi="Arial"/>
                <w:sz w:val="29"/>
                <w:szCs w:val="29"/>
                <w:color w:val="auto"/>
                <w:vertAlign w:val="superscript"/>
              </w:rPr>
              <w:t>(3)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51,545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54,050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51,179</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57"/>
        </w:trPr>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Payments and collections </w:t>
            </w:r>
            <w:r>
              <w:rPr>
                <w:rFonts w:ascii="Arial" w:cs="Arial" w:eastAsia="Arial" w:hAnsi="Arial"/>
                <w:sz w:val="29"/>
                <w:szCs w:val="29"/>
                <w:color w:val="auto"/>
                <w:vertAlign w:val="superscript"/>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97,778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107,599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103,764</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Commercial loans </w:t>
            </w:r>
            <w:r>
              <w:rPr>
                <w:rFonts w:ascii="Arial" w:cs="Arial" w:eastAsia="Arial" w:hAnsi="Arial"/>
                <w:sz w:val="29"/>
                <w:szCs w:val="29"/>
                <w:color w:val="auto"/>
                <w:vertAlign w:val="superscript"/>
              </w:rPr>
              <w:t>(3)(4)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20,596</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18,667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22,517</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9.3%</w:t>
            </w:r>
          </w:p>
        </w:tc>
      </w:tr>
      <w:tr>
        <w:trPr>
          <w:trHeight w:val="257"/>
        </w:trPr>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Foreign trade </w:t>
            </w:r>
            <w:r>
              <w:rPr>
                <w:rFonts w:ascii="Arial" w:cs="Arial" w:eastAsia="Arial" w:hAnsi="Arial"/>
                <w:sz w:val="29"/>
                <w:szCs w:val="29"/>
                <w:color w:val="auto"/>
                <w:vertAlign w:val="superscript"/>
              </w:rPr>
              <w:t>(3)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10,522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10,977</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57"/>
        </w:trPr>
        <w:tc>
          <w:tcPr>
            <w:tcW w:w="46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Corporate finance and mutual funds </w:t>
            </w:r>
            <w:r>
              <w:rPr>
                <w:rFonts w:ascii="Arial" w:cs="Arial" w:eastAsia="Arial" w:hAnsi="Arial"/>
                <w:sz w:val="29"/>
                <w:szCs w:val="29"/>
                <w:color w:val="auto"/>
                <w:vertAlign w:val="superscript"/>
              </w:rPr>
              <w:t>(4)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15,387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15,744</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15,062</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57"/>
        </w:trPr>
        <w:tc>
          <w:tcPr>
            <w:tcW w:w="46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ASB </w:t>
            </w:r>
            <w:r>
              <w:rPr>
                <w:rFonts w:ascii="Arial" w:cs="Arial" w:eastAsia="Arial" w:hAnsi="Arial"/>
                <w:sz w:val="29"/>
                <w:szCs w:val="29"/>
                <w:color w:val="auto"/>
                <w:vertAlign w:val="superscript"/>
              </w:rPr>
              <w:t>(4)</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10,271</w:t>
            </w:r>
          </w:p>
        </w:tc>
        <w:tc>
          <w:tcPr>
            <w:tcW w:w="9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4600" w:type="dxa"/>
            <w:vAlign w:val="bottom"/>
            <w:gridSpan w:val="2"/>
          </w:tcPr>
          <w:p>
            <w:pPr>
              <w:spacing w:after="0" w:line="269" w:lineRule="exact"/>
              <w:rPr>
                <w:sz w:val="20"/>
                <w:szCs w:val="20"/>
                <w:color w:val="auto"/>
              </w:rPr>
            </w:pPr>
            <w:r>
              <w:rPr>
                <w:rFonts w:ascii="Arial" w:cs="Arial" w:eastAsia="Arial" w:hAnsi="Arial"/>
                <w:sz w:val="31"/>
                <w:szCs w:val="31"/>
                <w:color w:val="auto"/>
                <w:vertAlign w:val="subscript"/>
              </w:rPr>
              <w:t>Others</w:t>
            </w:r>
            <w:r>
              <w:rPr>
                <w:rFonts w:ascii="Arial" w:cs="Arial" w:eastAsia="Arial" w:hAnsi="Arial"/>
                <w:sz w:val="14"/>
                <w:szCs w:val="14"/>
                <w:color w:val="auto"/>
              </w:rPr>
              <w:t xml:space="preserve"> (4)(5)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56,050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67,993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69,802</w:t>
            </w:r>
          </w:p>
        </w:tc>
        <w:tc>
          <w:tcPr>
            <w:tcW w:w="98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24.5%</w:t>
            </w:r>
          </w:p>
        </w:tc>
      </w:tr>
      <w:tr>
        <w:trPr>
          <w:trHeight w:val="210"/>
        </w:trPr>
        <w:tc>
          <w:tcPr>
            <w:tcW w:w="46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fee income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623,939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689,687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664,612</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Source: BCP</w:t>
      </w:r>
    </w:p>
    <w:p>
      <w:pPr>
        <w:spacing w:after="0" w:line="23" w:lineRule="exact"/>
        <w:rPr>
          <w:sz w:val="20"/>
          <w:szCs w:val="20"/>
          <w:color w:val="auto"/>
        </w:rPr>
      </w:pPr>
    </w:p>
    <w:p>
      <w:pPr>
        <w:ind w:left="1240" w:hanging="260"/>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Saving accounts, current accounts, debit card and master account.</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Mainly Retail fees.</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Mainly Wholesale fees.</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w:t>
      </w:r>
    </w:p>
    <w:p>
      <w:pPr>
        <w:spacing w:after="0" w:line="9" w:lineRule="exact"/>
        <w:rPr>
          <w:rFonts w:ascii="Arial" w:cs="Arial" w:eastAsia="Arial" w:hAnsi="Arial"/>
          <w:sz w:val="18"/>
          <w:szCs w:val="18"/>
          <w:color w:val="auto"/>
        </w:rPr>
      </w:pPr>
    </w:p>
    <w:p>
      <w:pPr>
        <w:ind w:left="1240" w:hanging="260"/>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fees from BCP Bolivia, Mibanco, network usage and other services to third parties, among others.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xml:space="preserve"> fee income in the banking business fell -3.6% QoQ, mainly due to:</w:t>
      </w:r>
    </w:p>
    <w:p>
      <w:pPr>
        <w:spacing w:after="0" w:line="225" w:lineRule="exact"/>
        <w:rPr>
          <w:sz w:val="20"/>
          <w:szCs w:val="20"/>
          <w:color w:val="auto"/>
        </w:rPr>
      </w:pPr>
    </w:p>
    <w:p>
      <w:pPr>
        <w:ind w:left="980" w:hanging="648"/>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 decrease in income from </w:t>
      </w:r>
      <w:r>
        <w:rPr>
          <w:rFonts w:ascii="Arial" w:cs="Arial" w:eastAsia="Arial" w:hAnsi="Arial"/>
          <w:sz w:val="18"/>
          <w:szCs w:val="18"/>
          <w:b w:val="1"/>
          <w:bCs w:val="1"/>
          <w:color w:val="auto"/>
        </w:rPr>
        <w:t>Credit Cards</w:t>
      </w:r>
      <w:r>
        <w:rPr>
          <w:rFonts w:ascii="Arial" w:cs="Arial" w:eastAsia="Arial" w:hAnsi="Arial"/>
          <w:sz w:val="18"/>
          <w:szCs w:val="18"/>
          <w:color w:val="auto"/>
        </w:rPr>
        <w:t xml:space="preserve"> in 1Q due to a seasonal increase in transactions in 4Q18 at year-end.</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A decrease in </w:t>
      </w:r>
      <w:r>
        <w:rPr>
          <w:rFonts w:ascii="Arial" w:cs="Arial" w:eastAsia="Arial" w:hAnsi="Arial"/>
          <w:sz w:val="16"/>
          <w:szCs w:val="16"/>
          <w:b w:val="1"/>
          <w:bCs w:val="1"/>
          <w:color w:val="auto"/>
        </w:rPr>
        <w:t>Miscellaneous Accounts</w:t>
      </w:r>
      <w:r>
        <w:rPr>
          <w:rFonts w:ascii="Arial" w:cs="Arial" w:eastAsia="Arial" w:hAnsi="Arial"/>
          <w:sz w:val="16"/>
          <w:szCs w:val="16"/>
          <w:color w:val="auto"/>
        </w:rPr>
        <w:t xml:space="preserve"> due to a decrease in the transactional level and lower income from debit cards and savings accounts.</w:t>
      </w:r>
    </w:p>
    <w:p>
      <w:pPr>
        <w:spacing w:after="0" w:line="248" w:lineRule="exact"/>
        <w:rPr>
          <w:rFonts w:ascii="Arial" w:cs="Arial" w:eastAsia="Arial" w:hAnsi="Arial"/>
          <w:sz w:val="16"/>
          <w:szCs w:val="16"/>
          <w:color w:val="auto"/>
        </w:rPr>
      </w:pPr>
    </w:p>
    <w:p>
      <w:pPr>
        <w:ind w:left="980" w:hanging="648"/>
        <w:spacing w:after="0" w:line="282"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Drafts and Transfers</w:t>
      </w:r>
      <w:r>
        <w:rPr>
          <w:rFonts w:ascii="Arial" w:cs="Arial" w:eastAsia="Arial" w:hAnsi="Arial"/>
          <w:sz w:val="18"/>
          <w:szCs w:val="18"/>
          <w:color w:val="auto"/>
        </w:rPr>
        <w:t>, due to a drop in fees for interbank, international and national transfers at BCP Stand-alone. Additionally, BCP Bolivia</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lower income from foreign wire transfers.</w:t>
      </w:r>
    </w:p>
    <w:p>
      <w:pPr>
        <w:spacing w:after="0" w:line="16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color w:val="auto"/>
        </w:rPr>
        <w:t xml:space="preserve">The aforementioned is slightly attenuated by higher income through </w:t>
      </w:r>
      <w:r>
        <w:rPr>
          <w:rFonts w:ascii="Arial" w:cs="Arial" w:eastAsia="Arial" w:hAnsi="Arial"/>
          <w:sz w:val="18"/>
          <w:szCs w:val="18"/>
          <w:b w:val="1"/>
          <w:bCs w:val="1"/>
          <w:color w:val="auto"/>
        </w:rPr>
        <w:t>Commercial Loans</w:t>
      </w:r>
      <w:r>
        <w:rPr>
          <w:rFonts w:ascii="Arial" w:cs="Arial" w:eastAsia="Arial" w:hAnsi="Arial"/>
          <w:sz w:val="18"/>
          <w:szCs w:val="18"/>
          <w:color w:val="auto"/>
        </w:rPr>
        <w:t xml:space="preserve"> and </w:t>
      </w:r>
      <w:r>
        <w:rPr>
          <w:rFonts w:ascii="Arial" w:cs="Arial" w:eastAsia="Arial" w:hAnsi="Arial"/>
          <w:sz w:val="18"/>
          <w:szCs w:val="18"/>
          <w:b w:val="1"/>
          <w:bCs w:val="1"/>
          <w:color w:val="auto"/>
        </w:rPr>
        <w:t>ASB,</w:t>
      </w:r>
      <w:r>
        <w:rPr>
          <w:rFonts w:ascii="Arial" w:cs="Arial" w:eastAsia="Arial" w:hAnsi="Arial"/>
          <w:sz w:val="18"/>
          <w:szCs w:val="18"/>
          <w:color w:val="auto"/>
        </w:rPr>
        <w:t xml:space="preserve"> due to higher fee income for brokerage, advisory and portfolio management services.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there was 6.5% growth due to:</w:t>
      </w:r>
    </w:p>
    <w:p>
      <w:pPr>
        <w:spacing w:after="0" w:line="225" w:lineRule="exact"/>
        <w:rPr>
          <w:sz w:val="20"/>
          <w:szCs w:val="20"/>
          <w:color w:val="auto"/>
        </w:rPr>
      </w:pPr>
    </w:p>
    <w:p>
      <w:pPr>
        <w:ind w:left="980" w:hanging="648"/>
        <w:spacing w:after="0" w:line="282"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Significant growth in </w:t>
      </w:r>
      <w:r>
        <w:rPr>
          <w:rFonts w:ascii="Arial" w:cs="Arial" w:eastAsia="Arial" w:hAnsi="Arial"/>
          <w:sz w:val="18"/>
          <w:szCs w:val="18"/>
          <w:b w:val="1"/>
          <w:bCs w:val="1"/>
          <w:color w:val="auto"/>
        </w:rPr>
        <w:t>Drafts and Transfers</w:t>
      </w:r>
      <w:r>
        <w:rPr>
          <w:rFonts w:ascii="Arial" w:cs="Arial" w:eastAsia="Arial" w:hAnsi="Arial"/>
          <w:sz w:val="18"/>
          <w:szCs w:val="18"/>
          <w:color w:val="auto"/>
        </w:rPr>
        <w:t xml:space="preserve"> due to higher fee income for on-going growth in the transactional volume at the national level and in international transfers.</w:t>
      </w:r>
    </w:p>
    <w:p>
      <w:pPr>
        <w:spacing w:after="0" w:line="161" w:lineRule="exact"/>
        <w:rPr>
          <w:rFonts w:ascii="Arial" w:cs="Arial" w:eastAsia="Arial" w:hAnsi="Arial"/>
          <w:sz w:val="18"/>
          <w:szCs w:val="18"/>
          <w:color w:val="auto"/>
        </w:rPr>
      </w:pPr>
    </w:p>
    <w:p>
      <w:pPr>
        <w:ind w:left="980" w:hanging="648"/>
        <w:spacing w:after="0" w:line="282"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Others, </w:t>
      </w:r>
      <w:r>
        <w:rPr>
          <w:rFonts w:ascii="Arial" w:cs="Arial" w:eastAsia="Arial" w:hAnsi="Arial"/>
          <w:sz w:val="18"/>
          <w:szCs w:val="18"/>
          <w:color w:val="auto"/>
        </w:rPr>
        <w:t>which was primarily attributable to Mibanco, and, to a lesser extent, to the Asset Management business, which posted higher fee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from fiduciary business and wealth management, and</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Foreign Trade </w:t>
      </w:r>
      <w:r>
        <w:rPr>
          <w:rFonts w:ascii="Arial" w:cs="Arial" w:eastAsia="Arial" w:hAnsi="Arial"/>
          <w:sz w:val="18"/>
          <w:szCs w:val="18"/>
          <w:color w:val="auto"/>
        </w:rPr>
        <w:t>due to an increase in export letters of credit and import letters of credit.</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4" w:name="page35"/>
    <w:bookmarkEnd w:id="34"/>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Underwriting Result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insurance underwriting result fell -9.9% QoQ. This was mainly due to an increase in net claims for both property and casualty (P&amp;C) and life insurance businesses and to an increase in acquisition costs in the P&amp;C business, which was mitigated by an increase in the net earned premiums in life insurance. The YoY underwriting result fell -6.0%. This was primarily due to an increase in net claims in both businesses, which was mitigated by an increase in net earned premiums, mainly in life insurance and, to a lesser extent, in P&amp;C.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Insurance underwriting result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gridSpan w:val="3"/>
          </w:tcPr>
          <w:p>
            <w:pPr>
              <w:ind w:left="1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7"/>
              </w:rPr>
              <w:t>QoQ</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508,449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534,380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586,951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(294,744)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(325,401)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(386,521)</w:t>
            </w:r>
          </w:p>
        </w:tc>
        <w:tc>
          <w:tcPr>
            <w:tcW w:w="760" w:type="dxa"/>
            <w:vAlign w:val="bottom"/>
          </w:tcPr>
          <w:p>
            <w:pPr>
              <w:spacing w:after="0"/>
              <w:rPr>
                <w:sz w:val="18"/>
                <w:szCs w:val="18"/>
                <w:color w:val="auto"/>
              </w:rPr>
            </w:pPr>
          </w:p>
        </w:tc>
        <w:tc>
          <w:tcPr>
            <w:tcW w:w="620" w:type="dxa"/>
            <w:vAlign w:val="bottom"/>
            <w:gridSpan w:val="2"/>
          </w:tcPr>
          <w:p>
            <w:pPr>
              <w:jc w:val="right"/>
              <w:ind w:right="50"/>
              <w:spacing w:after="0"/>
              <w:rPr>
                <w:sz w:val="20"/>
                <w:szCs w:val="20"/>
                <w:color w:val="auto"/>
              </w:rPr>
            </w:pPr>
            <w:r>
              <w:rPr>
                <w:rFonts w:ascii="Arial" w:cs="Arial" w:eastAsia="Arial" w:hAnsi="Arial"/>
                <w:sz w:val="18"/>
                <w:szCs w:val="18"/>
                <w:color w:val="auto"/>
                <w:w w:val="90"/>
              </w:rPr>
              <w:t>18.8%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31.1%</w:t>
            </w:r>
          </w:p>
        </w:tc>
      </w:tr>
      <w:tr>
        <w:trPr>
          <w:trHeight w:val="270"/>
        </w:trPr>
        <w:tc>
          <w:tcPr>
            <w:tcW w:w="36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(1)</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(97,548)</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(87,824)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(91,281)</w:t>
            </w:r>
          </w:p>
        </w:tc>
        <w:tc>
          <w:tcPr>
            <w:tcW w:w="760" w:type="dxa"/>
            <w:vAlign w:val="bottom"/>
            <w:shd w:val="clear" w:color="auto" w:fill="CCEEFF"/>
          </w:tcPr>
          <w:p>
            <w:pPr>
              <w:spacing w:after="0"/>
              <w:rPr>
                <w:sz w:val="23"/>
                <w:szCs w:val="23"/>
                <w:color w:val="auto"/>
              </w:rPr>
            </w:pP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Total insurance underwriting result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116,156</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121,155</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109,148</w:t>
            </w: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net fees and underwriting expenses.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underwriting result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142875</wp:posOffset>
            </wp:positionV>
            <wp:extent cx="3687445" cy="18522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87445"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P&amp;C business, the QoQ drop in the underwriting result was primarily due to (i) a decrease in premiums in Commercial lines and Car lines due to a seasonal behavior that increase premiums in 4Q18; and (ii) higher provisions for uncollectible premiums and a decrease in reinsurance commissions and to a lesser extent, (iii) to an increase in net claims. This effect was mitigated by an improvement in the underwriting result for the life insurance business, due to</w:t>
      </w:r>
    </w:p>
    <w:p>
      <w:pPr>
        <w:ind w:firstLine="8"/>
        <w:spacing w:after="0" w:line="261" w:lineRule="auto"/>
        <w:tabs>
          <w:tab w:leader="none" w:pos="2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premiums in Disability and Survivorship line (D&amp;S), Group Life for High Risk activities (SCTR) and Crediseguros; (ii) loweracquisition costs, which was attenuated by an increase in net claims in D&amp;S line, Group Life and to a lesser extent, by Credit Life.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drop in the underwriting result was attributable to life insurance business, due to higher net claims in D&amp;S line, Annuities and Credit Life. The aforementioned was mitigated by an increase in premiums in D&amp;S line, Annuities and Individual Life, and by a decrease in acquisition costs. In P&amp;C business higher premiums were offset by an increase in net claims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6.1. Net earned premiums</w:t>
      </w:r>
    </w:p>
    <w:p>
      <w:pPr>
        <w:sectPr>
          <w:pgSz w:w="11900" w:h="16838" w:orient="portrait"/>
          <w:cols w:equalWidth="0" w:num="1">
            <w:col w:w="11420"/>
          </w:cols>
          <w:pgMar w:left="240" w:top="796" w:right="239" w:bottom="1440" w:gutter="0" w:footer="0" w:header="0"/>
        </w:sectPr>
      </w:pPr>
    </w:p>
    <w:p>
      <w:pPr>
        <w:spacing w:after="0" w:line="248" w:lineRule="exact"/>
        <w:rPr>
          <w:sz w:val="20"/>
          <w:szCs w:val="20"/>
          <w:color w:val="auto"/>
        </w:rPr>
      </w:pPr>
    </w:p>
    <w:p>
      <w:pPr>
        <w:jc w:val="center"/>
        <w:ind w:right="940"/>
        <w:spacing w:after="0"/>
        <w:rPr>
          <w:sz w:val="20"/>
          <w:szCs w:val="20"/>
          <w:color w:val="auto"/>
        </w:rPr>
      </w:pPr>
      <w:r>
        <w:rPr>
          <w:rFonts w:ascii="Arial" w:cs="Arial" w:eastAsia="Arial" w:hAnsi="Arial"/>
          <w:sz w:val="16"/>
          <w:szCs w:val="16"/>
          <w:b w:val="1"/>
          <w:bCs w:val="1"/>
          <w:color w:val="auto"/>
        </w:rPr>
        <w:t>Written premiums by business</w:t>
      </w:r>
    </w:p>
    <w:p>
      <w:pPr>
        <w:spacing w:after="0" w:line="50"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142875</wp:posOffset>
            </wp:positionV>
            <wp:extent cx="2889885" cy="13804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89885" cy="1380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1440"/>
        <w:spacing w:after="0"/>
        <w:rPr>
          <w:sz w:val="20"/>
          <w:szCs w:val="20"/>
          <w:color w:val="auto"/>
        </w:rPr>
      </w:pPr>
      <w:r>
        <w:rPr>
          <w:rFonts w:ascii="Arial" w:cs="Arial" w:eastAsia="Arial" w:hAnsi="Arial"/>
          <w:sz w:val="15"/>
          <w:szCs w:val="15"/>
          <w:b w:val="1"/>
          <w:bCs w:val="1"/>
          <w:color w:val="auto"/>
        </w:rPr>
        <w:t>Net earned premiums by business</w:t>
      </w:r>
    </w:p>
    <w:p>
      <w:pPr>
        <w:spacing w:after="0" w:line="62" w:lineRule="exact"/>
        <w:rPr>
          <w:sz w:val="20"/>
          <w:szCs w:val="20"/>
          <w:color w:val="auto"/>
        </w:rPr>
      </w:pPr>
    </w:p>
    <w:p>
      <w:pPr>
        <w:jc w:val="center"/>
        <w:ind w:right="1440"/>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280035</wp:posOffset>
            </wp:positionV>
            <wp:extent cx="2795905" cy="12433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95905" cy="12433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80" w:space="720"/>
            <w:col w:w="40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Written premiums </w:t>
      </w:r>
      <w:r>
        <w:rPr>
          <w:rFonts w:ascii="Arial" w:cs="Arial" w:eastAsia="Arial" w:hAnsi="Arial"/>
          <w:sz w:val="18"/>
          <w:szCs w:val="18"/>
          <w:color w:val="auto"/>
        </w:rPr>
        <w:t>fell -3.8% QoQ, mainly in P&amp;C business, mitigated by an increase in premiums in life insurance business:</w:t>
      </w:r>
    </w:p>
    <w:p>
      <w:pPr>
        <w:spacing w:after="0" w:line="229" w:lineRule="exact"/>
        <w:rPr>
          <w:sz w:val="20"/>
          <w:szCs w:val="20"/>
          <w:color w:val="auto"/>
        </w:rPr>
      </w:pPr>
    </w:p>
    <w:p>
      <w:pPr>
        <w:ind w:left="980" w:hanging="648"/>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P&amp;C business, was mainly attributable to Commercial (fire and technical risks) and Car lines due to a seasonal behavior that increase premiums in 4Q18; this was slightly mitigated by an increase in Personal lines.</w:t>
      </w:r>
    </w:p>
    <w:p>
      <w:pPr>
        <w:spacing w:after="0" w:line="170" w:lineRule="exact"/>
        <w:rPr>
          <w:rFonts w:ascii="Arial" w:cs="Arial" w:eastAsia="Arial" w:hAnsi="Arial"/>
          <w:sz w:val="18"/>
          <w:szCs w:val="18"/>
          <w:color w:val="auto"/>
        </w:rPr>
      </w:pPr>
    </w:p>
    <w:p>
      <w:pPr>
        <w:jc w:val="both"/>
        <w:ind w:left="980" w:hanging="648"/>
        <w:spacing w:after="0" w:line="286" w:lineRule="auto"/>
        <w:tabs>
          <w:tab w:leader="none" w:pos="9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increase in life insurance business was associated with (i) higher premiums in D&amp;S lines, associated with the fact that since January 2019, the company won two tranches of the tender process of SISCO IV contract3 (2019-2020) and; in Group Life, due to the SCTR product. The aforementioned was mitigated by lower premiums in Annuities and in Credit Life obtained though the alliances channel.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+9.8% QoQ, due primarily to life insurance business, in line with the increment in D&amp;S line.</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 xml:space="preserve">In the YoY analysis </w:t>
      </w:r>
      <w:r>
        <w:rPr>
          <w:rFonts w:ascii="Arial" w:cs="Arial" w:eastAsia="Arial" w:hAnsi="Arial"/>
          <w:sz w:val="16"/>
          <w:szCs w:val="16"/>
          <w:b w:val="1"/>
          <w:bCs w:val="1"/>
          <w:color w:val="auto"/>
        </w:rPr>
        <w:t>written premiums</w:t>
      </w:r>
      <w:r>
        <w:rPr>
          <w:rFonts w:ascii="Arial" w:cs="Arial" w:eastAsia="Arial" w:hAnsi="Arial"/>
          <w:sz w:val="16"/>
          <w:szCs w:val="16"/>
          <w:color w:val="auto"/>
        </w:rPr>
        <w:t xml:space="preserve"> increased +15.3%. This was associated to an increase in life insurance business, due to D&amp;S line through SISCO IV contract, in Annuities through “Renta Flex;” and an increase in premium turnover reported in Individual Life. In P&amp;C insurance business, the increase was attributable to Car lines, Medical Assistance (higher sales of national and international coverage and oncological insurance) and in Personal lines.</w:t>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Net earned premiums </w:t>
      </w:r>
      <w:r>
        <w:rPr>
          <w:rFonts w:ascii="Arial" w:cs="Arial" w:eastAsia="Arial" w:hAnsi="Arial"/>
          <w:sz w:val="18"/>
          <w:szCs w:val="18"/>
          <w:color w:val="auto"/>
        </w:rPr>
        <w:t>increased +15.4% YoY, in line with the evolution of the D&amp;S lines, Annuities and Individual life; and in P&amp;C business due to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Medical Assistance, Personal lines and Cars.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3" w:lineRule="exact"/>
        <w:rPr>
          <w:sz w:val="20"/>
          <w:szCs w:val="20"/>
          <w:color w:val="auto"/>
        </w:rPr>
      </w:pPr>
    </w:p>
    <w:p>
      <w:pPr>
        <w:jc w:val="right"/>
        <w:ind w:left="11240" w:hanging="11232"/>
        <w:spacing w:after="0" w:line="309" w:lineRule="auto"/>
        <w:tabs>
          <w:tab w:leader="none" w:pos="128" w:val="left"/>
        </w:tabs>
        <w:numPr>
          <w:ilvl w:val="0"/>
          <w:numId w:val="66"/>
        </w:numPr>
        <w:rPr>
          <w:rFonts w:ascii="Arial" w:cs="Arial" w:eastAsia="Arial" w:hAnsi="Arial"/>
          <w:sz w:val="26"/>
          <w:szCs w:val="26"/>
          <w:color w:val="auto"/>
          <w:vertAlign w:val="superscript"/>
        </w:rPr>
      </w:pPr>
      <w:r>
        <w:rPr>
          <w:rFonts w:ascii="Arial" w:cs="Arial" w:eastAsia="Arial" w:hAnsi="Arial"/>
          <w:sz w:val="16"/>
          <w:szCs w:val="16"/>
          <w:color w:val="auto"/>
        </w:rPr>
        <w:t>Consists in the disability and survival risk administration of AFP’s members by the insurance companies that obtained a section in the public tender process.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6.2. Net claims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claims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142875</wp:posOffset>
            </wp:positionV>
            <wp:extent cx="3550285" cy="17665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0285"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claims rose +18.8% QoQ, due to higher claims in life insurance and Crediseguros and to a lesser extent, in the P&amp;C business. In life insurance business, the increase was driven by: (i) D&amp;S line, after the company obtained two sections of the SISCO IV tender and (ii) Group Life, which was primarily due to the evolution of the SCTR product (inflation effect). The increase P&amp;C business was associated to Commercial lines due to fire risks and in Cars, through an increase in claims frequency for Mandatory automobile products.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net claims increased +31.1% in life insurance and P&amp;C lines. The increase in life insurance was generated by (i) the SISCO IV tender, as outlined above, and by growth in cases received; (ii) pensions linked to the “Renta Flex” product in Annuities; and (iii) Credit life in bancassurance. In P&amp;C business the increase was driven by Private Medical Assistance attributable to growth in the number of cases received, Commercial lines through fire and transportation risks and in Cars in the product Mandatory automobile.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Acquisition cost by Business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1729105</wp:posOffset>
            </wp:positionH>
            <wp:positionV relativeFrom="paragraph">
              <wp:posOffset>142875</wp:posOffset>
            </wp:positionV>
            <wp:extent cx="3799205" cy="18611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79920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gridSpan w:val="3"/>
          </w:tcPr>
          <w:p>
            <w:pPr>
              <w:ind w:left="14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4Q18</w:t>
            </w:r>
          </w:p>
        </w:tc>
        <w:tc>
          <w:tcPr>
            <w:tcW w:w="1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1Q19</w:t>
            </w: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7"/>
              </w:rPr>
              <w:t>QoQ</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fees</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(66,815)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77"/>
              </w:rPr>
              <w:t>(60,013)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-12.3%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Underwriting expenses</w:t>
            </w: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(32,633)</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(24,470)</w:t>
            </w:r>
          </w:p>
        </w:tc>
        <w:tc>
          <w:tcPr>
            <w:tcW w:w="1320" w:type="dxa"/>
            <w:vAlign w:val="bottom"/>
            <w:gridSpan w:val="2"/>
          </w:tcPr>
          <w:p>
            <w:pPr>
              <w:ind w:left="580"/>
              <w:spacing w:after="0"/>
              <w:rPr>
                <w:sz w:val="20"/>
                <w:szCs w:val="20"/>
                <w:color w:val="auto"/>
              </w:rPr>
            </w:pPr>
            <w:r>
              <w:rPr>
                <w:rFonts w:ascii="Arial" w:cs="Arial" w:eastAsia="Arial" w:hAnsi="Arial"/>
                <w:sz w:val="18"/>
                <w:szCs w:val="18"/>
                <w:color w:val="auto"/>
              </w:rPr>
              <w:t>(34,576)</w:t>
            </w:r>
          </w:p>
        </w:tc>
        <w:tc>
          <w:tcPr>
            <w:tcW w:w="740" w:type="dxa"/>
            <w:vAlign w:val="bottom"/>
          </w:tcPr>
          <w:p>
            <w:pPr>
              <w:spacing w:after="0"/>
              <w:rPr>
                <w:sz w:val="18"/>
                <w:szCs w:val="18"/>
                <w:color w:val="auto"/>
              </w:rPr>
            </w:pP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w w:val="97"/>
              </w:rPr>
              <w:t>41.3%</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income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5,057</w:t>
            </w:r>
          </w:p>
        </w:tc>
        <w:tc>
          <w:tcPr>
            <w:tcW w:w="13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3,308</w:t>
            </w:r>
          </w:p>
        </w:tc>
        <w:tc>
          <w:tcPr>
            <w:tcW w:w="7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7"/>
              </w:rPr>
              <w:t>-34.6%</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Acquisition cost</w:t>
            </w:r>
          </w:p>
        </w:tc>
        <w:tc>
          <w:tcPr>
            <w:tcW w:w="112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(97,548</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(87,824</w:t>
            </w:r>
          </w:p>
        </w:tc>
        <w:tc>
          <w:tcPr>
            <w:tcW w:w="180" w:type="dxa"/>
            <w:vAlign w:val="bottom"/>
          </w:tcPr>
          <w:p>
            <w:pPr>
              <w:jc w:val="right"/>
              <w:ind w:right="4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5"/>
              </w:rPr>
              <w:t>(91,281</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The acquisition cost increased +3.9% QoQ due to growth in the underwriting expense in P&amp;C business attributable to (i) higher provisions of uncollectible</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premiums in Commercial Lines, Medical Assistance and Cars; (ii) higher promotional expenses in Cars; and (iii) lower underwriting income in life insurance business due to a higher reinsurance profit sharing in 4Q18. This effect was mitigated by lower commissions in Credit Life through the alliance channel.</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the YoY analysis, the acquisition cost fell because of:</w:t>
      </w:r>
    </w:p>
    <w:p>
      <w:pPr>
        <w:spacing w:after="0" w:line="225" w:lineRule="exact"/>
        <w:rPr>
          <w:sz w:val="20"/>
          <w:szCs w:val="20"/>
          <w:color w:val="auto"/>
        </w:rPr>
      </w:pPr>
    </w:p>
    <w:p>
      <w:pPr>
        <w:ind w:left="980" w:hanging="648"/>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Lower commissions in the life insurance business due to a drop-in premiums in Credit Life via the Alliances channel.</w:t>
      </w:r>
    </w:p>
    <w:p>
      <w:pPr>
        <w:spacing w:after="0" w:line="225"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Higher underwriting income in P&amp;C business due to Medical Assistance (due to income in previous periods). This was attenuated by a decrease in underwriting income for life insurance, which was attributable to the evolution of reinsurance earnings in 1Q18 versus 1Q19.</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aforementioned was attenuated by an increase in underwriting expenses, in P&amp;C business due to higher provisions of uncollectible premiums in Commercial Lines, and Medical Assistance.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8" w:name="page39"/>
    <w:bookmarkEnd w:id="38"/>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Expenses and Efficiency</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The YoY analysis shows an improvement of 50 bps given that operating income posted higher growth than operating expenses. Growth in the latter was due primarily to an increase in salaries and employee benefits.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Quarter</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ind w:left="820"/>
              <w:spacing w:after="0"/>
              <w:rPr>
                <w:sz w:val="20"/>
                <w:szCs w:val="20"/>
                <w:color w:val="auto"/>
              </w:rPr>
            </w:pPr>
            <w:r>
              <w:rPr>
                <w:rFonts w:ascii="Arial" w:cs="Arial" w:eastAsia="Arial" w:hAnsi="Arial"/>
                <w:sz w:val="18"/>
                <w:szCs w:val="18"/>
                <w:b w:val="1"/>
                <w:bCs w:val="1"/>
                <w:color w:val="auto"/>
                <w:w w:val="95"/>
              </w:rPr>
              <w:t>% change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1Q18</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4Q18</w:t>
            </w:r>
          </w:p>
        </w:tc>
        <w:tc>
          <w:tcPr>
            <w:tcW w:w="2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1Q19</w:t>
            </w:r>
          </w:p>
        </w:tc>
        <w:tc>
          <w:tcPr>
            <w:tcW w:w="2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YoY</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employees benefits</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777,345</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867,069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834,317</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Administrative, general and tax expenses</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496,622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682,118</w:t>
            </w:r>
          </w:p>
        </w:tc>
        <w:tc>
          <w:tcPr>
            <w:tcW w:w="1080" w:type="dxa"/>
            <w:vAlign w:val="bottom"/>
          </w:tcPr>
          <w:p>
            <w:pPr>
              <w:jc w:val="right"/>
              <w:spacing w:after="0"/>
              <w:rPr>
                <w:sz w:val="20"/>
                <w:szCs w:val="20"/>
                <w:color w:val="auto"/>
              </w:rPr>
            </w:pPr>
            <w:r>
              <w:rPr>
                <w:rFonts w:ascii="Arial" w:cs="Arial" w:eastAsia="Arial" w:hAnsi="Arial"/>
                <w:sz w:val="18"/>
                <w:szCs w:val="18"/>
                <w:color w:val="auto"/>
              </w:rPr>
              <w:t>512,935</w:t>
            </w: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7"/>
        </w:trPr>
        <w:tc>
          <w:tcPr>
            <w:tcW w:w="36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106,860</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110,412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140,697</w:t>
            </w:r>
          </w:p>
        </w:tc>
        <w:tc>
          <w:tcPr>
            <w:tcW w:w="2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57"/>
        </w:trPr>
        <w:tc>
          <w:tcPr>
            <w:tcW w:w="362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Association in participation </w:t>
            </w:r>
            <w:r>
              <w:rPr>
                <w:rFonts w:ascii="Arial" w:cs="Arial" w:eastAsia="Arial" w:hAnsi="Arial"/>
                <w:sz w:val="29"/>
                <w:szCs w:val="29"/>
                <w:color w:val="auto"/>
                <w:vertAlign w:val="superscript"/>
              </w:rPr>
              <w:t>(2)</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4,855</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080" w:type="dxa"/>
            <w:vAlign w:val="bottom"/>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Pr>
          <w:p>
            <w:pPr>
              <w:spacing w:after="0"/>
              <w:rPr>
                <w:sz w:val="22"/>
                <w:szCs w:val="22"/>
                <w:color w:val="auto"/>
              </w:rPr>
            </w:pP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0"/>
        </w:trPr>
        <w:tc>
          <w:tcPr>
            <w:tcW w:w="362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Acquisition cost </w:t>
            </w:r>
            <w:r>
              <w:rPr>
                <w:rFonts w:ascii="Arial" w:cs="Arial" w:eastAsia="Arial" w:hAnsi="Arial"/>
                <w:sz w:val="30"/>
                <w:szCs w:val="30"/>
                <w:color w:val="auto"/>
                <w:vertAlign w:val="superscript"/>
              </w:rPr>
              <w:t>(3)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97,548</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87,824</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91,281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30"/>
                <w:szCs w:val="30"/>
                <w:b w:val="1"/>
                <w:bCs w:val="1"/>
                <w:color w:val="auto"/>
                <w:vertAlign w:val="superscript"/>
              </w:rPr>
              <w:t>(4)</w:t>
            </w: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1,483,230</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1,747,594</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1,581,966</w:t>
            </w:r>
          </w:p>
        </w:tc>
        <w:tc>
          <w:tcPr>
            <w:tcW w:w="28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w:t>
            </w:r>
          </w:p>
        </w:tc>
        <w:tc>
          <w:tcPr>
            <w:tcW w:w="3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Operating income </w:t>
            </w:r>
            <w:r>
              <w:rPr>
                <w:rFonts w:ascii="Arial" w:cs="Arial" w:eastAsia="Arial" w:hAnsi="Arial"/>
                <w:sz w:val="30"/>
                <w:szCs w:val="30"/>
                <w:b w:val="1"/>
                <w:bCs w:val="1"/>
                <w:color w:val="auto"/>
                <w:vertAlign w:val="superscript"/>
              </w:rPr>
              <w:t>(5)</w:t>
            </w: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3,485,407</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3,844,902</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3,757,226</w:t>
            </w:r>
          </w:p>
        </w:tc>
        <w:tc>
          <w:tcPr>
            <w:tcW w:w="2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7.8%</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line="269" w:lineRule="exact"/>
              <w:rPr>
                <w:sz w:val="20"/>
                <w:szCs w:val="20"/>
                <w:color w:val="auto"/>
              </w:rPr>
            </w:pPr>
            <w:r>
              <w:rPr>
                <w:rFonts w:ascii="Arial" w:cs="Arial" w:eastAsia="Arial" w:hAnsi="Arial"/>
                <w:sz w:val="18"/>
                <w:szCs w:val="18"/>
                <w:b w:val="1"/>
                <w:bCs w:val="1"/>
                <w:color w:val="auto"/>
              </w:rPr>
              <w:t xml:space="preserve">Efficiency ratio </w:t>
            </w:r>
            <w:r>
              <w:rPr>
                <w:rFonts w:ascii="Arial" w:cs="Arial" w:eastAsia="Arial" w:hAnsi="Arial"/>
                <w:sz w:val="30"/>
                <w:szCs w:val="30"/>
                <w:b w:val="1"/>
                <w:bCs w:val="1"/>
                <w:color w:val="auto"/>
                <w:vertAlign w:val="superscript"/>
              </w:rPr>
              <w:t>(6)</w:t>
            </w: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42.1%</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-340 pbs</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-50 pbs</w:t>
            </w:r>
          </w:p>
        </w:tc>
        <w:tc>
          <w:tcPr>
            <w:tcW w:w="0" w:type="dxa"/>
            <w:vAlign w:val="bottom"/>
          </w:tcPr>
          <w:p>
            <w:pPr>
              <w:spacing w:after="0"/>
              <w:rPr>
                <w:sz w:val="1"/>
                <w:szCs w:val="1"/>
                <w:color w:val="auto"/>
              </w:rPr>
            </w:pPr>
          </w:p>
        </w:tc>
      </w:tr>
      <w:tr>
        <w:trPr>
          <w:trHeight w:val="20"/>
        </w:trPr>
        <w:tc>
          <w:tcPr>
            <w:tcW w:w="362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w w:val="91"/>
              </w:rPr>
              <w:t xml:space="preserve">Operating expenses / Total average assets </w:t>
            </w:r>
            <w:r>
              <w:rPr>
                <w:rFonts w:ascii="Arial" w:cs="Arial" w:eastAsia="Arial" w:hAnsi="Arial"/>
                <w:sz w:val="30"/>
                <w:szCs w:val="30"/>
                <w:b w:val="1"/>
                <w:bCs w:val="1"/>
                <w:color w:val="auto"/>
                <w:w w:val="91"/>
                <w:vertAlign w:val="superscript"/>
              </w:rPr>
              <w:t>(7)</w:t>
            </w: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gridSpan w:val="2"/>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3.48%</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4.04%</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3.56%</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-48 pbs</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 pbs</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8"/>
        <w:spacing w:after="0" w:line="291" w:lineRule="auto"/>
        <w:tabs>
          <w:tab w:leader="none" w:pos="25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2"/>
        <w:spacing w:after="0"/>
        <w:tabs>
          <w:tab w:leader="none" w:pos="2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From this quarter, the item “Association in participation” was incorporated, which previously was presented in the item “Net gain on securities”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acquisition cost of Pacifico includes net fees and underwriting expenses.</w:t>
      </w:r>
    </w:p>
    <w:p>
      <w:pPr>
        <w:spacing w:after="0" w:line="9" w:lineRule="exact"/>
        <w:rPr>
          <w:rFonts w:ascii="Arial" w:cs="Arial" w:eastAsia="Arial" w:hAnsi="Arial"/>
          <w:sz w:val="18"/>
          <w:szCs w:val="18"/>
          <w:color w:val="auto"/>
        </w:rPr>
      </w:pPr>
    </w:p>
    <w:p>
      <w:pPr>
        <w:ind w:firstLine="8"/>
        <w:spacing w:after="0" w:line="250" w:lineRule="auto"/>
        <w:tabs>
          <w:tab w:leader="none" w:pos="267"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expenses = Salaries and employees’ benefits + Administrative expenses + Depreciation and amortization + Acquisition cost + Association in participation.</w:t>
      </w:r>
    </w:p>
    <w:p>
      <w:pPr>
        <w:ind w:firstLine="8"/>
        <w:spacing w:after="0" w:line="250"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Operating income = Net interest, similar income and expenses + Fee income + Net gain on foreign exchange transactions + Net gain from associates + Net gain on derivatives held for trading + Result on exchange differences + Net earned premiums.</w:t>
      </w:r>
    </w:p>
    <w:p>
      <w:pPr>
        <w:ind w:left="260" w:hanging="252"/>
        <w:spacing w:after="0"/>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Operating income.</w:t>
      </w:r>
    </w:p>
    <w:p>
      <w:pPr>
        <w:spacing w:after="0" w:line="9" w:lineRule="exact"/>
        <w:rPr>
          <w:rFonts w:ascii="Arial" w:cs="Arial" w:eastAsia="Arial" w:hAnsi="Arial"/>
          <w:sz w:val="18"/>
          <w:szCs w:val="18"/>
          <w:color w:val="auto"/>
        </w:rPr>
      </w:pPr>
    </w:p>
    <w:p>
      <w:pPr>
        <w:ind w:right="580" w:firstLine="8"/>
        <w:spacing w:after="0" w:line="261"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Figures differ from previously reported, please consider the data presented on this report. Operating expenses / Average of Total Assets. Average is calculated with period-beginning and period-ending balances.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 analysis,</w:t>
      </w:r>
      <w:r>
        <w:rPr>
          <w:rFonts w:ascii="Arial" w:cs="Arial" w:eastAsia="Arial" w:hAnsi="Arial"/>
          <w:sz w:val="16"/>
          <w:szCs w:val="16"/>
          <w:color w:val="auto"/>
        </w:rPr>
        <w:t xml:space="preserve"> the improvement in efficiency was due to seasonal growth in operating expenses. As such, the YoY analysis provides a clearer picture.</w:t>
      </w:r>
    </w:p>
    <w:p>
      <w:pPr>
        <w:spacing w:after="0" w:line="24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YoY analysis</w:t>
      </w:r>
      <w:r>
        <w:rPr>
          <w:rFonts w:ascii="Arial" w:cs="Arial" w:eastAsia="Arial" w:hAnsi="Arial"/>
          <w:sz w:val="18"/>
          <w:szCs w:val="18"/>
          <w:color w:val="auto"/>
        </w:rPr>
        <w:t xml:space="preserve"> shows and improvement of 50 bps in efficiency, mainly given that growth in operating income outpaced the expansion posted by operating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figure shows the impact on the efficiency ratio of the variations registered for each account: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154305</wp:posOffset>
            </wp:positionV>
            <wp:extent cx="5574030" cy="14833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0" w:hanging="252"/>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Net earned premiums include the net gain/loss on financial assets designated at fair value through profit or loss.</w:t>
      </w:r>
    </w:p>
    <w:p>
      <w:pPr>
        <w:spacing w:after="0" w:line="23" w:lineRule="exact"/>
        <w:rPr>
          <w:rFonts w:ascii="Arial" w:cs="Arial" w:eastAsia="Arial" w:hAnsi="Arial"/>
          <w:sz w:val="18"/>
          <w:szCs w:val="18"/>
          <w:color w:val="auto"/>
        </w:rPr>
      </w:pPr>
    </w:p>
    <w:p>
      <w:pPr>
        <w:ind w:right="280" w:firstLine="8"/>
        <w:spacing w:after="0" w:line="261" w:lineRule="auto"/>
        <w:tabs>
          <w:tab w:leader="none" w:pos="2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Other operating income includes: Net gain on foreign exchange transactions, Net gain from associates, Net gain on derivatives held for trading and Net gain from exchange difference.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the operating account shows that the YoY increase was due to:</w:t>
      </w:r>
    </w:p>
    <w:p>
      <w:pPr>
        <w:spacing w:after="0" w:line="225" w:lineRule="exact"/>
        <w:rPr>
          <w:sz w:val="20"/>
          <w:szCs w:val="20"/>
          <w:color w:val="auto"/>
        </w:rPr>
      </w:pPr>
    </w:p>
    <w:p>
      <w:pPr>
        <w:ind w:left="980" w:hanging="648"/>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Growth in net interest income due to expansion in average daily loan balances, as indicated in the section 4.1. Interest Income.</w:t>
      </w:r>
    </w:p>
    <w:p>
      <w:pPr>
        <w:spacing w:after="0" w:line="225" w:lineRule="exact"/>
        <w:rPr>
          <w:rFonts w:ascii="Arial" w:cs="Arial" w:eastAsia="Arial" w:hAnsi="Arial"/>
          <w:sz w:val="18"/>
          <w:szCs w:val="18"/>
          <w:color w:val="auto"/>
        </w:rPr>
      </w:pPr>
    </w:p>
    <w:p>
      <w:pPr>
        <w:ind w:left="980" w:right="100" w:hanging="648"/>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increase in net earned premiums at Pacifico was attributable to both the property and casualty and life lines, as explained in section 6.1 Net Earned Premiums.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9" w:name="page40"/>
    <w:bookmarkEnd w:id="39"/>
    <w:p>
      <w:pPr>
        <w:ind w:left="980" w:hanging="648"/>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increase in fees, mainly at BCP Stand-alone, due to the increase in Drafts and Transfers, as is explained in section 5.1.2 Fee Income from the Banking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terms of operating expenses, the YoY increase reflects:</w:t>
      </w:r>
    </w:p>
    <w:p>
      <w:pPr>
        <w:spacing w:after="0" w:line="225" w:lineRule="exact"/>
        <w:rPr>
          <w:sz w:val="20"/>
          <w:szCs w:val="20"/>
          <w:color w:val="auto"/>
        </w:rPr>
      </w:pPr>
    </w:p>
    <w:p>
      <w:pPr>
        <w:jc w:val="both"/>
        <w:ind w:left="980" w:hanging="648"/>
        <w:spacing w:after="0" w:line="257" w:lineRule="auto"/>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in salaries and employee benefits, mainly at BCP Stand-alone and to a lesser extent by Mibanco. In the case of BCP, there is an increase in fixed remuneration due to higher hiring, also in variable renumeration linked to productivity incentives in retail banking and the increase in provisions for profit sharing. On the side of Mibanco, the increase came from a greater commercial force staff, in line with the strategy of covering the continuos expansion of its clients. In the following chart you can see the impact of each subsidiary in the increase of salaries and social benefits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YoY variation in salaries and social benefits per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142875</wp:posOffset>
            </wp:positionV>
            <wp:extent cx="5574030" cy="18865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980" w:hanging="648"/>
        <w:spacing w:after="0"/>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 in depreciation and amortization given that, in keeping with IFRS 16, the leasing expense is included as of 2019.</w:t>
      </w:r>
    </w:p>
    <w:p>
      <w:pPr>
        <w:spacing w:after="0" w:line="225"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increase in administrative, general and tax expenses, mainly at BCP Stand-alone, as is explained in Chapter 7.1. Credicorp – Administrative, general and tax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Credicorp’s administrative, general and tax expenses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Administrative, general and tax expenses </w:t>
            </w:r>
            <w:r>
              <w:rPr>
                <w:rFonts w:ascii="Arial" w:cs="Arial" w:eastAsia="Arial" w:hAnsi="Arial"/>
                <w:sz w:val="23"/>
                <w:szCs w:val="23"/>
                <w:b w:val="1"/>
                <w:bCs w:val="1"/>
                <w:color w:val="auto"/>
                <w:vertAlign w:val="superscript"/>
              </w:rPr>
              <w:t>(1)</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3"/>
          </w:tcPr>
          <w:p>
            <w:pPr>
              <w:ind w:left="520"/>
              <w:spacing w:after="0"/>
              <w:rPr>
                <w:sz w:val="20"/>
                <w:szCs w:val="20"/>
                <w:color w:val="auto"/>
              </w:rPr>
            </w:pPr>
            <w:r>
              <w:rPr>
                <w:rFonts w:ascii="Arial" w:cs="Arial" w:eastAsia="Arial" w:hAnsi="Arial"/>
                <w:sz w:val="14"/>
                <w:szCs w:val="14"/>
                <w:b w:val="1"/>
                <w:bCs w:val="1"/>
                <w:color w:val="auto"/>
              </w:rPr>
              <w:t>Quarter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3"/>
          </w:tcPr>
          <w:p>
            <w:pPr>
              <w:ind w:left="500"/>
              <w:spacing w:after="0"/>
              <w:rPr>
                <w:sz w:val="20"/>
                <w:szCs w:val="20"/>
                <w:color w:val="auto"/>
              </w:rPr>
            </w:pPr>
            <w:r>
              <w:rPr>
                <w:rFonts w:ascii="Arial" w:cs="Arial" w:eastAsia="Arial" w:hAnsi="Arial"/>
                <w:sz w:val="14"/>
                <w:szCs w:val="14"/>
                <w:b w:val="1"/>
                <w:bCs w:val="1"/>
                <w:color w:val="auto"/>
                <w:w w:val="91"/>
              </w:rPr>
              <w:t>% change</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71"/>
        </w:trPr>
        <w:tc>
          <w:tcPr>
            <w:tcW w:w="4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 000</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1Q18</w:t>
            </w:r>
          </w:p>
        </w:tc>
        <w:tc>
          <w:tcPr>
            <w:tcW w:w="22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4Q18</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1Q18</w:t>
            </w:r>
          </w:p>
        </w:tc>
        <w:tc>
          <w:tcPr>
            <w:tcW w:w="22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QoQ</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5"/>
              </w:rPr>
              <w:t>YoY</w:t>
            </w:r>
          </w:p>
        </w:tc>
        <w:tc>
          <w:tcPr>
            <w:tcW w:w="120" w:type="dxa"/>
            <w:vAlign w:val="bottom"/>
            <w:tcBorders>
              <w:bottom w:val="single" w:sz="8" w:color="CCEEFF"/>
            </w:tcBorders>
          </w:tcPr>
          <w:p>
            <w:pPr>
              <w:spacing w:after="0"/>
              <w:rPr>
                <w:sz w:val="14"/>
                <w:szCs w:val="14"/>
                <w:color w:val="auto"/>
              </w:rPr>
            </w:pPr>
          </w:p>
        </w:tc>
      </w:tr>
      <w:tr>
        <w:trPr>
          <w:trHeight w:val="142"/>
        </w:trPr>
        <w:tc>
          <w:tcPr>
            <w:tcW w:w="40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Marketing</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68,190</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102,463</w:t>
            </w: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78,500</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15%</w:t>
            </w:r>
          </w:p>
        </w:tc>
        <w:tc>
          <w:tcPr>
            <w:tcW w:w="940" w:type="dxa"/>
            <w:vAlign w:val="bottom"/>
            <w:gridSpan w:val="2"/>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-23.4%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15.1%</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Insfrastructure</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64,358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77,747</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67,932</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-12.6%</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Taxes and contributions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56,247</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68,646</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66,709</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Programs and systems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58,808</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77,169</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63,747</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-17.4%</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Channels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47,801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60,220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9%</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52,768</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-12.4%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Consulting</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35,589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57,535</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33,775</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-41.3%</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Systems outsourcing</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50,835</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69,290</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29,346</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-57.6%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Rent</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47,676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50,720</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28,420</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-44.0%</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Communications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20,180</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28,008</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22,714</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-18.9%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12.6%</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Insurance expenses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7,529</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20,469</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11,556</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-43.5%</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53.5%</w:t>
            </w:r>
          </w:p>
        </w:tc>
      </w:tr>
      <w:tr>
        <w:trPr>
          <w:trHeight w:val="149"/>
        </w:trPr>
        <w:tc>
          <w:tcPr>
            <w:tcW w:w="4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Legal expenses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9,104</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19,632</w:t>
            </w:r>
          </w:p>
        </w:tc>
        <w:tc>
          <w:tcPr>
            <w:tcW w:w="2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6,673</w:t>
            </w:r>
          </w:p>
        </w:tc>
        <w:tc>
          <w:tcPr>
            <w:tcW w:w="4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-66.0%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w:t>
            </w:r>
          </w:p>
        </w:tc>
      </w:tr>
      <w:tr>
        <w:trPr>
          <w:trHeight w:val="149"/>
        </w:trPr>
        <w:tc>
          <w:tcPr>
            <w:tcW w:w="4200" w:type="dxa"/>
            <w:vAlign w:val="bottom"/>
            <w:gridSpan w:val="2"/>
          </w:tcPr>
          <w:p>
            <w:pPr>
              <w:spacing w:after="0" w:line="149" w:lineRule="exact"/>
              <w:rPr>
                <w:sz w:val="20"/>
                <w:szCs w:val="20"/>
                <w:color w:val="auto"/>
              </w:rPr>
            </w:pPr>
            <w:r>
              <w:rPr>
                <w:rFonts w:ascii="Arial" w:cs="Arial" w:eastAsia="Arial" w:hAnsi="Arial"/>
                <w:sz w:val="14"/>
                <w:szCs w:val="14"/>
                <w:color w:val="auto"/>
              </w:rPr>
              <w:t>Representation expenses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3,847</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5,503</w:t>
            </w:r>
          </w:p>
        </w:tc>
        <w:tc>
          <w:tcPr>
            <w:tcW w:w="220" w:type="dxa"/>
            <w:vAlign w:val="bottom"/>
          </w:tcPr>
          <w:p>
            <w:pPr>
              <w:spacing w:after="0"/>
              <w:rPr>
                <w:sz w:val="12"/>
                <w:szCs w:val="12"/>
                <w:color w:val="auto"/>
              </w:rPr>
            </w:pPr>
          </w:p>
        </w:tc>
        <w:tc>
          <w:tcPr>
            <w:tcW w:w="72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5,114</w:t>
            </w:r>
          </w:p>
        </w:tc>
        <w:tc>
          <w:tcPr>
            <w:tcW w:w="420" w:type="dxa"/>
            <w:vAlign w:val="bottom"/>
          </w:tcPr>
          <w:p>
            <w:pPr>
              <w:spacing w:after="0"/>
              <w:rPr>
                <w:sz w:val="12"/>
                <w:szCs w:val="12"/>
                <w:color w:val="auto"/>
              </w:rPr>
            </w:pPr>
          </w:p>
        </w:tc>
        <w:tc>
          <w:tcPr>
            <w:tcW w:w="5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w:t>
            </w:r>
          </w:p>
        </w:tc>
        <w:tc>
          <w:tcPr>
            <w:tcW w:w="9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-7.1%</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w:t>
            </w:r>
          </w:p>
        </w:tc>
      </w:tr>
      <w:tr>
        <w:trPr>
          <w:trHeight w:val="203"/>
        </w:trPr>
        <w:tc>
          <w:tcPr>
            <w:tcW w:w="42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 xml:space="preserve">Others </w:t>
            </w:r>
            <w:r>
              <w:rPr>
                <w:rFonts w:ascii="Arial" w:cs="Arial" w:eastAsia="Arial" w:hAnsi="Arial"/>
                <w:sz w:val="23"/>
                <w:szCs w:val="23"/>
                <w:color w:val="auto"/>
                <w:vertAlign w:val="superscript"/>
              </w:rPr>
              <w:t>(2)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26,458</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44,717</w:t>
            </w:r>
          </w:p>
        </w:tc>
        <w:tc>
          <w:tcPr>
            <w:tcW w:w="2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45,682</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72.7%</w:t>
            </w:r>
          </w:p>
        </w:tc>
      </w:tr>
      <w:tr>
        <w:trPr>
          <w:trHeight w:val="142"/>
        </w:trPr>
        <w:tc>
          <w:tcPr>
            <w:tcW w:w="4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Total administrative, general and tax expenses</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496,622</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682,118</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100</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512,935</w:t>
            </w: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100</w:t>
            </w:r>
          </w:p>
        </w:tc>
        <w:tc>
          <w:tcPr>
            <w:tcW w:w="2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-24.8</w:t>
            </w:r>
          </w:p>
        </w:tc>
        <w:tc>
          <w:tcPr>
            <w:tcW w:w="260" w:type="dxa"/>
            <w:vAlign w:val="bottom"/>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w:t>
            </w:r>
          </w:p>
        </w:tc>
        <w:tc>
          <w:tcPr>
            <w:tcW w:w="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w:t>
            </w:r>
          </w:p>
        </w:tc>
      </w:tr>
      <w:tr>
        <w:trPr>
          <w:trHeight w:val="20"/>
        </w:trPr>
        <w:tc>
          <w:tcPr>
            <w:tcW w:w="4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Administrative, general and tax expenses differ from previously reported because BCP Bolivia has been included.</w:t>
      </w:r>
    </w:p>
    <w:p>
      <w:pPr>
        <w:spacing w:after="0" w:line="23" w:lineRule="exact"/>
        <w:rPr>
          <w:rFonts w:ascii="Arial" w:cs="Arial" w:eastAsia="Arial" w:hAnsi="Arial"/>
          <w:sz w:val="18"/>
          <w:szCs w:val="18"/>
          <w:color w:val="auto"/>
        </w:rPr>
      </w:pPr>
    </w:p>
    <w:p>
      <w:pPr>
        <w:jc w:val="both"/>
        <w:ind w:right="120" w:firstLine="8"/>
        <w:spacing w:after="0" w:line="255"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Others include ASB, BCP Bolivia, Grupo Credito and eliminations for consolidation. This account presented a reduction due to the effect of IFRS 16, in which a part of the Rent expenses is now included in depreciation and amortization. This change has been included as an elimination for consolidation in the Others account.</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The increase in total administrative, general and tax expenses QoQ was due to seasonal behavior that leads them to post their highest levels in the last quarter every year and their lowest levels, every first quarter.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YoY analysis</w:t>
      </w:r>
      <w:r>
        <w:rPr>
          <w:rFonts w:ascii="Arial" w:cs="Arial" w:eastAsia="Arial" w:hAnsi="Arial"/>
          <w:sz w:val="18"/>
          <w:szCs w:val="18"/>
          <w:color w:val="auto"/>
        </w:rPr>
        <w:t>, which excludes the seasonal effect of operating expenses, shows and increase that was attributable to:</w:t>
      </w:r>
    </w:p>
    <w:p>
      <w:pPr>
        <w:spacing w:after="0" w:line="229" w:lineRule="exact"/>
        <w:rPr>
          <w:sz w:val="20"/>
          <w:szCs w:val="20"/>
          <w:color w:val="auto"/>
        </w:rPr>
      </w:pPr>
    </w:p>
    <w:p>
      <w:pPr>
        <w:ind w:left="980" w:right="520" w:hanging="648"/>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Higher expenses for marketing at BCP Stand-alone due to an increase in expenses for the Latam miles program and, to a lesser extent, for advertising and promotions at Mibanco.</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increase in Programs and systems due to higher expenses for maintenance services and license renewals for different applications;</w:t>
      </w:r>
    </w:p>
    <w:p>
      <w:pPr>
        <w:spacing w:after="0" w:line="236" w:lineRule="exact"/>
        <w:rPr>
          <w:rFonts w:ascii="Arial" w:cs="Arial" w:eastAsia="Arial" w:hAnsi="Arial"/>
          <w:sz w:val="17"/>
          <w:szCs w:val="17"/>
          <w:color w:val="auto"/>
        </w:rPr>
      </w:pPr>
    </w:p>
    <w:p>
      <w:pPr>
        <w:ind w:left="980" w:right="260" w:hanging="648"/>
        <w:spacing w:after="0" w:line="277"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increase in expenses in channels, in line with growth in income from drafts and transfers, as described in chapter 5.1.2 Fee Income in the Banking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was mitigated by the reduction in the rent and systems outsourcing account, due to the application of IFRS 16 since this quarter, which no longer includes leasing expenses in administrative, general and tax expenses. Now, a part of these expenses (approximately 71%) belongs to the depreciation and amortization expenses and the rest to the financial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r>
              <w:rPr>
                <w:rFonts w:ascii="Arial" w:cs="Arial" w:eastAsia="Arial" w:hAnsi="Arial"/>
                <w:sz w:val="18"/>
                <w:szCs w:val="18"/>
                <w:b w:val="1"/>
                <w:bCs w:val="1"/>
                <w:color w:val="auto"/>
              </w:rPr>
              <w:t>7.2. Efficiency Ratio</w:t>
            </w: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96"/>
        </w:trPr>
        <w:tc>
          <w:tcPr>
            <w:tcW w:w="3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gridSpan w:val="6"/>
          </w:tcPr>
          <w:p>
            <w:pPr>
              <w:ind w:left="100"/>
              <w:spacing w:after="0"/>
              <w:rPr>
                <w:sz w:val="20"/>
                <w:szCs w:val="20"/>
                <w:color w:val="auto"/>
              </w:rPr>
            </w:pPr>
            <w:r>
              <w:rPr>
                <w:rFonts w:ascii="Arial" w:cs="Arial" w:eastAsia="Arial" w:hAnsi="Arial"/>
                <w:sz w:val="18"/>
                <w:szCs w:val="18"/>
                <w:b w:val="1"/>
                <w:bCs w:val="1"/>
                <w:color w:val="auto"/>
                <w:w w:val="89"/>
              </w:rPr>
              <w:t xml:space="preserve">Efficiency Ratio by Subsidiary </w:t>
            </w:r>
            <w:r>
              <w:rPr>
                <w:rFonts w:ascii="Arial" w:cs="Arial" w:eastAsia="Arial" w:hAnsi="Arial"/>
                <w:sz w:val="30"/>
                <w:szCs w:val="30"/>
                <w:b w:val="1"/>
                <w:bCs w:val="1"/>
                <w:color w:val="auto"/>
                <w:w w:val="89"/>
                <w:vertAlign w:val="superscript"/>
              </w:rPr>
              <w:t>(1)(2)</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91"/>
        </w:trPr>
        <w:tc>
          <w:tcPr>
            <w:tcW w:w="308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BCP</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BCP</w:t>
            </w:r>
          </w:p>
        </w:tc>
        <w:tc>
          <w:tcPr>
            <w:tcW w:w="980" w:type="dxa"/>
            <w:vAlign w:val="bottom"/>
            <w:gridSpan w:val="2"/>
          </w:tcPr>
          <w:p>
            <w:pPr>
              <w:ind w:left="200"/>
              <w:spacing w:after="0"/>
              <w:rPr>
                <w:sz w:val="20"/>
                <w:szCs w:val="20"/>
                <w:color w:val="auto"/>
              </w:rPr>
            </w:pPr>
            <w:r>
              <w:rPr>
                <w:rFonts w:ascii="Arial" w:cs="Arial" w:eastAsia="Arial" w:hAnsi="Arial"/>
                <w:sz w:val="18"/>
                <w:szCs w:val="18"/>
                <w:b w:val="1"/>
                <w:bCs w:val="1"/>
                <w:color w:val="auto"/>
              </w:rPr>
              <w:t>Grupo</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08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Stand-alone</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3"/>
              </w:rPr>
              <w:t>Mibanco</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Bolivia</w:t>
            </w:r>
          </w:p>
        </w:tc>
        <w:tc>
          <w:tcPr>
            <w:tcW w:w="16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5"/>
              </w:rPr>
              <w:t>Pacifico</w:t>
            </w:r>
          </w:p>
        </w:tc>
        <w:tc>
          <w:tcPr>
            <w:tcW w:w="16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Prima</w:t>
            </w:r>
          </w:p>
        </w:tc>
        <w:tc>
          <w:tcPr>
            <w:tcW w:w="18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Credicorp</w:t>
            </w:r>
          </w:p>
        </w:tc>
        <w:tc>
          <w:tcPr>
            <w:tcW w:w="160" w:type="dxa"/>
            <w:vAlign w:val="bottom"/>
            <w:tcBorders>
              <w:bottom w:val="single" w:sz="8" w:color="CCEEFF"/>
            </w:tcBorders>
          </w:tcPr>
          <w:p>
            <w:pPr>
              <w:spacing w:after="0"/>
              <w:rPr>
                <w:sz w:val="20"/>
                <w:szCs w:val="20"/>
                <w:color w:val="auto"/>
              </w:rPr>
            </w:pPr>
          </w:p>
        </w:tc>
      </w:tr>
      <w:tr>
        <w:trPr>
          <w:trHeight w:val="210"/>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1Q18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w:t>
            </w:r>
          </w:p>
        </w:tc>
      </w:tr>
      <w:tr>
        <w:trPr>
          <w:trHeight w:val="216"/>
        </w:trPr>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0"/>
              </w:rPr>
              <w:t>4Q18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r>
      <w:tr>
        <w:trPr>
          <w:trHeight w:val="230"/>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1Q19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42.1%</w:t>
            </w:r>
          </w:p>
        </w:tc>
      </w:tr>
      <w:tr>
        <w:trPr>
          <w:trHeight w:val="210"/>
        </w:trPr>
        <w:tc>
          <w:tcPr>
            <w:tcW w:w="30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b w:val="1"/>
                <w:bCs w:val="1"/>
                <w:color w:val="auto"/>
                <w:w w:val="92"/>
              </w:rPr>
              <w:t>Var. QoQ</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 bps</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6"/>
              </w:rPr>
              <w:t>500 bps</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 bps</w:t>
            </w:r>
          </w:p>
        </w:tc>
        <w:tc>
          <w:tcPr>
            <w:tcW w:w="16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4"/>
              </w:rPr>
              <w:t>-120 bps</w:t>
            </w:r>
          </w:p>
        </w:tc>
        <w:tc>
          <w:tcPr>
            <w:tcW w:w="16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84"/>
              </w:rPr>
              <w:t>-120 bps</w:t>
            </w:r>
          </w:p>
        </w:tc>
        <w:tc>
          <w:tcPr>
            <w:tcW w:w="18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 bps</w:t>
            </w:r>
          </w:p>
        </w:tc>
        <w:tc>
          <w:tcPr>
            <w:tcW w:w="160" w:type="dxa"/>
            <w:vAlign w:val="bottom"/>
            <w:tcBorders>
              <w:bottom w:val="single" w:sz="8" w:color="CCEEFF"/>
            </w:tcBorders>
          </w:tcPr>
          <w:p>
            <w:pPr>
              <w:spacing w:after="0"/>
              <w:rPr>
                <w:sz w:val="18"/>
                <w:szCs w:val="18"/>
                <w:color w:val="auto"/>
              </w:rPr>
            </w:pPr>
          </w:p>
        </w:tc>
      </w:tr>
      <w:tr>
        <w:trPr>
          <w:trHeight w:val="210"/>
        </w:trPr>
        <w:tc>
          <w:tcPr>
            <w:tcW w:w="30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Var. YoY</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 bps</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w w:val="86"/>
              </w:rPr>
              <w:t>560 bps</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 bps</w:t>
            </w:r>
          </w:p>
        </w:tc>
        <w:tc>
          <w:tcPr>
            <w:tcW w:w="16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84"/>
              </w:rPr>
              <w:t>-440 bps</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84"/>
              </w:rPr>
              <w:t>-820 bps</w:t>
            </w:r>
          </w:p>
        </w:tc>
        <w:tc>
          <w:tcPr>
            <w:tcW w:w="1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 bps</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8"/>
        <w:spacing w:after="0" w:line="288" w:lineRule="auto"/>
        <w:tabs>
          <w:tab w:leader="none" w:pos="2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(Salaries and employee’s benefits + Administrative expenses + Depreciation and amortization + Acquisition cost + Association in participation) / (Net interest, similar income and expenses + Fee income + Net gain on foreign exchange transactions + Net gain from associates + Net gain on derivatives held for trading + Result on exchange differences + Net premiums earned + Net gain/loss on financial assets designated at fair value through profit or loss).</w:t>
      </w:r>
    </w:p>
    <w:p>
      <w:pPr>
        <w:ind w:left="260" w:hanging="252"/>
        <w:spacing w:after="0"/>
        <w:tabs>
          <w:tab w:leader="none" w:pos="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efficiency ratio differs from previously reported, please consider the data presented on this report.</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 the </w:t>
      </w:r>
      <w:r>
        <w:rPr>
          <w:rFonts w:ascii="Arial" w:cs="Arial" w:eastAsia="Arial" w:hAnsi="Arial"/>
          <w:sz w:val="18"/>
          <w:szCs w:val="18"/>
          <w:b w:val="1"/>
          <w:bCs w:val="1"/>
          <w:color w:val="auto"/>
        </w:rPr>
        <w:t>QoQ analysis</w:t>
      </w:r>
      <w:r>
        <w:rPr>
          <w:rFonts w:ascii="Arial" w:cs="Arial" w:eastAsia="Arial" w:hAnsi="Arial"/>
          <w:sz w:val="18"/>
          <w:szCs w:val="18"/>
          <w:color w:val="auto"/>
        </w:rPr>
        <w:t>, the improvement in efficiency in the majority of subsidiaries was attributable to the seasonal behavior of operating expenses, which increase in the last quarter of the year. As such, the YoY analysis provides a clearer picture of the 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figure below shows the contribution of each subsidiary to the improvement in the efficiency ratio YoY. In the </w:t>
      </w:r>
      <w:r>
        <w:rPr>
          <w:rFonts w:ascii="Arial" w:cs="Arial" w:eastAsia="Arial" w:hAnsi="Arial"/>
          <w:sz w:val="16"/>
          <w:szCs w:val="16"/>
          <w:b w:val="1"/>
          <w:bCs w:val="1"/>
          <w:color w:val="auto"/>
        </w:rPr>
        <w:t>YoY analysis</w:t>
      </w:r>
      <w:r>
        <w:rPr>
          <w:rFonts w:ascii="Arial" w:cs="Arial" w:eastAsia="Arial" w:hAnsi="Arial"/>
          <w:sz w:val="16"/>
          <w:szCs w:val="16"/>
          <w:color w:val="auto"/>
        </w:rPr>
        <w:t>, the slight improvement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Credicorp’s efficiency was attributable to the following subsidiaries: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154940</wp:posOffset>
            </wp:positionV>
            <wp:extent cx="4528185" cy="1663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28185" cy="1663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80"/>
        <w:spacing w:after="0" w:line="277" w:lineRule="auto"/>
        <w:tabs>
          <w:tab w:leader="none" w:pos="1266"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Others includes: Credicorp Capital, Prima AFP, BCP Bolivia, ASB, Grupo Credito, among other subsidiaries and the eliminations for consolidation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improvement in Credicorp’s efficiency was due to:</w:t>
      </w:r>
    </w:p>
    <w:p>
      <w:pPr>
        <w:spacing w:after="0" w:line="225" w:lineRule="exact"/>
        <w:rPr>
          <w:sz w:val="20"/>
          <w:szCs w:val="20"/>
          <w:color w:val="auto"/>
        </w:rPr>
      </w:pPr>
    </w:p>
    <w:p>
      <w:pPr>
        <w:jc w:val="both"/>
        <w:ind w:left="980" w:hanging="648"/>
        <w:spacing w:after="0" w:line="259"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Grupo Pacifico, which registered an improvement that was mainly due to an increase in operating income. This was due to the growth in net earned premiums, mainly associated to the Life insurance business and to a lesser extent, to the reduction in the acquisition cost of the Life insurance business. It is important to consider, that the increase in net earned premiums was offset by the growth in net claims, which isn’t consider in the operating expenses;</w:t>
      </w:r>
    </w:p>
    <w:p>
      <w:pPr>
        <w:spacing w:after="0" w:line="186" w:lineRule="exact"/>
        <w:rPr>
          <w:rFonts w:ascii="Arial" w:cs="Arial" w:eastAsia="Arial" w:hAnsi="Arial"/>
          <w:sz w:val="18"/>
          <w:szCs w:val="18"/>
          <w:color w:val="auto"/>
        </w:rPr>
      </w:pPr>
    </w:p>
    <w:p>
      <w:pPr>
        <w:ind w:left="980" w:right="20" w:hanging="648"/>
        <w:spacing w:after="0" w:line="277" w:lineRule="auto"/>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improvement at BCP Stand-alone, which was mainly attributable to an increase in interest income on loans, in line with loan growth YoY. The aforementioned offset the increase in operating expenses and;</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Prima AFP, due to the decrease in expenses for programming and systems and to the increase in fee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deterioration of Mibanco that is explained by the increase in the sales force to strengthen capacity in the long-term, the reduction in net interest income due to higher competition and the higher administrative expenses, which was associated with relocation to a new headquarter, the digital transformation efforts, and the new branches leasing expenses.</w:t>
      </w:r>
    </w:p>
    <w:p>
      <w:pPr>
        <w:spacing w:after="0" w:line="28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8.  Regulatory Capital</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8.1. Regulatory Capital – BAP</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As of</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640"/>
              <w:spacing w:after="0"/>
              <w:rPr>
                <w:sz w:val="20"/>
                <w:szCs w:val="20"/>
                <w:color w:val="auto"/>
              </w:rPr>
            </w:pPr>
            <w:r>
              <w:rPr>
                <w:rFonts w:ascii="Arial" w:cs="Arial" w:eastAsia="Arial" w:hAnsi="Arial"/>
                <w:sz w:val="18"/>
                <w:szCs w:val="18"/>
                <w:b w:val="1"/>
                <w:bCs w:val="1"/>
                <w:color w:val="auto"/>
                <w:w w:val="91"/>
              </w:rPr>
              <w:t>% Change</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18</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Dec 18</w:t>
            </w:r>
          </w:p>
        </w:tc>
        <w:tc>
          <w:tcPr>
            <w:tcW w:w="2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Mar 19</w:t>
            </w:r>
          </w:p>
        </w:tc>
        <w:tc>
          <w:tcPr>
            <w:tcW w:w="22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Treasury Stocks</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(210,310)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(207,994)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(207,897)</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0.0%</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246,194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222,349</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-9.7%</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Legal and Other capital reserves </w:t>
            </w:r>
            <w:r>
              <w:rPr>
                <w:rFonts w:ascii="Arial" w:cs="Arial" w:eastAsia="Arial" w:hAnsi="Arial"/>
                <w:sz w:val="29"/>
                <w:szCs w:val="29"/>
                <w:color w:val="auto"/>
                <w:vertAlign w:val="superscript"/>
              </w:rPr>
              <w:t>(1)</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17,578,906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17,598,556</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19,408,876</w:t>
            </w:r>
          </w:p>
        </w:tc>
        <w:tc>
          <w:tcPr>
            <w:tcW w:w="220" w:type="dxa"/>
            <w:vAlign w:val="bottom"/>
          </w:tcPr>
          <w:p>
            <w:pPr>
              <w:spacing w:after="0"/>
              <w:rPr>
                <w:sz w:val="22"/>
                <w:szCs w:val="22"/>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Minority interest </w:t>
            </w:r>
            <w:r>
              <w:rPr>
                <w:rFonts w:ascii="Arial" w:cs="Arial" w:eastAsia="Arial" w:hAnsi="Arial"/>
                <w:sz w:val="29"/>
                <w:szCs w:val="29"/>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376,990</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311,230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357,833</w:t>
            </w:r>
          </w:p>
        </w:tc>
        <w:tc>
          <w:tcPr>
            <w:tcW w:w="220" w:type="dxa"/>
            <w:vAlign w:val="bottom"/>
            <w:tcBorders>
              <w:left w:val="single" w:sz="8" w:color="CCEEFF"/>
            </w:tcBorders>
            <w:shd w:val="clear" w:color="auto" w:fill="CCEEFF"/>
          </w:tcPr>
          <w:p>
            <w:pPr>
              <w:spacing w:after="0"/>
              <w:rPr>
                <w:sz w:val="22"/>
                <w:szCs w:val="22"/>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(3)</w:t>
            </w:r>
          </w:p>
        </w:tc>
        <w:tc>
          <w:tcPr>
            <w:tcW w:w="920" w:type="dxa"/>
            <w:vAlign w:val="bottom"/>
          </w:tcPr>
          <w:p>
            <w:pPr>
              <w:jc w:val="right"/>
              <w:spacing w:after="0"/>
              <w:rPr>
                <w:sz w:val="20"/>
                <w:szCs w:val="20"/>
                <w:color w:val="auto"/>
              </w:rPr>
            </w:pPr>
            <w:r>
              <w:rPr>
                <w:rFonts w:ascii="Arial" w:cs="Arial" w:eastAsia="Arial" w:hAnsi="Arial"/>
                <w:sz w:val="18"/>
                <w:szCs w:val="18"/>
                <w:color w:val="auto"/>
              </w:rPr>
              <w:t>1,355,885</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1,591,484</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1,575,956</w:t>
            </w:r>
          </w:p>
        </w:tc>
        <w:tc>
          <w:tcPr>
            <w:tcW w:w="220" w:type="dxa"/>
            <w:vAlign w:val="bottom"/>
          </w:tcPr>
          <w:p>
            <w:pPr>
              <w:spacing w:after="0"/>
              <w:rPr>
                <w:sz w:val="22"/>
                <w:szCs w:val="22"/>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674,600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580,650</w:t>
            </w: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920" w:type="dxa"/>
            <w:vAlign w:val="bottom"/>
          </w:tcPr>
          <w:p>
            <w:pPr>
              <w:jc w:val="right"/>
              <w:spacing w:after="0"/>
              <w:rPr>
                <w:sz w:val="20"/>
                <w:szCs w:val="20"/>
                <w:color w:val="auto"/>
              </w:rPr>
            </w:pPr>
            <w:r>
              <w:rPr>
                <w:rFonts w:ascii="Arial" w:cs="Arial" w:eastAsia="Arial" w:hAnsi="Arial"/>
                <w:sz w:val="18"/>
                <w:szCs w:val="18"/>
                <w:color w:val="auto"/>
              </w:rPr>
              <w:t>4,583,058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4,770,421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4,777,811</w:t>
            </w:r>
          </w:p>
        </w:tc>
        <w:tc>
          <w:tcPr>
            <w:tcW w:w="220" w:type="dxa"/>
            <w:vAlign w:val="bottom"/>
          </w:tcPr>
          <w:p>
            <w:pPr>
              <w:spacing w:after="0"/>
              <w:rPr>
                <w:sz w:val="18"/>
                <w:szCs w:val="18"/>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2"/>
        </w:trPr>
        <w:tc>
          <w:tcPr>
            <w:tcW w:w="5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Investments in equity and subordinated debt of financial and insurance</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companies</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(613,241)</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(648,230)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(615,275)</w:t>
            </w: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(641,505)</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(591,366)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(602,485)</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5"/>
        </w:trPr>
        <w:tc>
          <w:tcPr>
            <w:tcW w:w="57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Deduction for subordinated debt limit (50% of Tier I excluding deductions)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5620" w:type="dxa"/>
            <w:vAlign w:val="bottom"/>
            <w:shd w:val="clear" w:color="auto" w:fill="CCEEFF"/>
          </w:tcPr>
          <w:p>
            <w:pPr>
              <w:spacing w:after="0"/>
              <w:rPr>
                <w:sz w:val="20"/>
                <w:szCs w:val="20"/>
                <w:color w:val="auto"/>
              </w:rPr>
            </w:pPr>
            <w:r>
              <w:rPr>
                <w:rFonts w:ascii="Arial" w:cs="Arial" w:eastAsia="Arial" w:hAnsi="Arial"/>
                <w:sz w:val="15"/>
                <w:szCs w:val="15"/>
                <w:color w:val="auto"/>
              </w:rPr>
              <w:t>(4)</w:t>
            </w: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Deduction for Tier I Limit (50% of Regulatory capital) </w:t>
            </w:r>
            <w:r>
              <w:rPr>
                <w:rFonts w:ascii="Arial" w:cs="Arial" w:eastAsia="Arial" w:hAnsi="Arial"/>
                <w:sz w:val="30"/>
                <w:szCs w:val="30"/>
                <w:color w:val="auto"/>
                <w:vertAlign w:val="superscript"/>
              </w:rPr>
              <w:t>(4)</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Regulatory Capital (A)</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24,594,173</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25,063,888</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26,816,810</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74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(5)</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13,615,257</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13,498,505</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14,827,121</w:t>
            </w:r>
          </w:p>
        </w:tc>
        <w:tc>
          <w:tcPr>
            <w:tcW w:w="2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0"/>
        </w:trPr>
        <w:tc>
          <w:tcPr>
            <w:tcW w:w="5740" w:type="dxa"/>
            <w:vAlign w:val="bottom"/>
            <w:gridSpan w:val="2"/>
            <w:shd w:val="clear" w:color="auto" w:fill="CCEEFF"/>
          </w:tcPr>
          <w:p>
            <w:pPr>
              <w:spacing w:after="0" w:line="269"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30"/>
                <w:szCs w:val="30"/>
                <w:color w:val="auto"/>
                <w:vertAlign w:val="superscript"/>
              </w:rPr>
              <w:t>(6)</w:t>
            </w:r>
            <w:r>
              <w:rPr>
                <w:rFonts w:ascii="Arial" w:cs="Arial" w:eastAsia="Arial" w:hAnsi="Arial"/>
                <w:sz w:val="18"/>
                <w:szCs w:val="18"/>
                <w:color w:val="auto"/>
              </w:rPr>
              <w:t xml:space="preserve"> + Tier 3 </w:t>
            </w:r>
            <w:r>
              <w:rPr>
                <w:rFonts w:ascii="Arial" w:cs="Arial" w:eastAsia="Arial" w:hAnsi="Arial"/>
                <w:sz w:val="30"/>
                <w:szCs w:val="30"/>
                <w:color w:val="auto"/>
                <w:vertAlign w:val="superscript"/>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10,978,915</w:t>
            </w: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11,565,383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11,989,689</w:t>
            </w:r>
          </w:p>
        </w:tc>
        <w:tc>
          <w:tcPr>
            <w:tcW w:w="220" w:type="dxa"/>
            <w:vAlign w:val="bottom"/>
            <w:tcBorders>
              <w:left w:val="single" w:sz="8" w:color="CCEEFF"/>
            </w:tcBorders>
            <w:shd w:val="clear" w:color="auto" w:fill="CCEEFF"/>
          </w:tcPr>
          <w:p>
            <w:pPr>
              <w:spacing w:after="0"/>
              <w:rPr>
                <w:sz w:val="23"/>
                <w:szCs w:val="23"/>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line="256" w:lineRule="exact"/>
              <w:rPr>
                <w:sz w:val="20"/>
                <w:szCs w:val="20"/>
                <w:color w:val="auto"/>
              </w:rPr>
            </w:pPr>
            <w:r>
              <w:rPr>
                <w:rFonts w:ascii="Arial" w:cs="Arial" w:eastAsia="Arial" w:hAnsi="Arial"/>
                <w:sz w:val="18"/>
                <w:szCs w:val="18"/>
                <w:color w:val="auto"/>
                <w:w w:val="96"/>
              </w:rPr>
              <w:t xml:space="preserve">Financial Consolidated Group (FCG) Regulatory Capital Requirements </w:t>
            </w:r>
            <w:r>
              <w:rPr>
                <w:rFonts w:ascii="Arial" w:cs="Arial" w:eastAsia="Arial" w:hAnsi="Arial"/>
                <w:sz w:val="29"/>
                <w:szCs w:val="29"/>
                <w:color w:val="auto"/>
                <w:w w:val="96"/>
                <w:vertAlign w:val="superscript"/>
              </w:rPr>
              <w:t>(8)</w:t>
            </w: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gridSpan w:val="2"/>
            <w:vMerge w:val="continue"/>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17,683,008</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19,629,305</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19,595,889</w:t>
            </w:r>
          </w:p>
        </w:tc>
        <w:tc>
          <w:tcPr>
            <w:tcW w:w="220" w:type="dxa"/>
            <w:vAlign w:val="bottom"/>
          </w:tcPr>
          <w:p>
            <w:pPr>
              <w:spacing w:after="0"/>
              <w:rPr>
                <w:sz w:val="20"/>
                <w:szCs w:val="20"/>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57"/>
        </w:trPr>
        <w:tc>
          <w:tcPr>
            <w:tcW w:w="57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Insurance Consolidated Group (ICG) Capital Requirements </w:t>
            </w:r>
            <w:r>
              <w:rPr>
                <w:rFonts w:ascii="Arial" w:cs="Arial" w:eastAsia="Arial" w:hAnsi="Arial"/>
                <w:sz w:val="29"/>
                <w:szCs w:val="29"/>
                <w:color w:val="auto"/>
                <w:vertAlign w:val="superscript"/>
              </w:rPr>
              <w:t>(9)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926,264</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1,019,984</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1,045,657</w:t>
            </w:r>
          </w:p>
        </w:tc>
        <w:tc>
          <w:tcPr>
            <w:tcW w:w="220" w:type="dxa"/>
            <w:vAlign w:val="bottom"/>
            <w:tcBorders>
              <w:left w:val="single" w:sz="8" w:color="CCEEFF"/>
            </w:tcBorders>
            <w:shd w:val="clear" w:color="auto" w:fill="CCEEFF"/>
          </w:tcPr>
          <w:p>
            <w:pPr>
              <w:spacing w:after="0"/>
              <w:rPr>
                <w:sz w:val="22"/>
                <w:szCs w:val="22"/>
                <w:color w:val="auto"/>
              </w:rPr>
            </w:pPr>
          </w:p>
        </w:tc>
        <w:tc>
          <w:tcPr>
            <w:tcW w:w="11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FCG Capital Requirements related to operations with ICG</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(256,143)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(212,498)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(216,360)</w:t>
            </w:r>
          </w:p>
        </w:tc>
        <w:tc>
          <w:tcPr>
            <w:tcW w:w="118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ICG Capital Requirements related to operations with FCG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left w:val="single" w:sz="8" w:color="CCEEFF"/>
            </w:tcBorders>
            <w:shd w:val="clear" w:color="auto" w:fill="CCEEFF"/>
          </w:tcPr>
          <w:p>
            <w:pPr>
              <w:spacing w:after="0"/>
              <w:rPr>
                <w:sz w:val="19"/>
                <w:szCs w:val="19"/>
                <w:color w:val="auto"/>
              </w:rPr>
            </w:pPr>
          </w:p>
        </w:tc>
        <w:tc>
          <w:tcPr>
            <w:tcW w:w="11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Regulatory Capital Requirements (B)</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18,353,128</w:t>
            </w:r>
          </w:p>
        </w:tc>
        <w:tc>
          <w:tcPr>
            <w:tcW w:w="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20,436,791</w:t>
            </w:r>
          </w:p>
        </w:tc>
        <w:tc>
          <w:tcPr>
            <w:tcW w:w="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20,425,186</w:t>
            </w:r>
          </w:p>
        </w:tc>
        <w:tc>
          <w:tcPr>
            <w:tcW w:w="2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Capital Ratio (A) / (B)</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tcBorders>
              <w:lef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40" w:type="dxa"/>
            <w:vAlign w:val="bottom"/>
            <w:gridSpan w:val="2"/>
          </w:tcPr>
          <w:p>
            <w:pPr>
              <w:spacing w:after="0" w:line="250" w:lineRule="exact"/>
              <w:rPr>
                <w:sz w:val="20"/>
                <w:szCs w:val="20"/>
                <w:color w:val="auto"/>
              </w:rPr>
            </w:pPr>
            <w:r>
              <w:rPr>
                <w:rFonts w:ascii="Arial" w:cs="Arial" w:eastAsia="Arial" w:hAnsi="Arial"/>
                <w:sz w:val="17"/>
                <w:szCs w:val="17"/>
                <w:b w:val="1"/>
                <w:bCs w:val="1"/>
                <w:color w:val="auto"/>
              </w:rPr>
              <w:t xml:space="preserve">Required Regulatory Capital Ratio </w:t>
            </w:r>
            <w:r>
              <w:rPr>
                <w:rFonts w:ascii="Arial" w:cs="Arial" w:eastAsia="Arial" w:hAnsi="Arial"/>
                <w:sz w:val="28"/>
                <w:szCs w:val="28"/>
                <w:b w:val="1"/>
                <w:bCs w:val="1"/>
                <w:color w:val="auto"/>
                <w:vertAlign w:val="superscript"/>
              </w:rPr>
              <w:t>(10)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Legal and other capital reserves include restricted capital reserves (S/ 13,465 million) and optional capital reserves (S/ 5,944 million).</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Minority interest includes Tier I (S/ 358 million)</w:t>
      </w:r>
    </w:p>
    <w:p>
      <w:pPr>
        <w:spacing w:after="0" w:line="9" w:lineRule="exact"/>
        <w:rPr>
          <w:rFonts w:ascii="Arial" w:cs="Arial" w:eastAsia="Arial" w:hAnsi="Arial"/>
          <w:sz w:val="18"/>
          <w:szCs w:val="18"/>
          <w:color w:val="auto"/>
        </w:rPr>
      </w:pPr>
    </w:p>
    <w:p>
      <w:pPr>
        <w:ind w:firstLine="8"/>
        <w:spacing w:after="0" w:line="250" w:lineRule="auto"/>
        <w:tabs>
          <w:tab w:leader="none" w:pos="268" w:val="left"/>
        </w:tabs>
        <w:numPr>
          <w:ilvl w:val="0"/>
          <w:numId w:val="80"/>
        </w:numPr>
        <w:rPr>
          <w:rFonts w:ascii="Arial" w:cs="Arial" w:eastAsia="Arial" w:hAnsi="Arial"/>
          <w:sz w:val="18"/>
          <w:szCs w:val="18"/>
          <w:color w:val="auto"/>
        </w:rPr>
      </w:pPr>
      <w:r>
        <w:rPr>
          <w:rFonts w:ascii="Arial" w:cs="Arial" w:eastAsia="Arial" w:hAnsi="Arial"/>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Tier 2 + Tier 3 cannot be more than 50% of total regulatory capital.</w:t>
      </w:r>
    </w:p>
    <w:p>
      <w:pPr>
        <w:spacing w:after="0" w:line="9" w:lineRule="exact"/>
        <w:rPr>
          <w:rFonts w:ascii="Arial" w:cs="Arial" w:eastAsia="Arial" w:hAnsi="Arial"/>
          <w:sz w:val="18"/>
          <w:szCs w:val="18"/>
          <w:color w:val="auto"/>
        </w:rPr>
      </w:pPr>
    </w:p>
    <w:p>
      <w:pPr>
        <w:ind w:right="20" w:firstLine="8"/>
        <w:spacing w:after="0" w:line="250" w:lineRule="auto"/>
        <w:tabs>
          <w:tab w:leader="none" w:pos="27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Tier 1 = capital + restricted capital reserves + Tier 1 minority interest - goodwill - (0.5 x investment in equity and subordinated debt of financial and insurance companies) + perpetual subordinated debt.</w:t>
      </w:r>
    </w:p>
    <w:p>
      <w:pPr>
        <w:ind w:firstLine="8"/>
        <w:spacing w:after="0" w:line="250" w:lineRule="auto"/>
        <w:tabs>
          <w:tab w:leader="none" w:pos="25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Tier 2 = subordinated debt + Tier 2 minority interest tier + loan loss reserves - (0.5 x investment in equity and subordinated debt of financial and insurance companies).</w:t>
      </w: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regulatory capital requirements of the financial consolidated group.</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regulatory capital requirements of the insurance consolidated group.</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Regulatory Capital / Total Regulatory Capital Requirements (legal minimum = 1.00).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regulatory capital at Credicorp increased 7% QoQ and 9% YoY. The increase was mainly driven by the distribution of net income attained in 2018 that implied an increase in special reserves and restricted special reserves, as per the announcement made in 1Q19.</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a result, the regulatory capital ratio posted a comfortable capitalization level that was 1.31 times the level of capital required by the Peruvian Regulator (SBS).</w:t>
      </w:r>
    </w:p>
    <w:p>
      <w:pPr>
        <w:spacing w:after="0" w:line="279"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w w:val="98"/>
              </w:rPr>
              <w:t>8.2. Regulatory Capital – BCP Stand-alone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Regulatory Capital and Capital Adequacy Ratios</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3"/>
          </w:tcPr>
          <w:p>
            <w:pPr>
              <w:ind w:left="620"/>
              <w:spacing w:after="0"/>
              <w:rPr>
                <w:sz w:val="20"/>
                <w:szCs w:val="20"/>
                <w:color w:val="auto"/>
              </w:rPr>
            </w:pPr>
            <w:r>
              <w:rPr>
                <w:rFonts w:ascii="Arial" w:cs="Arial" w:eastAsia="Arial" w:hAnsi="Arial"/>
                <w:sz w:val="18"/>
                <w:szCs w:val="18"/>
                <w:b w:val="1"/>
                <w:bCs w:val="1"/>
                <w:color w:val="auto"/>
                <w:w w:val="90"/>
              </w:rPr>
              <w:t>% change</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18</w:t>
            </w:r>
          </w:p>
        </w:tc>
        <w:tc>
          <w:tcPr>
            <w:tcW w:w="2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 18</w:t>
            </w:r>
          </w:p>
        </w:tc>
        <w:tc>
          <w:tcPr>
            <w:tcW w:w="2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Mar 19</w:t>
            </w:r>
          </w:p>
        </w:tc>
        <w:tc>
          <w:tcPr>
            <w:tcW w:w="26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8,770,365</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10,217,387</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4,184,303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4,184,309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4,695,109</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 with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Loan loss reserves </w:t>
            </w:r>
            <w:r>
              <w:rPr>
                <w:rFonts w:ascii="Arial" w:cs="Arial" w:eastAsia="Arial" w:hAnsi="Arial"/>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1,146,746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1,307,303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1,284,021</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Perpetual subordinated debt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645,400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674,600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580,650</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4,041,960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4,224,153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4,236,505</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profit (loss)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w w:val="97"/>
              </w:rPr>
              <w:t>Investment in subsidiaries and others, net of unrealized profit and net</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income</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(1,275,333)</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(1,359,608)</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(1,722,979)</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26.7%</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 in subsidiaries and others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(1,567,782)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(1,794,992)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(1,812,955)</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40"/>
              <w:spacing w:after="0"/>
              <w:rPr>
                <w:sz w:val="20"/>
                <w:szCs w:val="20"/>
                <w:color w:val="auto"/>
              </w:rPr>
            </w:pPr>
            <w:r>
              <w:rPr>
                <w:rFonts w:ascii="Arial" w:cs="Arial" w:eastAsia="Arial" w:hAnsi="Arial"/>
                <w:sz w:val="18"/>
                <w:szCs w:val="18"/>
                <w:color w:val="auto"/>
              </w:rPr>
              <w:t>Unrealized profit and net income in subsidiaries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292,449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435,384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89,976</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-79.3%</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(122,083)</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Total Regulatory Capital</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17,391,358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17,679,038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19,168,609</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8.4%</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Off-balance sheet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32,849,193</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84,543,806</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84,074,345</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Tier 1 </w:t>
            </w:r>
            <w:r>
              <w:rPr>
                <w:rFonts w:ascii="Arial" w:cs="Arial" w:eastAsia="Arial" w:hAnsi="Arial"/>
                <w:sz w:val="27"/>
                <w:szCs w:val="27"/>
                <w:color w:val="auto"/>
                <w:vertAlign w:val="superscript"/>
              </w:rPr>
              <w:t>(2)</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12,840,318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12,827,386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14,509,573</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Tier 2 </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 Tier 3 </w:t>
            </w:r>
            <w:r>
              <w:rPr>
                <w:rFonts w:ascii="Arial" w:cs="Arial" w:eastAsia="Arial" w:hAnsi="Arial"/>
                <w:sz w:val="29"/>
                <w:szCs w:val="29"/>
                <w:color w:val="auto"/>
                <w:vertAlign w:val="superscript"/>
              </w:rPr>
              <w:t>(4)</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4,551,040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4,851,652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4,659,036</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0"/>
        </w:trPr>
        <w:tc>
          <w:tcPr>
            <w:tcW w:w="540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Common Equity Tier 1 </w:t>
            </w:r>
            <w:r>
              <w:rPr>
                <w:rFonts w:ascii="Arial" w:cs="Arial" w:eastAsia="Arial" w:hAnsi="Arial"/>
                <w:sz w:val="30"/>
                <w:szCs w:val="30"/>
                <w:color w:val="auto"/>
                <w:vertAlign w:val="superscript"/>
              </w:rPr>
              <w:t>(5)</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12,174,031</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14,234,319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13,742,704</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risk-weighted assets - SBS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109,285,520</w:t>
            </w: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124,798,031</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123,717,453</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400" w:type="dxa"/>
            <w:vAlign w:val="bottom"/>
            <w:gridSpan w:val="2"/>
          </w:tcPr>
          <w:p>
            <w:pPr>
              <w:spacing w:after="0" w:line="236" w:lineRule="exact"/>
              <w:rPr>
                <w:sz w:val="20"/>
                <w:szCs w:val="20"/>
                <w:color w:val="auto"/>
              </w:rPr>
            </w:pPr>
            <w:r>
              <w:rPr>
                <w:rFonts w:ascii="Arial" w:cs="Arial" w:eastAsia="Arial" w:hAnsi="Arial"/>
                <w:sz w:val="17"/>
                <w:szCs w:val="17"/>
                <w:color w:val="auto"/>
              </w:rPr>
              <w:t xml:space="preserve">Market risk-weighted assets </w:t>
            </w:r>
            <w:r>
              <w:rPr>
                <w:rFonts w:ascii="Arial" w:cs="Arial" w:eastAsia="Arial" w:hAnsi="Arial"/>
                <w:sz w:val="27"/>
                <w:szCs w:val="27"/>
                <w:color w:val="auto"/>
                <w:vertAlign w:val="superscript"/>
              </w:rPr>
              <w:t>(6)</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1,870,259</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1,760,750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2,528,029</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risk-weighted assets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98,592,033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114,006,079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112,022,563</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Operational risk-weighted assets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8,823,228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9,031,203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9,166,861</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line="269" w:lineRule="exact"/>
              <w:rPr>
                <w:sz w:val="20"/>
                <w:szCs w:val="20"/>
                <w:color w:val="auto"/>
              </w:rPr>
            </w:pPr>
            <w:r>
              <w:rPr>
                <w:rFonts w:ascii="Arial" w:cs="Arial" w:eastAsia="Arial" w:hAnsi="Arial"/>
                <w:sz w:val="18"/>
                <w:szCs w:val="18"/>
                <w:b w:val="1"/>
                <w:bCs w:val="1"/>
                <w:color w:val="auto"/>
              </w:rPr>
              <w:t xml:space="preserve">Adjusted Risk-Weighted Assets </w:t>
            </w:r>
            <w:r>
              <w:rPr>
                <w:rFonts w:ascii="Arial" w:cs="Arial" w:eastAsia="Arial" w:hAnsi="Arial"/>
                <w:sz w:val="30"/>
                <w:szCs w:val="30"/>
                <w:color w:val="auto"/>
                <w:vertAlign w:val="superscript"/>
              </w:rPr>
              <w:t>(7)</w:t>
            </w:r>
            <w:r>
              <w:rPr>
                <w:rFonts w:ascii="Arial" w:cs="Arial" w:eastAsia="Arial" w:hAnsi="Arial"/>
                <w:sz w:val="18"/>
                <w:szCs w:val="18"/>
                <w:b w:val="1"/>
                <w:bCs w:val="1"/>
                <w:color w:val="auto"/>
              </w:rPr>
              <w:t xml:space="preserve"> </w:t>
            </w:r>
            <w:r>
              <w:rPr>
                <w:rFonts w:ascii="Arial" w:cs="Arial" w:eastAsia="Arial" w:hAnsi="Arial"/>
                <w:sz w:val="18"/>
                <w:szCs w:val="18"/>
                <w:color w:val="auto"/>
              </w:rPr>
              <w:t>- Basel</w:t>
            </w: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gridSpan w:val="2"/>
            <w:vMerge w:val="continue"/>
            <w:shd w:val="clear" w:color="auto" w:fill="CCEEFF"/>
          </w:tcPr>
          <w:p>
            <w:pPr>
              <w:spacing w:after="0"/>
              <w:rPr>
                <w:sz w:val="21"/>
                <w:szCs w:val="21"/>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108,539,396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123,261,266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120,621,893</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109,285,520</w:t>
            </w:r>
          </w:p>
        </w:tc>
        <w:tc>
          <w:tcPr>
            <w:tcW w:w="28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124,798,031</w:t>
            </w:r>
          </w:p>
        </w:tc>
        <w:tc>
          <w:tcPr>
            <w:tcW w:w="26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123,717,453</w:t>
            </w:r>
          </w:p>
        </w:tc>
        <w:tc>
          <w:tcPr>
            <w:tcW w:w="260" w:type="dxa"/>
            <w:vAlign w:val="bottom"/>
            <w:vMerge w:val="continue"/>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RWA Intangible assets, excluding goodwill.</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1,304,099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2,082,049</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3,491,859</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67.7%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02"/>
        </w:trPr>
        <w:tc>
          <w:tcPr>
            <w:tcW w:w="540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 RWA Deferred tax assets generated as a result of temporary</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differences in income tax, in excess of 10% of CET1</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557,976</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545,285</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396,299</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-27.3%</w:t>
            </w:r>
          </w:p>
        </w:tc>
        <w:tc>
          <w:tcPr>
            <w:tcW w:w="260" w:type="dxa"/>
            <w:vAlign w:val="bottom"/>
          </w:tcPr>
          <w:p>
            <w:pPr>
              <w:spacing w:after="0"/>
              <w:rPr>
                <w:sz w:val="20"/>
                <w:szCs w:val="20"/>
                <w:color w:val="auto"/>
              </w:rPr>
            </w:pPr>
          </w:p>
        </w:tc>
        <w:tc>
          <w:tcPr>
            <w:tcW w:w="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 RWA Deferred tax assets generated as a result of past losses</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capital requirement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13,662,112</w:t>
            </w:r>
          </w:p>
        </w:tc>
        <w:tc>
          <w:tcPr>
            <w:tcW w:w="28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15,914,011</w:t>
            </w:r>
          </w:p>
        </w:tc>
        <w:tc>
          <w:tcPr>
            <w:tcW w:w="2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15,765,539</w:t>
            </w:r>
          </w:p>
        </w:tc>
        <w:tc>
          <w:tcPr>
            <w:tcW w:w="26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7"/>
        </w:trPr>
        <w:tc>
          <w:tcPr>
            <w:tcW w:w="5400" w:type="dxa"/>
            <w:vAlign w:val="bottom"/>
            <w:gridSpan w:val="2"/>
            <w:shd w:val="clear" w:color="auto" w:fill="CCEEFF"/>
          </w:tcPr>
          <w:p>
            <w:pPr>
              <w:spacing w:after="0" w:line="236" w:lineRule="exact"/>
              <w:rPr>
                <w:sz w:val="20"/>
                <w:szCs w:val="20"/>
                <w:color w:val="auto"/>
              </w:rPr>
            </w:pPr>
            <w:r>
              <w:rPr>
                <w:rFonts w:ascii="Arial" w:cs="Arial" w:eastAsia="Arial" w:hAnsi="Arial"/>
                <w:sz w:val="17"/>
                <w:szCs w:val="17"/>
                <w:color w:val="auto"/>
              </w:rPr>
              <w:t xml:space="preserve">Market risk capital requirement </w:t>
            </w:r>
            <w:r>
              <w:rPr>
                <w:rFonts w:ascii="Arial" w:cs="Arial" w:eastAsia="Arial" w:hAnsi="Arial"/>
                <w:sz w:val="27"/>
                <w:szCs w:val="27"/>
                <w:color w:val="auto"/>
                <w:vertAlign w:val="superscript"/>
              </w:rPr>
              <w:t>(6)</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187,026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176,075</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252,803</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43.6%</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Credit risk capital requirement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9,859,203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11,400,608</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11,202,256</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Operational risk capital requirement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882,323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903,120</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916,686</w:t>
            </w:r>
          </w:p>
        </w:tc>
        <w:tc>
          <w:tcPr>
            <w:tcW w:w="11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Additional capital requirements</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2,733,560</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3,434,207</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3,393,794</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ratios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Tier 1 ratio </w:t>
            </w:r>
            <w:r>
              <w:rPr>
                <w:rFonts w:ascii="Arial" w:cs="Arial" w:eastAsia="Arial" w:hAnsi="Arial"/>
                <w:sz w:val="29"/>
                <w:szCs w:val="29"/>
                <w:color w:val="auto"/>
                <w:vertAlign w:val="superscript"/>
              </w:rPr>
              <w:t>(8)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10.28%</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11.39%</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14.17%</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15.49%</w:t>
            </w: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Risk-weighted assets / Regulatory capital </w:t>
            </w:r>
            <w:r>
              <w:rPr>
                <w:rFonts w:ascii="Arial" w:cs="Arial" w:eastAsia="Arial" w:hAnsi="Arial"/>
                <w:sz w:val="29"/>
                <w:szCs w:val="29"/>
                <w:color w:val="auto"/>
                <w:vertAlign w:val="superscript"/>
              </w:rPr>
              <w:t>(11)</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7.06</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6.45</w:t>
            </w:r>
          </w:p>
        </w:tc>
        <w:tc>
          <w:tcPr>
            <w:tcW w:w="8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Up to 1.25% of total risk-weighted assets.</w:t>
      </w:r>
    </w:p>
    <w:p>
      <w:pPr>
        <w:spacing w:after="0" w:line="23" w:lineRule="exact"/>
        <w:rPr>
          <w:rFonts w:ascii="Arial" w:cs="Arial" w:eastAsia="Arial" w:hAnsi="Arial"/>
          <w:sz w:val="18"/>
          <w:szCs w:val="18"/>
          <w:color w:val="auto"/>
        </w:rPr>
      </w:pPr>
    </w:p>
    <w:p>
      <w:pPr>
        <w:jc w:val="both"/>
        <w:ind w:right="20" w:firstLine="8"/>
        <w:spacing w:after="0" w:line="265" w:lineRule="auto"/>
        <w:tabs>
          <w:tab w:leader="none" w:pos="2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260" w:hanging="252"/>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Tier 2 = Subordinated debt + Loan loss reserves + (0.5 x Unrealized profit and net income in subsidiaries) - (0.5 x Investment in subsidiaries).</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Tier 3 = Subordinated debt covering market risk only. Tier 3 exists since 1Q10.</w:t>
      </w:r>
    </w:p>
    <w:p>
      <w:pPr>
        <w:spacing w:after="0" w:line="9" w:lineRule="exact"/>
        <w:rPr>
          <w:rFonts w:ascii="Arial" w:cs="Arial" w:eastAsia="Arial" w:hAnsi="Arial"/>
          <w:sz w:val="18"/>
          <w:szCs w:val="18"/>
          <w:color w:val="auto"/>
        </w:rPr>
      </w:pPr>
    </w:p>
    <w:p>
      <w:pPr>
        <w:ind w:firstLine="8"/>
        <w:spacing w:after="0" w:line="250"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Common Equity Tier 1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includes capital requirement to cover price and rate risk.</w:t>
      </w:r>
    </w:p>
    <w:p>
      <w:pPr>
        <w:spacing w:after="0" w:line="9" w:lineRule="exact"/>
        <w:rPr>
          <w:rFonts w:ascii="Arial" w:cs="Arial" w:eastAsia="Arial" w:hAnsi="Arial"/>
          <w:sz w:val="18"/>
          <w:szCs w:val="18"/>
          <w:color w:val="auto"/>
        </w:rPr>
      </w:pPr>
    </w:p>
    <w:p>
      <w:pPr>
        <w:ind w:firstLine="8"/>
        <w:spacing w:after="0" w:line="265" w:lineRule="auto"/>
        <w:tabs>
          <w:tab w:leader="none" w:pos="259" w:val="left"/>
        </w:tabs>
        <w:numPr>
          <w:ilvl w:val="0"/>
          <w:numId w:val="81"/>
        </w:numPr>
        <w:rPr>
          <w:rFonts w:ascii="Arial" w:cs="Arial" w:eastAsia="Arial" w:hAnsi="Arial"/>
          <w:sz w:val="17"/>
          <w:szCs w:val="17"/>
          <w:color w:val="auto"/>
        </w:rPr>
      </w:pPr>
      <w:r>
        <w:rPr>
          <w:rFonts w:ascii="Arial" w:cs="Arial" w:eastAsia="Arial" w:hAnsi="Arial"/>
          <w:sz w:val="17"/>
          <w:szCs w:val="17"/>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Tier 1 / Total Risk-weighted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Common Equity Tier 1 / Adjusted Risk-Weighted Assets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Regulatory Capital / Total Risk-weighted assets (legal minimum = 10% since July 2011)</w:t>
      </w:r>
    </w:p>
    <w:p>
      <w:pPr>
        <w:spacing w:after="0" w:line="9" w:lineRule="exact"/>
        <w:rPr>
          <w:rFonts w:ascii="Arial" w:cs="Arial" w:eastAsia="Arial" w:hAnsi="Arial"/>
          <w:sz w:val="18"/>
          <w:szCs w:val="18"/>
          <w:color w:val="auto"/>
        </w:rPr>
      </w:pPr>
    </w:p>
    <w:p>
      <w:pPr>
        <w:ind w:firstLine="8"/>
        <w:spacing w:after="0" w:line="261" w:lineRule="auto"/>
        <w:tabs>
          <w:tab w:leader="none" w:pos="3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Since July 2012, Risk-weighted assets = Credit risk-weighted assets * 1.00 + Capital requirement to cover market risk * 10 + Capital requirement to cover operational risk * 10 * 1.00 (since July 2014)</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44" w:name="page45"/>
    <w:bookmarkEnd w:id="44"/>
    <w:p>
      <w:pPr>
        <w:jc w:val="both"/>
        <w:spacing w:after="0" w:line="342" w:lineRule="auto"/>
        <w:rPr>
          <w:sz w:val="20"/>
          <w:szCs w:val="20"/>
          <w:color w:val="auto"/>
        </w:rPr>
      </w:pPr>
      <w:r>
        <w:rPr>
          <w:rFonts w:ascii="Arial" w:cs="Arial" w:eastAsia="Arial" w:hAnsi="Arial"/>
          <w:sz w:val="16"/>
          <w:szCs w:val="16"/>
          <w:color w:val="auto"/>
        </w:rPr>
        <w:t>At the end of 1Q19, the BIS and Tier 1 ratios at BCP Stand-alone increased QoQ and reached level of 15.49% and 11.73%, respectively. The aforementioned was due to growth of 8.4% in Total regulatory capital, and 13.1% in Tier 1 Capital, in a scenario in which Total RWAs contracted 0.9% QoQ.</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regard to Total regulatory capital, it increased due to the distribution of net income attained in 2018 after the Annual General Meeting of Shareholders approved the capitalization of earnings as well as the increase in legal reserves in March 2019. Total RWAs contracted due to the drop in Credit RWAs, which in turn reflect the contraction of 2.2% in quarter-end loan balances.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YoY evolution shows a reduction of both, BIS ratio and Tier 1 ratio, in comparison with the levels reported in 1Q18. The aforementioned was due to growth of +13.2% in Total RWAs in a scenario in which Total regulatory capital and Tier 1 Capital only expanded 10.2% and 13.0%, respectively.</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is important to mention that the YoY evolution of Total RWAs was mainly due to growth in Credit RWAs, and in a lesser extent to the expansion of Market and Operational RWAs. With regard to Credit RWAs, they increased due to the expansion of 7.7% YoY in quarter-end loan balances; as well as, the inclusion of RWAs for the undrawn credit facilities not committed but advised to clients (as per new SBS regulation included from 2Q18 and on); and the expansion of intangibles in 4Q18 following the recognition as assets of the developments made as part of the strategic initiative Transformation.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Equity Tier 1 Ratio – BCP Stand-alone</w:t>
      </w:r>
    </w:p>
    <w:p>
      <w:pPr>
        <w:spacing w:after="0" w:line="185"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 xml:space="preserve">December 2018                       </w:t>
      </w:r>
      <w:r>
        <w:rPr>
          <w:sz w:val="1"/>
          <w:szCs w:val="1"/>
          <w:color w:val="auto"/>
        </w:rPr>
        <w:drawing>
          <wp:inline distT="0" distB="0" distL="0" distR="0">
            <wp:extent cx="34290" cy="1625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162560"/>
                    </a:xfrm>
                    <a:prstGeom prst="rect">
                      <a:avLst/>
                    </a:prstGeom>
                    <a:noFill/>
                    <a:ln>
                      <a:noFill/>
                    </a:ln>
                  </pic:spPr>
                </pic:pic>
              </a:graphicData>
            </a:graphic>
          </wp:inline>
        </w:drawing>
      </w:r>
      <w:r>
        <w:rPr>
          <w:rFonts w:ascii="Arial" w:cs="Arial" w:eastAsia="Arial" w:hAnsi="Arial"/>
          <w:sz w:val="18"/>
          <w:szCs w:val="18"/>
          <w:b w:val="1"/>
          <w:bCs w:val="1"/>
          <w:color w:val="auto"/>
        </w:rPr>
        <w:t xml:space="preserve">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-24765</wp:posOffset>
            </wp:positionV>
            <wp:extent cx="6363335" cy="13544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63335"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 Includes investments in BCP Bolivia and other subsidiaries.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the Common Equity Tier 1 ratio (CET1), the most rigorous capital ratio, reported a contraction of 16 bps QoQ and situated at 11.39% at the end of 1Q19. This was attributable to the declaration of dividends in 1Q19, in a scenario in which Adjusted RWAs decreased -2.1%. In the YoY analysis, CET1 ratio increased 17 bps in a context in which Adjusted RWAs increased 11.1% and CET1 expanded +12.9%.</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9. Distribution channels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distribution channels at BCP Stand-alone, Mibanco and BCP Bolivia totaled 10,450 points of contact at the end of 1Q19, which represents a reduction of 49 points QoQ and growth of 597 points YoY.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9.1 Universal Banking</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9.1.1 Points of Contact – BCP Stand-alone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ind w:left="4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 18</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 18</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19</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ind w:left="260"/>
              <w:spacing w:after="0"/>
              <w:rPr>
                <w:sz w:val="20"/>
                <w:szCs w:val="20"/>
                <w:color w:val="auto"/>
              </w:rPr>
            </w:pPr>
            <w:r>
              <w:rPr>
                <w:rFonts w:ascii="Arial" w:cs="Arial" w:eastAsia="Arial" w:hAnsi="Arial"/>
                <w:sz w:val="18"/>
                <w:szCs w:val="18"/>
                <w:b w:val="1"/>
                <w:bCs w:val="1"/>
                <w:color w:val="auto"/>
              </w:rPr>
              <w:t>YoY</w:t>
            </w:r>
          </w:p>
        </w:tc>
      </w:tr>
      <w:tr>
        <w:trPr>
          <w:trHeight w:val="210"/>
        </w:trPr>
        <w:tc>
          <w:tcPr>
            <w:tcW w:w="11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ATMs</w:t>
            </w:r>
          </w:p>
        </w:tc>
        <w:tc>
          <w:tcPr>
            <w:tcW w:w="900" w:type="dxa"/>
            <w:vAlign w:val="bottom"/>
          </w:tcPr>
          <w:p>
            <w:pPr>
              <w:jc w:val="right"/>
              <w:spacing w:after="0"/>
              <w:rPr>
                <w:sz w:val="20"/>
                <w:szCs w:val="20"/>
                <w:color w:val="auto"/>
              </w:rPr>
            </w:pPr>
            <w:r>
              <w:rPr>
                <w:rFonts w:ascii="Arial" w:cs="Arial" w:eastAsia="Arial" w:hAnsi="Arial"/>
                <w:sz w:val="18"/>
                <w:szCs w:val="18"/>
                <w:color w:val="auto"/>
              </w:rPr>
              <w:t>2,321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2,271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Agentes BCP</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6,191</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6,759</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Total BCP's Network</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9,408</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BCP Stand-alone posted a total of 9,408 points of contact at the end of 1Q19, which represented a drop of 47 points QoQ. The aforementioned was due primarily to a decrease in ATMs (-27 QoQ), in line with a decrease in the number of branches (-15 QoQ), both of which reflect the commercial strategy to increase points of contact through cost-efficient channels. Agentes BCP also dropped (-5 QoQ) given that in the first quarter of the year, efforts are made to clean up the balance of Agentes BCP, to eliminate those that were not profitable the previous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YoY analysis, the total number of points of contact at BCP Stand-alone increased by 458 units due to growth in Agentes BCP (+568). ATMs fell by 77 points YoY and branches by 33. This is in keeping with our transformation strategy and client migration to cost-efficient channels. For 2019, BCP Stand-alone has the growth target to reach 7155 Agentes BCP by year-end.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w w:val="92"/>
              </w:rPr>
              <w:t>9.1.2 Points of contact by geographic area – BCP Stand-alone</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7"/>
        </w:trPr>
        <w:tc>
          <w:tcPr>
            <w:tcW w:w="11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As of</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4"/>
          </w:tcPr>
          <w:p>
            <w:pPr>
              <w:ind w:left="4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11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 18</w:t>
            </w: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Dec 18</w:t>
            </w: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 19</w:t>
            </w:r>
          </w:p>
        </w:tc>
        <w:tc>
          <w:tcPr>
            <w:tcW w:w="1080" w:type="dxa"/>
            <w:vAlign w:val="bottom"/>
            <w:gridSpan w:val="2"/>
          </w:tcPr>
          <w:p>
            <w:pPr>
              <w:ind w:left="260"/>
              <w:spacing w:after="0"/>
              <w:rPr>
                <w:sz w:val="20"/>
                <w:szCs w:val="20"/>
                <w:color w:val="auto"/>
              </w:rPr>
            </w:pPr>
            <w:r>
              <w:rPr>
                <w:rFonts w:ascii="Arial" w:cs="Arial" w:eastAsia="Arial" w:hAnsi="Arial"/>
                <w:sz w:val="18"/>
                <w:szCs w:val="18"/>
                <w:b w:val="1"/>
                <w:bCs w:val="1"/>
                <w:color w:val="auto"/>
              </w:rPr>
              <w:t>QoQ</w:t>
            </w:r>
          </w:p>
        </w:tc>
        <w:tc>
          <w:tcPr>
            <w:tcW w:w="960" w:type="dxa"/>
            <w:vAlign w:val="bottom"/>
            <w:gridSpan w:val="2"/>
          </w:tcPr>
          <w:p>
            <w:pPr>
              <w:ind w:left="260"/>
              <w:spacing w:after="0"/>
              <w:rPr>
                <w:sz w:val="20"/>
                <w:szCs w:val="20"/>
                <w:color w:val="auto"/>
              </w:rPr>
            </w:pPr>
            <w:r>
              <w:rPr>
                <w:rFonts w:ascii="Arial" w:cs="Arial" w:eastAsia="Arial" w:hAnsi="Arial"/>
                <w:sz w:val="18"/>
                <w:szCs w:val="18"/>
                <w:b w:val="1"/>
                <w:bCs w:val="1"/>
                <w:color w:val="auto"/>
              </w:rPr>
              <w:t>YoY</w:t>
            </w:r>
          </w:p>
        </w:tc>
      </w:tr>
      <w:tr>
        <w:trPr>
          <w:trHeight w:val="210"/>
        </w:trPr>
        <w:tc>
          <w:tcPr>
            <w:tcW w:w="11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Lima</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Provinces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Branches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Lima</w:t>
            </w:r>
          </w:p>
        </w:tc>
        <w:tc>
          <w:tcPr>
            <w:tcW w:w="900" w:type="dxa"/>
            <w:vAlign w:val="bottom"/>
          </w:tcPr>
          <w:p>
            <w:pPr>
              <w:jc w:val="right"/>
              <w:spacing w:after="0"/>
              <w:rPr>
                <w:sz w:val="20"/>
                <w:szCs w:val="20"/>
                <w:color w:val="auto"/>
              </w:rPr>
            </w:pPr>
            <w:r>
              <w:rPr>
                <w:rFonts w:ascii="Arial" w:cs="Arial" w:eastAsia="Arial" w:hAnsi="Arial"/>
                <w:sz w:val="18"/>
                <w:szCs w:val="18"/>
                <w:color w:val="auto"/>
              </w:rPr>
              <w:t>1,531</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Provinces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ATM's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2,321</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2,271</w:t>
            </w:r>
          </w:p>
        </w:tc>
        <w:tc>
          <w:tcPr>
            <w:tcW w:w="1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2,244</w:t>
            </w:r>
          </w:p>
        </w:tc>
        <w:tc>
          <w:tcPr>
            <w:tcW w:w="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Lima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Provinces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w:t>
            </w:r>
          </w:p>
        </w:tc>
        <w:tc>
          <w:tcPr>
            <w:tcW w:w="1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3,299</w:t>
            </w:r>
          </w:p>
        </w:tc>
        <w:tc>
          <w:tcPr>
            <w:tcW w:w="2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Agentes BCP</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6,191</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6,764</w:t>
            </w:r>
          </w:p>
        </w:tc>
        <w:tc>
          <w:tcPr>
            <w:tcW w:w="1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6,759</w:t>
            </w:r>
          </w:p>
        </w:tc>
        <w:tc>
          <w:tcPr>
            <w:tcW w:w="2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Total points of contact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9,455</w:t>
            </w:r>
          </w:p>
        </w:tc>
        <w:tc>
          <w:tcPr>
            <w:tcW w:w="1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9,408</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quarter, the points of contact for BCP Stand-alone fell by 47 points. In Lima, the reduction totaled 15 points and in provinces, 32.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YoY analysis, significant growth in total points of contact was attributable primarily to an increase of 568 Agentes BCP, both in Lima (+191) and in provinces (+377). It is important to note that this growth has been planned according to this channel’s historic evolution in each territory to ensure that we hit our targets for national growth. The bank is prioritizing growth in the provinces given that this channel is an effective means of reaching a larger public in these areas.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aforementioned offset the reduction in branches and ATMs. The drop in the number of branches occurred in Lima (-20) and in provinces (-13), in line with migration to cost-efficient channels. In terms of ATMs, the YoY figures show a decline in both Lima (-41) and in provinces (-36) after these were removed from branches.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9.1.3 Transactions per channel – BCP Stand-alone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per channel – BCP Stand-alone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100" w:type="dxa"/>
            <w:vAlign w:val="bottom"/>
            <w:vMerge w:val="restart"/>
          </w:tcPr>
          <w:p>
            <w:pPr>
              <w:spacing w:after="0"/>
              <w:rPr>
                <w:sz w:val="15"/>
                <w:szCs w:val="15"/>
                <w:color w:val="auto"/>
              </w:rPr>
            </w:pPr>
          </w:p>
        </w:tc>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3"/>
              </w:rPr>
              <w:t xml:space="preserve">N° of Transactions per channel </w:t>
            </w:r>
            <w:r>
              <w:rPr>
                <w:rFonts w:ascii="Arial" w:cs="Arial" w:eastAsia="Arial" w:hAnsi="Arial"/>
                <w:sz w:val="23"/>
                <w:szCs w:val="23"/>
                <w:b w:val="1"/>
                <w:bCs w:val="1"/>
                <w:color w:val="auto"/>
                <w:w w:val="93"/>
                <w:vertAlign w:val="superscript"/>
              </w:rPr>
              <w:t>(1)</w:t>
            </w:r>
          </w:p>
        </w:tc>
        <w:tc>
          <w:tcPr>
            <w:tcW w:w="100" w:type="dxa"/>
            <w:vAlign w:val="bottom"/>
            <w:vMerge w:val="restart"/>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w w:val="94"/>
              </w:rPr>
              <w:t>Monthly average in each quarter</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3"/>
          </w:tcPr>
          <w:p>
            <w:pPr>
              <w:ind w:left="600"/>
              <w:spacing w:after="0"/>
              <w:rPr>
                <w:sz w:val="20"/>
                <w:szCs w:val="20"/>
                <w:color w:val="auto"/>
              </w:rPr>
            </w:pPr>
            <w:r>
              <w:rPr>
                <w:rFonts w:ascii="Arial" w:cs="Arial" w:eastAsia="Arial" w:hAnsi="Arial"/>
                <w:sz w:val="14"/>
                <w:szCs w:val="14"/>
                <w:b w:val="1"/>
                <w:bCs w:val="1"/>
                <w:color w:val="auto"/>
                <w:w w:val="94"/>
              </w:rPr>
              <w:t>% change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1Q18</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4Q18</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1Q19</w:t>
            </w: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QoQ</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YoY</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880" w:type="dxa"/>
            <w:vAlign w:val="bottom"/>
            <w:shd w:val="clear" w:color="auto" w:fill="CCEEFF"/>
          </w:tcPr>
          <w:p>
            <w:pPr>
              <w:jc w:val="center"/>
              <w:spacing w:after="0" w:line="119" w:lineRule="exact"/>
              <w:rPr>
                <w:sz w:val="20"/>
                <w:szCs w:val="20"/>
                <w:color w:val="auto"/>
              </w:rPr>
            </w:pPr>
            <w:r>
              <w:rPr>
                <w:rFonts w:ascii="Arial" w:cs="Arial" w:eastAsia="Arial" w:hAnsi="Arial"/>
                <w:sz w:val="13"/>
                <w:szCs w:val="13"/>
                <w:b w:val="1"/>
                <w:bCs w:val="1"/>
                <w:color w:val="auto"/>
              </w:rPr>
              <w:t>Traditional</w:t>
            </w: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Teller</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7,989,543</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8,253,527</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4.9%</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7,836,871</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4.4%</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-5.0%</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5"/>
        </w:trPr>
        <w:tc>
          <w:tcPr>
            <w:tcW w:w="8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100" w:type="dxa"/>
            <w:vAlign w:val="bottom"/>
            <w:shd w:val="clear" w:color="auto" w:fill="CCEEFF"/>
          </w:tcPr>
          <w:p>
            <w:pPr>
              <w:spacing w:after="0"/>
              <w:rPr>
                <w:sz w:val="16"/>
                <w:szCs w:val="16"/>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Telephone banking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4,502,039</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5,352,943</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4,947,564</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2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Cost-efficient</w:t>
            </w:r>
          </w:p>
        </w:tc>
        <w:tc>
          <w:tcPr>
            <w:tcW w:w="100" w:type="dxa"/>
            <w:vAlign w:val="bottom"/>
          </w:tcPr>
          <w:p>
            <w:pPr>
              <w:spacing w:after="0" w:line="20" w:lineRule="exact"/>
              <w:rPr>
                <w:sz w:val="1"/>
                <w:szCs w:val="1"/>
                <w:color w:val="auto"/>
              </w:rPr>
            </w:pPr>
          </w:p>
        </w:tc>
        <w:tc>
          <w:tcPr>
            <w:tcW w:w="2260" w:type="dxa"/>
            <w:vAlign w:val="bottom"/>
            <w:gridSpan w:val="2"/>
            <w:vMerge w:val="restart"/>
          </w:tcPr>
          <w:p>
            <w:pPr>
              <w:ind w:left="20"/>
              <w:spacing w:after="0" w:line="139" w:lineRule="exact"/>
              <w:rPr>
                <w:sz w:val="20"/>
                <w:szCs w:val="20"/>
                <w:color w:val="auto"/>
              </w:rPr>
            </w:pPr>
            <w:r>
              <w:rPr>
                <w:rFonts w:ascii="Arial" w:cs="Arial" w:eastAsia="Arial" w:hAnsi="Arial"/>
                <w:sz w:val="14"/>
                <w:szCs w:val="14"/>
                <w:color w:val="auto"/>
              </w:rPr>
              <w:t>Agentes BCP</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19,147,059</w:t>
            </w:r>
          </w:p>
        </w:tc>
        <w:tc>
          <w:tcPr>
            <w:tcW w:w="2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14.5%</w:t>
            </w:r>
          </w:p>
        </w:tc>
        <w:tc>
          <w:tcPr>
            <w:tcW w:w="100" w:type="dxa"/>
            <w:vAlign w:val="bottom"/>
            <w:vMerge w:val="continue"/>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25,641,330</w:t>
            </w:r>
          </w:p>
        </w:tc>
        <w:tc>
          <w:tcPr>
            <w:tcW w:w="220" w:type="dxa"/>
            <w:vAlign w:val="bottom"/>
          </w:tcPr>
          <w:p>
            <w:pPr>
              <w:spacing w:after="0"/>
              <w:rPr>
                <w:sz w:val="10"/>
                <w:szCs w:val="10"/>
                <w:color w:val="auto"/>
              </w:rPr>
            </w:pPr>
          </w:p>
        </w:tc>
        <w:tc>
          <w:tcPr>
            <w:tcW w:w="102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15.1%</w:t>
            </w:r>
          </w:p>
        </w:tc>
        <w:tc>
          <w:tcPr>
            <w:tcW w:w="840" w:type="dxa"/>
            <w:vAlign w:val="bottom"/>
          </w:tcPr>
          <w:p>
            <w:pPr>
              <w:jc w:val="right"/>
              <w:spacing w:after="0" w:line="119" w:lineRule="exact"/>
              <w:rPr>
                <w:sz w:val="20"/>
                <w:szCs w:val="20"/>
                <w:color w:val="auto"/>
              </w:rPr>
            </w:pPr>
            <w:r>
              <w:rPr>
                <w:rFonts w:ascii="Arial" w:cs="Arial" w:eastAsia="Arial" w:hAnsi="Arial"/>
                <w:sz w:val="13"/>
                <w:szCs w:val="13"/>
                <w:color w:val="auto"/>
              </w:rPr>
              <w:t>24,802,140</w:t>
            </w:r>
          </w:p>
        </w:tc>
        <w:tc>
          <w:tcPr>
            <w:tcW w:w="220" w:type="dxa"/>
            <w:vAlign w:val="bottom"/>
          </w:tcPr>
          <w:p>
            <w:pPr>
              <w:spacing w:after="0"/>
              <w:rPr>
                <w:sz w:val="10"/>
                <w:szCs w:val="10"/>
                <w:color w:val="auto"/>
              </w:rPr>
            </w:pPr>
          </w:p>
        </w:tc>
        <w:tc>
          <w:tcPr>
            <w:tcW w:w="1040" w:type="dxa"/>
            <w:vAlign w:val="bottom"/>
            <w:gridSpan w:val="2"/>
          </w:tcPr>
          <w:p>
            <w:pPr>
              <w:jc w:val="right"/>
              <w:ind w:right="68"/>
              <w:spacing w:after="0" w:line="119" w:lineRule="exact"/>
              <w:rPr>
                <w:sz w:val="20"/>
                <w:szCs w:val="20"/>
                <w:color w:val="auto"/>
              </w:rPr>
            </w:pPr>
            <w:r>
              <w:rPr>
                <w:rFonts w:ascii="Arial" w:cs="Arial" w:eastAsia="Arial" w:hAnsi="Arial"/>
                <w:sz w:val="13"/>
                <w:szCs w:val="13"/>
                <w:color w:val="auto"/>
              </w:rPr>
              <w:t>13.9%</w:t>
            </w:r>
          </w:p>
        </w:tc>
        <w:tc>
          <w:tcPr>
            <w:tcW w:w="1020" w:type="dxa"/>
            <w:vAlign w:val="bottom"/>
            <w:gridSpan w:val="2"/>
          </w:tcPr>
          <w:p>
            <w:pPr>
              <w:jc w:val="right"/>
              <w:ind w:right="48"/>
              <w:spacing w:after="0" w:line="119" w:lineRule="exact"/>
              <w:rPr>
                <w:sz w:val="20"/>
                <w:szCs w:val="20"/>
                <w:color w:val="auto"/>
              </w:rPr>
            </w:pPr>
            <w:r>
              <w:rPr>
                <w:rFonts w:ascii="Arial" w:cs="Arial" w:eastAsia="Arial" w:hAnsi="Arial"/>
                <w:sz w:val="13"/>
                <w:szCs w:val="13"/>
                <w:color w:val="auto"/>
              </w:rPr>
              <w:t>-3.3%</w:t>
            </w:r>
          </w:p>
        </w:tc>
        <w:tc>
          <w:tcPr>
            <w:tcW w:w="2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85"/>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channels</w:t>
            </w:r>
          </w:p>
        </w:tc>
        <w:tc>
          <w:tcPr>
            <w:tcW w:w="100" w:type="dxa"/>
            <w:vAlign w:val="bottom"/>
          </w:tcPr>
          <w:p>
            <w:pPr>
              <w:spacing w:after="0"/>
              <w:rPr>
                <w:sz w:val="16"/>
                <w:szCs w:val="16"/>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ATMs</w:t>
            </w:r>
          </w:p>
        </w:tc>
        <w:tc>
          <w:tcPr>
            <w:tcW w:w="840" w:type="dxa"/>
            <w:vAlign w:val="bottom"/>
          </w:tcPr>
          <w:p>
            <w:pPr>
              <w:jc w:val="right"/>
              <w:spacing w:after="0"/>
              <w:rPr>
                <w:sz w:val="20"/>
                <w:szCs w:val="20"/>
                <w:color w:val="auto"/>
              </w:rPr>
            </w:pPr>
            <w:r>
              <w:rPr>
                <w:rFonts w:ascii="Arial" w:cs="Arial" w:eastAsia="Arial" w:hAnsi="Arial"/>
                <w:sz w:val="14"/>
                <w:szCs w:val="14"/>
                <w:color w:val="auto"/>
              </w:rPr>
              <w:t>21,733,218</w:t>
            </w:r>
          </w:p>
        </w:tc>
        <w:tc>
          <w:tcPr>
            <w:tcW w:w="22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16.5%</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21,283,188</w:t>
            </w:r>
          </w:p>
        </w:tc>
        <w:tc>
          <w:tcPr>
            <w:tcW w:w="220" w:type="dxa"/>
            <w:vAlign w:val="bottom"/>
          </w:tcPr>
          <w:p>
            <w:pPr>
              <w:spacing w:after="0"/>
              <w:rPr>
                <w:sz w:val="16"/>
                <w:szCs w:val="16"/>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12.5%</w:t>
            </w:r>
          </w:p>
        </w:tc>
        <w:tc>
          <w:tcPr>
            <w:tcW w:w="840" w:type="dxa"/>
            <w:vAlign w:val="bottom"/>
          </w:tcPr>
          <w:p>
            <w:pPr>
              <w:jc w:val="right"/>
              <w:spacing w:after="0"/>
              <w:rPr>
                <w:sz w:val="20"/>
                <w:szCs w:val="20"/>
                <w:color w:val="auto"/>
              </w:rPr>
            </w:pPr>
            <w:r>
              <w:rPr>
                <w:rFonts w:ascii="Arial" w:cs="Arial" w:eastAsia="Arial" w:hAnsi="Arial"/>
                <w:sz w:val="14"/>
                <w:szCs w:val="14"/>
                <w:color w:val="auto"/>
              </w:rPr>
              <w:t>24,405,732</w:t>
            </w:r>
          </w:p>
        </w:tc>
        <w:tc>
          <w:tcPr>
            <w:tcW w:w="220" w:type="dxa"/>
            <w:vAlign w:val="bottom"/>
          </w:tcPr>
          <w:p>
            <w:pPr>
              <w:spacing w:after="0"/>
              <w:rPr>
                <w:sz w:val="16"/>
                <w:szCs w:val="16"/>
                <w:color w:val="auto"/>
              </w:rPr>
            </w:pP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13.7%</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
        </w:trPr>
        <w:tc>
          <w:tcPr>
            <w:tcW w:w="880" w:type="dxa"/>
            <w:vAlign w:val="bottom"/>
            <w:vMerge w:val="restart"/>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3"/>
              </w:rPr>
              <w:t>Digital</w:t>
            </w:r>
          </w:p>
        </w:tc>
        <w:tc>
          <w:tcPr>
            <w:tcW w:w="100" w:type="dxa"/>
            <w:vAlign w:val="bottom"/>
            <w:shd w:val="clear" w:color="auto" w:fill="CCEEFF"/>
          </w:tcPr>
          <w:p>
            <w:pPr>
              <w:spacing w:after="0" w:line="20" w:lineRule="exact"/>
              <w:rPr>
                <w:sz w:val="1"/>
                <w:szCs w:val="1"/>
                <w:color w:val="auto"/>
              </w:rPr>
            </w:pPr>
          </w:p>
        </w:tc>
        <w:tc>
          <w:tcPr>
            <w:tcW w:w="2260" w:type="dxa"/>
            <w:vAlign w:val="bottom"/>
            <w:gridSpan w:val="2"/>
            <w:vMerge w:val="restart"/>
            <w:shd w:val="clear" w:color="auto" w:fill="CCEEFF"/>
          </w:tcPr>
          <w:p>
            <w:pPr>
              <w:ind w:left="20"/>
              <w:spacing w:after="0" w:line="139" w:lineRule="exact"/>
              <w:rPr>
                <w:sz w:val="20"/>
                <w:szCs w:val="20"/>
                <w:color w:val="auto"/>
              </w:rPr>
            </w:pPr>
            <w:r>
              <w:rPr>
                <w:rFonts w:ascii="Arial" w:cs="Arial" w:eastAsia="Arial" w:hAnsi="Arial"/>
                <w:sz w:val="14"/>
                <w:szCs w:val="14"/>
                <w:color w:val="auto"/>
              </w:rPr>
              <w:t>Mobile banking</w:t>
            </w: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35,607,617</w:t>
            </w:r>
          </w:p>
        </w:tc>
        <w:tc>
          <w:tcPr>
            <w:tcW w:w="2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27.0%</w:t>
            </w:r>
          </w:p>
        </w:tc>
        <w:tc>
          <w:tcPr>
            <w:tcW w:w="1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60,966,991</w:t>
            </w:r>
          </w:p>
        </w:tc>
        <w:tc>
          <w:tcPr>
            <w:tcW w:w="22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35.9%</w:t>
            </w:r>
          </w:p>
        </w:tc>
        <w:tc>
          <w:tcPr>
            <w:tcW w:w="840" w:type="dxa"/>
            <w:vAlign w:val="bottom"/>
            <w:shd w:val="clear" w:color="auto" w:fill="CCEEFF"/>
          </w:tcPr>
          <w:p>
            <w:pPr>
              <w:jc w:val="right"/>
              <w:spacing w:after="0" w:line="119" w:lineRule="exact"/>
              <w:rPr>
                <w:sz w:val="20"/>
                <w:szCs w:val="20"/>
                <w:color w:val="auto"/>
              </w:rPr>
            </w:pPr>
            <w:r>
              <w:rPr>
                <w:rFonts w:ascii="Arial" w:cs="Arial" w:eastAsia="Arial" w:hAnsi="Arial"/>
                <w:sz w:val="13"/>
                <w:szCs w:val="13"/>
                <w:color w:val="auto"/>
              </w:rPr>
              <w:t>68,528,959</w:t>
            </w:r>
          </w:p>
        </w:tc>
        <w:tc>
          <w:tcPr>
            <w:tcW w:w="22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68"/>
              <w:spacing w:after="0" w:line="119" w:lineRule="exact"/>
              <w:rPr>
                <w:sz w:val="20"/>
                <w:szCs w:val="20"/>
                <w:color w:val="auto"/>
              </w:rPr>
            </w:pPr>
            <w:r>
              <w:rPr>
                <w:rFonts w:ascii="Arial" w:cs="Arial" w:eastAsia="Arial" w:hAnsi="Arial"/>
                <w:sz w:val="13"/>
                <w:szCs w:val="13"/>
                <w:color w:val="auto"/>
              </w:rPr>
              <w:t>38.4%</w:t>
            </w:r>
          </w:p>
        </w:tc>
        <w:tc>
          <w:tcPr>
            <w:tcW w:w="1020" w:type="dxa"/>
            <w:vAlign w:val="bottom"/>
            <w:gridSpan w:val="2"/>
            <w:shd w:val="clear" w:color="auto" w:fill="CCEEFF"/>
          </w:tcPr>
          <w:p>
            <w:pPr>
              <w:jc w:val="right"/>
              <w:ind w:right="48"/>
              <w:spacing w:after="0" w:line="119" w:lineRule="exact"/>
              <w:rPr>
                <w:sz w:val="20"/>
                <w:szCs w:val="20"/>
                <w:color w:val="auto"/>
              </w:rPr>
            </w:pPr>
            <w:r>
              <w:rPr>
                <w:rFonts w:ascii="Arial" w:cs="Arial" w:eastAsia="Arial" w:hAnsi="Arial"/>
                <w:sz w:val="13"/>
                <w:szCs w:val="13"/>
                <w:color w:val="auto"/>
              </w:rPr>
              <w:t>12.4%</w:t>
            </w:r>
          </w:p>
        </w:tc>
        <w:tc>
          <w:tcPr>
            <w:tcW w:w="2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19" w:lineRule="exact"/>
              <w:rPr>
                <w:sz w:val="20"/>
                <w:szCs w:val="20"/>
                <w:color w:val="auto"/>
              </w:rPr>
            </w:pPr>
            <w:r>
              <w:rPr>
                <w:rFonts w:ascii="Arial" w:cs="Arial" w:eastAsia="Arial" w:hAnsi="Arial"/>
                <w:sz w:val="13"/>
                <w:szCs w:val="13"/>
                <w:color w:val="auto"/>
              </w:rPr>
              <w:t>92.5%</w:t>
            </w:r>
          </w:p>
        </w:tc>
        <w:tc>
          <w:tcPr>
            <w:tcW w:w="0" w:type="dxa"/>
            <w:vAlign w:val="bottom"/>
          </w:tcPr>
          <w:p>
            <w:pPr>
              <w:spacing w:after="0"/>
              <w:rPr>
                <w:sz w:val="1"/>
                <w:szCs w:val="1"/>
                <w:color w:val="auto"/>
              </w:rPr>
            </w:pPr>
          </w:p>
        </w:tc>
      </w:tr>
      <w:tr>
        <w:trPr>
          <w:trHeight w:val="153"/>
        </w:trPr>
        <w:tc>
          <w:tcPr>
            <w:tcW w:w="880" w:type="dxa"/>
            <w:vAlign w:val="bottom"/>
            <w:shd w:val="clear" w:color="auto" w:fill="CCEEFF"/>
          </w:tcPr>
          <w:p>
            <w:pPr>
              <w:jc w:val="center"/>
              <w:spacing w:after="0" w:line="153" w:lineRule="exact"/>
              <w:rPr>
                <w:sz w:val="20"/>
                <w:szCs w:val="20"/>
                <w:color w:val="auto"/>
              </w:rPr>
            </w:pPr>
            <w:r>
              <w:rPr>
                <w:rFonts w:ascii="Arial" w:cs="Arial" w:eastAsia="Arial" w:hAnsi="Arial"/>
                <w:sz w:val="14"/>
                <w:szCs w:val="14"/>
                <w:b w:val="1"/>
                <w:bCs w:val="1"/>
                <w:color w:val="auto"/>
                <w:w w:val="85"/>
              </w:rPr>
              <w:t>channels</w:t>
            </w:r>
          </w:p>
        </w:tc>
        <w:tc>
          <w:tcPr>
            <w:tcW w:w="100" w:type="dxa"/>
            <w:vAlign w:val="bottom"/>
            <w:shd w:val="clear" w:color="auto" w:fill="CCEEFF"/>
          </w:tcPr>
          <w:p>
            <w:pPr>
              <w:spacing w:after="0"/>
              <w:rPr>
                <w:sz w:val="13"/>
                <w:szCs w:val="13"/>
                <w:color w:val="auto"/>
              </w:rPr>
            </w:pPr>
          </w:p>
        </w:tc>
        <w:tc>
          <w:tcPr>
            <w:tcW w:w="22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Internet banking Via BCP</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16,520,889</w:t>
            </w:r>
          </w:p>
        </w:tc>
        <w:tc>
          <w:tcPr>
            <w:tcW w:w="2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12.5%</w:t>
            </w:r>
          </w:p>
        </w:tc>
        <w:tc>
          <w:tcPr>
            <w:tcW w:w="94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16,931,303</w:t>
            </w:r>
          </w:p>
        </w:tc>
        <w:tc>
          <w:tcPr>
            <w:tcW w:w="22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10.0%</w:t>
            </w:r>
          </w:p>
        </w:tc>
        <w:tc>
          <w:tcPr>
            <w:tcW w:w="84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16,185,835</w:t>
            </w: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8"/>
              <w:spacing w:after="0" w:line="153" w:lineRule="exact"/>
              <w:rPr>
                <w:sz w:val="20"/>
                <w:szCs w:val="20"/>
                <w:color w:val="auto"/>
              </w:rPr>
            </w:pPr>
            <w:r>
              <w:rPr>
                <w:rFonts w:ascii="Arial" w:cs="Arial" w:eastAsia="Arial" w:hAnsi="Arial"/>
                <w:sz w:val="14"/>
                <w:szCs w:val="14"/>
                <w:color w:val="auto"/>
              </w:rPr>
              <w:t>9.1%</w:t>
            </w:r>
          </w:p>
        </w:tc>
        <w:tc>
          <w:tcPr>
            <w:tcW w:w="1020" w:type="dxa"/>
            <w:vAlign w:val="bottom"/>
            <w:gridSpan w:val="2"/>
            <w:shd w:val="clear" w:color="auto" w:fill="CCEEFF"/>
          </w:tcPr>
          <w:p>
            <w:pPr>
              <w:jc w:val="right"/>
              <w:ind w:right="48"/>
              <w:spacing w:after="0" w:line="153" w:lineRule="exact"/>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1"/>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inquiries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1,716,853</w:t>
            </w:r>
          </w:p>
        </w:tc>
        <w:tc>
          <w:tcPr>
            <w:tcW w:w="2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1,441,490</w:t>
            </w:r>
          </w:p>
        </w:tc>
        <w:tc>
          <w:tcPr>
            <w:tcW w:w="2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2,161,369</w:t>
            </w: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49.9%</w:t>
            </w:r>
          </w:p>
        </w:tc>
        <w:tc>
          <w:tcPr>
            <w:tcW w:w="22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0"/>
        </w:trPr>
        <w:tc>
          <w:tcPr>
            <w:tcW w:w="880" w:type="dxa"/>
            <w:vAlign w:val="bottom"/>
            <w:vMerge w:val="restart"/>
          </w:tcPr>
          <w:p>
            <w:pPr>
              <w:jc w:val="center"/>
              <w:spacing w:after="0" w:line="143" w:lineRule="exact"/>
              <w:rPr>
                <w:sz w:val="20"/>
                <w:szCs w:val="20"/>
                <w:color w:val="auto"/>
              </w:rPr>
            </w:pPr>
            <w:r>
              <w:rPr>
                <w:rFonts w:ascii="Arial" w:cs="Arial" w:eastAsia="Arial" w:hAnsi="Arial"/>
                <w:sz w:val="14"/>
                <w:szCs w:val="14"/>
                <w:b w:val="1"/>
                <w:bCs w:val="1"/>
                <w:color w:val="auto"/>
                <w:w w:val="97"/>
              </w:rPr>
              <w:t>Others</w:t>
            </w:r>
          </w:p>
        </w:tc>
        <w:tc>
          <w:tcPr>
            <w:tcW w:w="100" w:type="dxa"/>
            <w:vAlign w:val="bottom"/>
          </w:tcPr>
          <w:p>
            <w:pPr>
              <w:spacing w:after="0" w:line="20" w:lineRule="exact"/>
              <w:rPr>
                <w:sz w:val="1"/>
                <w:szCs w:val="1"/>
                <w:color w:val="auto"/>
              </w:rPr>
            </w:pPr>
          </w:p>
        </w:tc>
        <w:tc>
          <w:tcPr>
            <w:tcW w:w="2260" w:type="dxa"/>
            <w:vAlign w:val="bottom"/>
            <w:gridSpan w:val="2"/>
            <w:vMerge w:val="restart"/>
          </w:tcPr>
          <w:p>
            <w:pPr>
              <w:ind w:left="20"/>
              <w:spacing w:after="0" w:line="143" w:lineRule="exact"/>
              <w:rPr>
                <w:sz w:val="20"/>
                <w:szCs w:val="20"/>
                <w:color w:val="auto"/>
              </w:rPr>
            </w:pPr>
            <w:r>
              <w:rPr>
                <w:rFonts w:ascii="Arial" w:cs="Arial" w:eastAsia="Arial" w:hAnsi="Arial"/>
                <w:sz w:val="14"/>
                <w:szCs w:val="14"/>
                <w:color w:val="auto"/>
              </w:rPr>
              <w:t>Telecrédito</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10,415,356</w:t>
            </w:r>
          </w:p>
        </w:tc>
        <w:tc>
          <w:tcPr>
            <w:tcW w:w="220" w:type="dxa"/>
            <w:vAlign w:val="bottom"/>
          </w:tcPr>
          <w:p>
            <w:pPr>
              <w:spacing w:after="0"/>
              <w:rPr>
                <w:sz w:val="10"/>
                <w:szCs w:val="10"/>
                <w:color w:val="auto"/>
              </w:rPr>
            </w:pPr>
          </w:p>
        </w:tc>
        <w:tc>
          <w:tcPr>
            <w:tcW w:w="92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7.9%</w:t>
            </w:r>
          </w:p>
        </w:tc>
        <w:tc>
          <w:tcPr>
            <w:tcW w:w="100" w:type="dxa"/>
            <w:vAlign w:val="bottom"/>
            <w:vMerge w:val="continue"/>
          </w:tcPr>
          <w:p>
            <w:pPr>
              <w:spacing w:after="0"/>
              <w:rPr>
                <w:sz w:val="10"/>
                <w:szCs w:val="10"/>
                <w:color w:val="auto"/>
              </w:rPr>
            </w:pP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12,037,379</w:t>
            </w:r>
          </w:p>
        </w:tc>
        <w:tc>
          <w:tcPr>
            <w:tcW w:w="220" w:type="dxa"/>
            <w:vAlign w:val="bottom"/>
          </w:tcPr>
          <w:p>
            <w:pPr>
              <w:spacing w:after="0"/>
              <w:rPr>
                <w:sz w:val="10"/>
                <w:szCs w:val="10"/>
                <w:color w:val="auto"/>
              </w:rPr>
            </w:pPr>
          </w:p>
        </w:tc>
        <w:tc>
          <w:tcPr>
            <w:tcW w:w="10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7.1%</w:t>
            </w:r>
          </w:p>
        </w:tc>
        <w:tc>
          <w:tcPr>
            <w:tcW w:w="840" w:type="dxa"/>
            <w:vAlign w:val="bottom"/>
          </w:tcPr>
          <w:p>
            <w:pPr>
              <w:jc w:val="right"/>
              <w:spacing w:after="0" w:line="123" w:lineRule="exact"/>
              <w:rPr>
                <w:sz w:val="20"/>
                <w:szCs w:val="20"/>
                <w:color w:val="auto"/>
              </w:rPr>
            </w:pPr>
            <w:r>
              <w:rPr>
                <w:rFonts w:ascii="Arial" w:cs="Arial" w:eastAsia="Arial" w:hAnsi="Arial"/>
                <w:sz w:val="14"/>
                <w:szCs w:val="14"/>
                <w:color w:val="auto"/>
              </w:rPr>
              <w:t>11,318,983</w:t>
            </w:r>
          </w:p>
        </w:tc>
        <w:tc>
          <w:tcPr>
            <w:tcW w:w="220" w:type="dxa"/>
            <w:vAlign w:val="bottom"/>
            <w:vMerge w:val="continue"/>
          </w:tcPr>
          <w:p>
            <w:pPr>
              <w:spacing w:after="0"/>
              <w:rPr>
                <w:sz w:val="10"/>
                <w:szCs w:val="10"/>
                <w:color w:val="auto"/>
              </w:rPr>
            </w:pPr>
          </w:p>
        </w:tc>
        <w:tc>
          <w:tcPr>
            <w:tcW w:w="1040" w:type="dxa"/>
            <w:vAlign w:val="bottom"/>
            <w:gridSpan w:val="2"/>
          </w:tcPr>
          <w:p>
            <w:pPr>
              <w:jc w:val="right"/>
              <w:ind w:right="68"/>
              <w:spacing w:after="0" w:line="123" w:lineRule="exact"/>
              <w:rPr>
                <w:sz w:val="20"/>
                <w:szCs w:val="20"/>
                <w:color w:val="auto"/>
              </w:rPr>
            </w:pPr>
            <w:r>
              <w:rPr>
                <w:rFonts w:ascii="Arial" w:cs="Arial" w:eastAsia="Arial" w:hAnsi="Arial"/>
                <w:sz w:val="14"/>
                <w:szCs w:val="14"/>
                <w:color w:val="auto"/>
              </w:rPr>
              <w:t>6.3%</w:t>
            </w:r>
          </w:p>
        </w:tc>
        <w:tc>
          <w:tcPr>
            <w:tcW w:w="1020" w:type="dxa"/>
            <w:vAlign w:val="bottom"/>
            <w:gridSpan w:val="2"/>
          </w:tcPr>
          <w:p>
            <w:pPr>
              <w:jc w:val="right"/>
              <w:ind w:right="48"/>
              <w:spacing w:after="0" w:line="123" w:lineRule="exact"/>
              <w:rPr>
                <w:sz w:val="20"/>
                <w:szCs w:val="20"/>
                <w:color w:val="auto"/>
              </w:rPr>
            </w:pPr>
            <w:r>
              <w:rPr>
                <w:rFonts w:ascii="Arial" w:cs="Arial" w:eastAsia="Arial" w:hAnsi="Arial"/>
                <w:sz w:val="14"/>
                <w:szCs w:val="14"/>
                <w:color w:val="auto"/>
              </w:rPr>
              <w:t>-6.0%</w:t>
            </w:r>
          </w:p>
        </w:tc>
        <w:tc>
          <w:tcPr>
            <w:tcW w:w="220" w:type="dxa"/>
            <w:vAlign w:val="bottom"/>
          </w:tcPr>
          <w:p>
            <w:pPr>
              <w:spacing w:after="0"/>
              <w:rPr>
                <w:sz w:val="10"/>
                <w:szCs w:val="10"/>
                <w:color w:val="auto"/>
              </w:rPr>
            </w:pPr>
          </w:p>
        </w:tc>
        <w:tc>
          <w:tcPr>
            <w:tcW w:w="68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Direct debit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615,195</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0.5%</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670,435</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0.4%</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717,284</w:t>
            </w: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0.4%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7.0%</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Points of sale P.O.S.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13,251,916</w:t>
            </w:r>
          </w:p>
        </w:tc>
        <w:tc>
          <w:tcPr>
            <w:tcW w:w="2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16,986,238</w:t>
            </w:r>
          </w:p>
        </w:tc>
        <w:tc>
          <w:tcPr>
            <w:tcW w:w="22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17,205,460</w:t>
            </w:r>
          </w:p>
        </w:tc>
        <w:tc>
          <w:tcPr>
            <w:tcW w:w="220" w:type="dxa"/>
            <w:vAlign w:val="bottom"/>
          </w:tcPr>
          <w:p>
            <w:pPr>
              <w:spacing w:after="0"/>
              <w:rPr>
                <w:sz w:val="12"/>
                <w:szCs w:val="12"/>
                <w:color w:val="auto"/>
              </w:rPr>
            </w:pPr>
          </w:p>
        </w:tc>
        <w:tc>
          <w:tcPr>
            <w:tcW w:w="104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9.6%</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81"/>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2"/>
          </w:tcPr>
          <w:p>
            <w:pPr>
              <w:ind w:left="20"/>
              <w:spacing w:after="0"/>
              <w:rPr>
                <w:sz w:val="20"/>
                <w:szCs w:val="20"/>
                <w:color w:val="auto"/>
              </w:rPr>
            </w:pPr>
            <w:r>
              <w:rPr>
                <w:rFonts w:ascii="Arial" w:cs="Arial" w:eastAsia="Arial" w:hAnsi="Arial"/>
                <w:sz w:val="14"/>
                <w:szCs w:val="14"/>
                <w:color w:val="auto"/>
              </w:rPr>
              <w:t>Other ATMs network</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201,712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0.2%</w:t>
            </w:r>
          </w:p>
        </w:tc>
        <w:tc>
          <w:tcPr>
            <w:tcW w:w="1160" w:type="dxa"/>
            <w:vAlign w:val="bottom"/>
            <w:gridSpan w:val="3"/>
          </w:tcPr>
          <w:p>
            <w:pPr>
              <w:jc w:val="right"/>
              <w:ind w:right="220"/>
              <w:spacing w:after="0"/>
              <w:rPr>
                <w:sz w:val="20"/>
                <w:szCs w:val="20"/>
                <w:color w:val="auto"/>
              </w:rPr>
            </w:pPr>
            <w:r>
              <w:rPr>
                <w:rFonts w:ascii="Arial" w:cs="Arial" w:eastAsia="Arial" w:hAnsi="Arial"/>
                <w:sz w:val="14"/>
                <w:szCs w:val="14"/>
                <w:color w:val="auto"/>
              </w:rPr>
              <w:t>237,932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0.1%</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212,155</w:t>
            </w:r>
          </w:p>
        </w:tc>
        <w:tc>
          <w:tcPr>
            <w:tcW w:w="1040" w:type="dxa"/>
            <w:vAlign w:val="bottom"/>
            <w:gridSpan w:val="2"/>
          </w:tcPr>
          <w:p>
            <w:pPr>
              <w:jc w:val="right"/>
              <w:ind w:right="68"/>
              <w:spacing w:after="0"/>
              <w:rPr>
                <w:sz w:val="20"/>
                <w:szCs w:val="20"/>
                <w:color w:val="auto"/>
              </w:rPr>
            </w:pPr>
            <w:r>
              <w:rPr>
                <w:rFonts w:ascii="Arial" w:cs="Arial" w:eastAsia="Arial" w:hAnsi="Arial"/>
                <w:sz w:val="14"/>
                <w:szCs w:val="14"/>
                <w:color w:val="auto"/>
              </w:rPr>
              <w:t>0.1%</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-10.8%</w:t>
            </w:r>
          </w:p>
        </w:tc>
        <w:tc>
          <w:tcPr>
            <w:tcW w:w="22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2"/>
        </w:trPr>
        <w:tc>
          <w:tcPr>
            <w:tcW w:w="8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transactions</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131,701,397</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6"/>
              </w:rPr>
              <w:t>%</w:t>
            </w: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169,802,756</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4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w w:val="9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178,322,351</w:t>
            </w: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100.0</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b w:val="1"/>
                <w:bCs w:val="1"/>
                <w:color w:val="auto"/>
                <w:w w:val="9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24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9"/>
              </w:rPr>
              <w:t>%</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35.4</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Figures include monetary and non-monetary transactions.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monthly average of transactions increased both QoQ (+5.0%) and YoY (+35.4%). It is important to note the sustained increase in transactions through Mobile banking, which continued to notably increase its share of total transactions, reaching a level of 38.4% in 1Q19. This was in line with the strategy to migrate clients to digital channels due to lower costs. The share of Internet Banking Via BCP continued to fall, situating at 9.1%.</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YoY analysis, which excludes the seasonal effect, we see an increase in the monthly average of transactions, which was due primarily to the increase in volumes through the following channels:</w:t>
      </w:r>
    </w:p>
    <w:p>
      <w:pPr>
        <w:spacing w:after="0" w:line="170" w:lineRule="exact"/>
        <w:rPr>
          <w:sz w:val="20"/>
          <w:szCs w:val="20"/>
          <w:color w:val="auto"/>
        </w:rPr>
      </w:pPr>
    </w:p>
    <w:p>
      <w:pPr>
        <w:jc w:val="both"/>
        <w:ind w:left="880" w:hanging="494"/>
        <w:spacing w:after="0" w:line="259"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Mobile Banking (+92.5% YoY), which continued to increase its share of total transactions through the mobile applications “Banca Móvil BCP” and “Tus Beneficios BCP”, specifically due to growth in the number of digital token users, who are now able to conduct more transactions safely and quickly in digital channels. Additionally, different initiatives were held in Retail Banking, such as campaigns in social networks, digital directories and direct downloads of the application through Internet Banking Via BCP.</w:t>
      </w:r>
    </w:p>
    <w:p>
      <w:pPr>
        <w:spacing w:after="0" w:line="186" w:lineRule="exact"/>
        <w:rPr>
          <w:rFonts w:ascii="Arial" w:cs="Arial" w:eastAsia="Arial" w:hAnsi="Arial"/>
          <w:sz w:val="18"/>
          <w:szCs w:val="18"/>
          <w:color w:val="auto"/>
        </w:rPr>
      </w:pPr>
    </w:p>
    <w:p>
      <w:pPr>
        <w:jc w:val="both"/>
        <w:ind w:left="880" w:hanging="494"/>
        <w:spacing w:after="0" w:line="259"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Agentes BCP (+29.5% YoY), mainly attributable to the transactional growth of withdrawals and deposits, in line with the increase in account openings, and to a lesser extent, in the payment of services, due to the new option of collections of the RENIEC. Likewise, a large part of the growth in transactions is explained by the increase of Agentes BCP points (+568 YoY) and by growth in their market demand. Additionally, to the continuous increase of download, consultation and issuance of drafts.</w:t>
      </w:r>
    </w:p>
    <w:p>
      <w:pPr>
        <w:spacing w:after="0" w:line="186" w:lineRule="exact"/>
        <w:rPr>
          <w:rFonts w:ascii="Arial" w:cs="Arial" w:eastAsia="Arial" w:hAnsi="Arial"/>
          <w:sz w:val="18"/>
          <w:szCs w:val="18"/>
          <w:color w:val="auto"/>
        </w:rPr>
      </w:pPr>
    </w:p>
    <w:p>
      <w:pPr>
        <w:ind w:left="880" w:hanging="49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Points of Sale P.O.S (+29.8% YoY), where growth was due primarily to an increase in VISANET’s penetration.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channels that posted a YoY decrease were: (i) Tellers (-1.9%), due to an increase in the use of Agentes BCP and ATMs, and (ii) Internet Banking ViaBCP (-2.0%), which was associated with an increase in the use of Mobile Banking, which offers similar solutions to those available in Internet Banking and which captured more clients due to the Digital Token campaign. It is important to note that the drop in both channels was driven by non-monetary transactions.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important to note that future growth in banking in the region will be focused mainly in digital channels; as such, Credicorp will continue to increase its strategic position in these cost-effective venues. This is in line with Credicorp’s Transformation Strategy and is the driving force behind the fact that Mobile Banking posted the highest growth in the total transactions volume.</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9.1.4 Points of Contact – BCP Bolivia</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43"/>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 18</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 18</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19</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10"/>
        </w:trPr>
        <w:tc>
          <w:tcPr>
            <w:tcW w:w="1160" w:type="dxa"/>
            <w:vAlign w:val="bottom"/>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Branches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ATMs</w:t>
            </w:r>
          </w:p>
        </w:tc>
        <w:tc>
          <w:tcPr>
            <w:tcW w:w="100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Agentes BCP Bolivia</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2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b w:val="1"/>
                <w:bCs w:val="1"/>
                <w:color w:val="auto"/>
              </w:rPr>
              <w:t>Total Bolivia's Network</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2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points of contact at BCP Bolivia remained stable QoQ in 1Q19. This was attributable to the drop in Agentes BCP Bolivia (-6 QoQ) after clean-up was conducted in 1Q to eliminate Agentes that posted poor results in 2018 and to an increase in ATMs (+6 QoQ). In 2019, BCP Bolivia’s strategy is to grow its Agentes by 450 by year-end.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BCP Bolivia increased its points of contact (+140 YoY), primarily through an increase in Agentes.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9.2 Microfinance</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9.2.1 Points of Contact – Mibanco</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1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of</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20" w:type="dxa"/>
            <w:vAlign w:val="bottom"/>
            <w:gridSpan w:val="4"/>
          </w:tcPr>
          <w:p>
            <w:pPr>
              <w:ind w:left="520"/>
              <w:spacing w:after="0"/>
              <w:rPr>
                <w:sz w:val="20"/>
                <w:szCs w:val="20"/>
                <w:color w:val="auto"/>
              </w:rPr>
            </w:pPr>
            <w:r>
              <w:rPr>
                <w:rFonts w:ascii="Arial" w:cs="Arial" w:eastAsia="Arial" w:hAnsi="Arial"/>
                <w:sz w:val="18"/>
                <w:szCs w:val="18"/>
                <w:b w:val="1"/>
                <w:bCs w:val="1"/>
                <w:color w:val="auto"/>
              </w:rPr>
              <w:t>change (units)</w:t>
            </w:r>
          </w:p>
        </w:tc>
      </w:tr>
      <w:tr>
        <w:trPr>
          <w:trHeight w:val="234"/>
        </w:trPr>
        <w:tc>
          <w:tcPr>
            <w:tcW w:w="11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 18</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 18</w:t>
            </w:r>
          </w:p>
        </w:tc>
        <w:tc>
          <w:tcPr>
            <w:tcW w:w="120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 19</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QoQ</w:t>
            </w:r>
          </w:p>
        </w:tc>
        <w:tc>
          <w:tcPr>
            <w:tcW w:w="1060" w:type="dxa"/>
            <w:vAlign w:val="bottom"/>
            <w:gridSpan w:val="2"/>
          </w:tcPr>
          <w:p>
            <w:pPr>
              <w:ind w:left="320"/>
              <w:spacing w:after="0"/>
              <w:rPr>
                <w:sz w:val="20"/>
                <w:szCs w:val="20"/>
                <w:color w:val="auto"/>
              </w:rPr>
            </w:pPr>
            <w:r>
              <w:rPr>
                <w:rFonts w:ascii="Arial" w:cs="Arial" w:eastAsia="Arial" w:hAnsi="Arial"/>
                <w:sz w:val="18"/>
                <w:szCs w:val="18"/>
                <w:b w:val="1"/>
                <w:bCs w:val="1"/>
                <w:color w:val="auto"/>
              </w:rPr>
              <w:t>YoY</w:t>
            </w:r>
          </w:p>
        </w:tc>
      </w:tr>
      <w:tr>
        <w:trPr>
          <w:trHeight w:val="250"/>
        </w:trPr>
        <w:tc>
          <w:tcPr>
            <w:tcW w:w="1160" w:type="dxa"/>
            <w:vAlign w:val="bottom"/>
          </w:tcPr>
          <w:p>
            <w:pPr>
              <w:spacing w:after="0"/>
              <w:rPr>
                <w:sz w:val="21"/>
                <w:szCs w:val="21"/>
                <w:color w:val="auto"/>
              </w:rPr>
            </w:pPr>
          </w:p>
        </w:tc>
        <w:tc>
          <w:tcPr>
            <w:tcW w:w="3300" w:type="dxa"/>
            <w:vAlign w:val="bottom"/>
            <w:tcBorders>
              <w:top w:val="single" w:sz="8" w:color="CCEEFF"/>
            </w:tcBorders>
            <w:shd w:val="clear" w:color="auto" w:fill="CCEEFF"/>
          </w:tcPr>
          <w:p>
            <w:pPr>
              <w:ind w:left="20"/>
              <w:spacing w:after="0" w:line="251" w:lineRule="exact"/>
              <w:rPr>
                <w:sz w:val="20"/>
                <w:szCs w:val="20"/>
                <w:color w:val="auto"/>
              </w:rPr>
            </w:pPr>
            <w:r>
              <w:rPr>
                <w:rFonts w:ascii="Arial" w:cs="Arial" w:eastAsia="Arial" w:hAnsi="Arial"/>
                <w:sz w:val="18"/>
                <w:szCs w:val="18"/>
                <w:b w:val="1"/>
                <w:bCs w:val="1"/>
                <w:color w:val="auto"/>
              </w:rPr>
              <w:t xml:space="preserve">Total Mibanco's Network </w:t>
            </w:r>
            <w:r>
              <w:rPr>
                <w:rFonts w:ascii="Arial" w:cs="Arial" w:eastAsia="Arial" w:hAnsi="Arial"/>
                <w:sz w:val="29"/>
                <w:szCs w:val="29"/>
                <w:color w:val="auto"/>
                <w:vertAlign w:val="superscript"/>
              </w:rPr>
              <w:t>(1)</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w:t>
            </w:r>
          </w:p>
        </w:tc>
        <w:tc>
          <w:tcPr>
            <w:tcW w:w="2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2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20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firstLine="8"/>
        <w:spacing w:after="0" w:line="277" w:lineRule="auto"/>
        <w:tabs>
          <w:tab w:leader="none" w:pos="267" w:val="left"/>
        </w:tabs>
        <w:numPr>
          <w:ilvl w:val="0"/>
          <w:numId w:val="83"/>
        </w:numPr>
        <w:rPr>
          <w:rFonts w:ascii="Arial" w:cs="Arial" w:eastAsia="Arial" w:hAnsi="Arial"/>
          <w:sz w:val="18"/>
          <w:szCs w:val="18"/>
          <w:color w:val="auto"/>
        </w:rPr>
      </w:pPr>
      <w:r>
        <w:rPr>
          <w:rFonts w:ascii="Arial" w:cs="Arial" w:eastAsia="Arial" w:hAnsi="Arial"/>
          <w:sz w:val="18"/>
          <w:szCs w:val="18"/>
          <w:color w:val="auto"/>
        </w:rPr>
        <w:t>Mibanco does not have Agentes or ATMs because it uses the BCP network. Mibanco branches include Banco de la Nacion branches, which in Dec 17, Sep 18 and Dec 18 were 38, 37 and 35 respectively.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Mibanco registered a decrease in its number of branches (-2) QoQ and (-1) YoY, attributable to the reduction of Banco de la Nacion branches. It is important to note that Mibanco has an agreement with the Banco de la Nacion to use its branches around the country to reduce costs. At the end of 1Q19, these branches represented 11% (35 branches) of the total of 324 branches.</w:t>
      </w:r>
    </w:p>
    <w:p>
      <w:pPr>
        <w:spacing w:after="0" w:line="2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600" w:type="dxa"/>
            <w:vAlign w:val="bottom"/>
            <w:gridSpan w:val="2"/>
          </w:tcPr>
          <w:p>
            <w:pPr>
              <w:ind w:left="140"/>
              <w:spacing w:after="0"/>
              <w:rPr>
                <w:sz w:val="20"/>
                <w:szCs w:val="20"/>
                <w:color w:val="auto"/>
              </w:rPr>
            </w:pPr>
            <w:r>
              <w:rPr>
                <w:rFonts w:ascii="Arial" w:cs="Arial" w:eastAsia="Arial" w:hAnsi="Arial"/>
                <w:sz w:val="18"/>
                <w:szCs w:val="18"/>
                <w:b w:val="1"/>
                <w:bCs w:val="1"/>
                <w:color w:val="auto"/>
              </w:rPr>
              <w:t>Economic Perspectives</w:t>
            </w: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10.1. Peru Economic Forecasts</w:t>
            </w: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0" w:type="dxa"/>
            <w:vAlign w:val="bottom"/>
          </w:tcPr>
          <w:p>
            <w:pPr>
              <w:spacing w:after="0"/>
              <w:rPr>
                <w:sz w:val="24"/>
                <w:szCs w:val="24"/>
                <w:color w:val="auto"/>
              </w:rPr>
            </w:pPr>
          </w:p>
        </w:tc>
        <w:tc>
          <w:tcPr>
            <w:tcW w:w="3600" w:type="dxa"/>
            <w:vAlign w:val="bottom"/>
            <w:gridSpan w:val="2"/>
          </w:tcPr>
          <w:p>
            <w:pPr>
              <w:ind w:left="1360"/>
              <w:spacing w:after="0"/>
              <w:rPr>
                <w:sz w:val="20"/>
                <w:szCs w:val="20"/>
                <w:color w:val="auto"/>
              </w:rPr>
            </w:pPr>
            <w:r>
              <w:rPr>
                <w:rFonts w:ascii="Arial" w:cs="Arial" w:eastAsia="Arial" w:hAnsi="Arial"/>
                <w:sz w:val="18"/>
                <w:szCs w:val="18"/>
                <w:b w:val="1"/>
                <w:bCs w:val="1"/>
                <w:color w:val="auto"/>
              </w:rPr>
              <w:t>Peru</w:t>
            </w: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4"/>
                <w:szCs w:val="24"/>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24"/>
                <w:szCs w:val="24"/>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30"/>
                <w:szCs w:val="30"/>
                <w:b w:val="1"/>
                <w:bCs w:val="1"/>
                <w:color w:val="auto"/>
                <w:vertAlign w:val="superscript"/>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191,517</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194,745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214,332</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225,259</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Real GDP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GDP per capita (US$)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6,182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6,740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6,996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7,071</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Domestic demand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consumption (% change)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Private Consumption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fixed investment (as % GDP)</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Private Investment (% change)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4.4</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Public Investment (% change)</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Public Debt (as % GDP)</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CCEEFF"/>
          </w:tcPr>
          <w:p>
            <w:pPr>
              <w:spacing w:after="0" w:line="269" w:lineRule="exact"/>
              <w:rPr>
                <w:sz w:val="20"/>
                <w:szCs w:val="20"/>
                <w:color w:val="auto"/>
              </w:rPr>
            </w:pPr>
            <w:r>
              <w:rPr>
                <w:rFonts w:ascii="Arial" w:cs="Arial" w:eastAsia="Arial" w:hAnsi="Arial"/>
                <w:sz w:val="18"/>
                <w:szCs w:val="18"/>
                <w:color w:val="auto"/>
              </w:rPr>
              <w:t xml:space="preserve">System loan growth (% change) </w:t>
            </w:r>
            <w:r>
              <w:rPr>
                <w:rFonts w:ascii="Arial" w:cs="Arial" w:eastAsia="Arial" w:hAnsi="Arial"/>
                <w:sz w:val="30"/>
                <w:szCs w:val="30"/>
                <w:color w:val="auto"/>
                <w:vertAlign w:val="superscript"/>
              </w:rPr>
              <w:t>(1)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gridSpan w:val="3"/>
            <w:vMerge w:val="restart"/>
          </w:tcPr>
          <w:p>
            <w:pPr>
              <w:spacing w:after="0" w:line="269" w:lineRule="exact"/>
              <w:rPr>
                <w:sz w:val="20"/>
                <w:szCs w:val="20"/>
                <w:color w:val="auto"/>
              </w:rPr>
            </w:pPr>
            <w:r>
              <w:rPr>
                <w:rFonts w:ascii="Arial" w:cs="Arial" w:eastAsia="Arial" w:hAnsi="Arial"/>
                <w:sz w:val="18"/>
                <w:szCs w:val="18"/>
                <w:color w:val="auto"/>
              </w:rPr>
              <w:t xml:space="preserve">Inflation </w:t>
            </w:r>
            <w:r>
              <w:rPr>
                <w:rFonts w:ascii="Arial" w:cs="Arial" w:eastAsia="Arial" w:hAnsi="Arial"/>
                <w:sz w:val="30"/>
                <w:szCs w:val="30"/>
                <w:color w:val="auto"/>
                <w:vertAlign w:val="superscript"/>
              </w:rPr>
              <w:t>(2)</w:t>
            </w: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gridSpan w:val="3"/>
            <w:vMerge w:val="continue"/>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21"/>
                <w:szCs w:val="21"/>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Reference Rate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3"/>
          </w:tcPr>
          <w:p>
            <w:pPr>
              <w:spacing w:after="0"/>
              <w:rPr>
                <w:sz w:val="20"/>
                <w:szCs w:val="20"/>
                <w:color w:val="auto"/>
              </w:rPr>
            </w:pPr>
            <w:r>
              <w:rPr>
                <w:rFonts w:ascii="Arial" w:cs="Arial" w:eastAsia="Arial" w:hAnsi="Arial"/>
                <w:sz w:val="18"/>
                <w:szCs w:val="18"/>
                <w:color w:val="auto"/>
              </w:rPr>
              <w:t>Exchange rate, end of period</w:t>
            </w:r>
          </w:p>
        </w:tc>
        <w:tc>
          <w:tcPr>
            <w:tcW w:w="1240" w:type="dxa"/>
            <w:vAlign w:val="bottom"/>
          </w:tcPr>
          <w:p>
            <w:pPr>
              <w:jc w:val="right"/>
              <w:spacing w:after="0"/>
              <w:rPr>
                <w:sz w:val="20"/>
                <w:szCs w:val="20"/>
                <w:color w:val="auto"/>
              </w:rPr>
            </w:pPr>
            <w:r>
              <w:rPr>
                <w:rFonts w:ascii="Arial" w:cs="Arial" w:eastAsia="Arial" w:hAnsi="Arial"/>
                <w:sz w:val="18"/>
                <w:szCs w:val="18"/>
                <w:color w:val="auto"/>
              </w:rPr>
              <w:t>3.41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3.35-3.40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Exchange rate, (% change)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Fiscal balance (% GDP)</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balance (US$ Millions)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Exports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34,414</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37,082</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45,275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48,942</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Imports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37,331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35,128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38,704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41,893</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account balance (US$ Millions)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-5,303</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international reserves (US$ Millions)</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61,485</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61,686</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63,621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60,121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64,500</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8"/>
                <w:szCs w:val="18"/>
                <w:color w:val="auto"/>
              </w:rPr>
              <w:t>(As % GDP)</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31.7%</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26.7%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months of imports)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Source: INEI, BCRP, and SBS.</w:t>
      </w:r>
    </w:p>
    <w:p>
      <w:pPr>
        <w:spacing w:after="0" w:line="9"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Financial System, Current Exchange Rate.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Inflation target: 1% - 3%.</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Estimates by BCP Economic Research as of April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10.2. Main Economic Variables</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 xml:space="preserve">Economic Activity – GDP </w:t>
      </w:r>
      <w:r>
        <w:rPr>
          <w:rFonts w:ascii="Arial" w:cs="Arial" w:eastAsia="Arial" w:hAnsi="Arial"/>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154940</wp:posOffset>
            </wp:positionV>
            <wp:extent cx="4511040" cy="14319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1104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Source: INEI</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7"/>
          <w:szCs w:val="17"/>
          <w:color w:val="auto"/>
        </w:rPr>
        <w:t>In 4Q18 GDP expanded around 4.8% YoY (3T18: 2.4%). The acceleration in the last quarter growth corresponds to the second anchovy fishing season (there was none in 4Q17) and the recovery of public investment of the general government (4Q18: 19% YoY). Both factors explain approximately half of GDP expansion during 4Q18. All in all, the economy grew 4.0% in 2018, reaching one of the highest growth rates within the region.</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1Q19 estimated GDP growth stood around 2.3% YoY. The deceleration of the growth responds to: (i) a contraction of primary sectors, mainly the mining, fishing and primary resource manufacturing, (ii) a contraction of public investment of the general government of 7.4% YoY in real terms (Local governments fell 23.6% YoY), and (iii) to a lesser extent, a deceleration of the sectors associated with consume (commerce and services) compared to 4Q18. Thus, non-primary GDP decelerated from 4.8% YoY in 4Q18 to 3.3% YoY in 1Q19.</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154940</wp:posOffset>
            </wp:positionV>
            <wp:extent cx="4227830" cy="17583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2783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Source: INEI, BCRP</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Interannual inflation closed in 1Q19 at 2.3% YoY (2018: 2.2%), and remain within the target range of the Central Bank (1%-3%) for fifth consecutive month. In parallel, core inflation (which excludes foods and energy) also accelerated, reaching 2.6% YoY (2018: 2.2%), its highest level in approximately year and a half.</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1Q19 the Central Bank held its policy rate unchanged at 2.75% (it maintains the same level since 1Q18). The institution took into account that the non-primary economic activity continues to show signals of higher dynamism, although production remains below its potential. Hence, the Board of the Central Bank considered appropriate to maintain the expansive monetary policy stance amid anchored inflation expectations and economic activity below its potential.</w:t>
      </w:r>
    </w:p>
    <w:p>
      <w:pPr>
        <w:spacing w:after="0" w:line="18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 xml:space="preserve">Fiscal Result and Current Account Balance </w:t>
      </w:r>
      <w:r>
        <w:rPr>
          <w:rFonts w:ascii="Arial" w:cs="Arial" w:eastAsia="Arial" w:hAnsi="Arial"/>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154940</wp:posOffset>
            </wp:positionV>
            <wp:extent cx="4030345" cy="19812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03034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Source: BCRP</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*BCP estimates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0" w:name="page51"/>
    <w:bookmarkEnd w:id="50"/>
    <w:p>
      <w:pPr>
        <w:jc w:val="both"/>
        <w:spacing w:after="0" w:line="302" w:lineRule="auto"/>
        <w:rPr>
          <w:sz w:val="20"/>
          <w:szCs w:val="20"/>
          <w:color w:val="auto"/>
        </w:rPr>
      </w:pPr>
      <w:r>
        <w:rPr>
          <w:rFonts w:ascii="Arial" w:cs="Arial" w:eastAsia="Arial" w:hAnsi="Arial"/>
          <w:sz w:val="16"/>
          <w:szCs w:val="16"/>
          <w:color w:val="auto"/>
        </w:rPr>
        <w:t>The annualized fiscal deficit in 1Q19 represented 1.9% of GDP (2018: 2.5%), the lowest level since late 2015. The narrowing fiscal deficit is explained due to: (i) higher fiscal revenues (from 19.3% of the GDP in 2018 to 19.6% in 1Q19), and (ii) a decrease in non-financial (from 20.4% of the GDP in 2018 to 20.1% in 1Q19). Regarding revenues, is noticeable an increase of 5.4% YoY advance in VAT revenues (in real terms). In contrasts, public investment of the general government contracted 7.4% YoY in real terms (Local governments fell 23.6% YoY mostly in response to changes in local and regional authorities).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annualized terms up to Feb-19, the accumulated trade balance registers a surplus of US$ 6,588 million. In this period, exports stood at US$ 48.6 billion, an increase of 5.4% YoY (traditional goods: +3.5%, non-traditional goods: +10.4%). It is important to highlight that, in the same period, copper exports reached US$ 15.7 billion and increased 3.0% YoY. Regarding imports, in annualized terms to feb-19, they reached US$ 42.0 billion and expanded 6.7% YoY (consumer goods: +1.3%, raw materials: +12.6%, capital goods: +2.5%). Finally, in 1Q19 the terms of trade contracted 7.1% YoY, the third consecutive quarter ground</w:t>
      </w:r>
    </w:p>
    <w:p>
      <w:pPr>
        <w:spacing w:after="0" w:line="184"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 xml:space="preserve">Exchange rate </w:t>
      </w:r>
      <w:r>
        <w:rPr>
          <w:rFonts w:ascii="Arial" w:cs="Arial" w:eastAsia="Arial" w:hAnsi="Arial"/>
          <w:sz w:val="18"/>
          <w:szCs w:val="18"/>
          <w:color w:val="auto"/>
        </w:rPr>
        <w:t>(S/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154940</wp:posOffset>
            </wp:positionV>
            <wp:extent cx="3413125" cy="21094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131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Source: SBS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1Q19 the exchange rate closed at 3.318 Soles per US Dollar, by which the Peruvian Sol appreciated 1.6%, compared to end-2018 (3.373 Soles per US Dollar). In the first quarter of the year most of the region currencies were benefit by a context of: (i) The expectations of the US Federal Reserve adopting a more dovish stance (lower conviction about increased its monetary policy rate), and (ii) an improvement in the tone of trade negotiations between USA and China. It is important to highlight that at the closure of 1Q19 the average copper price increase 9.0% compared to end-2018.</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1Q19 almost all currencies of the region appreciated. With exception of the Brazilian Real (-1.0%), the Chilean Peso (2.1%), Colombian Peso (2.0%), Mexican peso (1.1%) and Peruvian Sol (1.6%) appreciated. In parallel, during 1Q19 the Central Bank made interventions in the FX market through US$ purchases for 385 million. These purchases were particularly made in Mar-19, in a context of Sol appreciation after the US Federal Reserve meeting and its dovish messages.</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5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Safe Harbor for Forward-Looking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52" w:name="page53"/>
    <w:bookmarkEnd w:id="52"/>
    <w:p>
      <w:pPr>
        <w:spacing w:after="0" w:line="62" w:lineRule="exact"/>
        <w:rPr>
          <w:sz w:val="20"/>
          <w:szCs w:val="20"/>
          <w:color w:val="auto"/>
        </w:rPr>
      </w:pPr>
    </w:p>
    <w:p>
      <w:pPr>
        <w:ind w:left="520" w:hanging="512"/>
        <w:spacing w:after="0"/>
        <w:tabs>
          <w:tab w:leader="none" w:pos="52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Appendix</w:t>
      </w:r>
    </w:p>
    <w:p>
      <w:pPr>
        <w:spacing w:after="0" w:line="225" w:lineRule="exact"/>
        <w:rPr>
          <w:rFonts w:ascii="Arial" w:cs="Arial" w:eastAsia="Arial" w:hAnsi="Arial"/>
          <w:sz w:val="18"/>
          <w:szCs w:val="18"/>
          <w:b w:val="1"/>
          <w:bCs w:val="1"/>
          <w:color w:val="auto"/>
        </w:rPr>
      </w:pPr>
    </w:p>
    <w:p>
      <w:pPr>
        <w:ind w:left="400" w:hanging="392"/>
        <w:spacing w:after="0"/>
        <w:tabs>
          <w:tab w:leader="none" w:pos="40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Credicorp</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ind w:left="780"/>
              <w:spacing w:after="0"/>
              <w:rPr>
                <w:sz w:val="20"/>
                <w:szCs w:val="20"/>
                <w:color w:val="auto"/>
              </w:rPr>
            </w:pPr>
            <w:r>
              <w:rPr>
                <w:rFonts w:ascii="Arial" w:cs="Arial" w:eastAsia="Arial" w:hAnsi="Arial"/>
                <w:sz w:val="18"/>
                <w:szCs w:val="18"/>
                <w:b w:val="1"/>
                <w:bCs w:val="1"/>
                <w:color w:val="auto"/>
              </w:rPr>
              <w:t>% change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Mar 18</w:t>
            </w:r>
          </w:p>
        </w:tc>
        <w:tc>
          <w:tcPr>
            <w:tcW w:w="20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Dec 18</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Mar 19</w:t>
            </w:r>
          </w:p>
        </w:tc>
        <w:tc>
          <w:tcPr>
            <w:tcW w:w="1660" w:type="dxa"/>
            <w:vAlign w:val="bottom"/>
            <w:gridSpan w:val="3"/>
          </w:tcPr>
          <w:p>
            <w:pPr>
              <w:ind w:left="320"/>
              <w:spacing w:after="0"/>
              <w:rPr>
                <w:sz w:val="20"/>
                <w:szCs w:val="20"/>
                <w:color w:val="auto"/>
              </w:rPr>
            </w:pPr>
            <w:r>
              <w:rPr>
                <w:rFonts w:ascii="Arial" w:cs="Arial" w:eastAsia="Arial" w:hAnsi="Arial"/>
                <w:sz w:val="18"/>
                <w:szCs w:val="18"/>
                <w:b w:val="1"/>
                <w:bCs w:val="1"/>
                <w:color w:val="auto"/>
              </w:rPr>
              <w:t>QoQ</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tcPr>
          <w:p>
            <w:pPr>
              <w:spacing w:after="0" w:line="256" w:lineRule="exact"/>
              <w:rPr>
                <w:sz w:val="20"/>
                <w:szCs w:val="20"/>
                <w:color w:val="auto"/>
              </w:rPr>
            </w:pPr>
            <w:r>
              <w:rPr>
                <w:rFonts w:ascii="Arial" w:cs="Arial" w:eastAsia="Arial" w:hAnsi="Arial"/>
                <w:sz w:val="18"/>
                <w:szCs w:val="18"/>
                <w:b w:val="1"/>
                <w:bCs w:val="1"/>
                <w:color w:val="auto"/>
              </w:rPr>
              <w:t xml:space="preserve">Cash and due from banks </w:t>
            </w:r>
            <w:r>
              <w:rPr>
                <w:rFonts w:ascii="Arial" w:cs="Arial" w:eastAsia="Arial" w:hAnsi="Arial"/>
                <w:sz w:val="29"/>
                <w:szCs w:val="29"/>
                <w:b w:val="1"/>
                <w:bCs w:val="1"/>
                <w:color w:val="auto"/>
                <w:vertAlign w:val="superscript"/>
              </w:rPr>
              <w:t>(1)</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6,003,164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7,435,807</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7,015,680</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15,381,534</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14,732,709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15,104,170</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jc w:val="right"/>
              <w:ind w:right="1770"/>
              <w:spacing w:after="0"/>
              <w:rPr>
                <w:sz w:val="20"/>
                <w:szCs w:val="20"/>
                <w:color w:val="auto"/>
              </w:rPr>
            </w:pPr>
            <w:r>
              <w:rPr>
                <w:rFonts w:ascii="Arial" w:cs="Arial" w:eastAsia="Arial" w:hAnsi="Arial"/>
                <w:sz w:val="18"/>
                <w:szCs w:val="18"/>
                <w:b w:val="1"/>
                <w:bCs w:val="1"/>
                <w:color w:val="auto"/>
              </w:rPr>
              <w:t>Total cash and due from banks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21,384,698</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22,168,516</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22,119,850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collateral, reverse repurchase agreements and securities</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borrowing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7,117,632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4,082,942</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4,026,447</w:t>
            </w:r>
          </w:p>
        </w:tc>
        <w:tc>
          <w:tcPr>
            <w:tcW w:w="3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7,921,749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3,512,445</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4,136,148</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700" w:type="dxa"/>
            <w:vAlign w:val="bottom"/>
          </w:tcPr>
          <w:p>
            <w:pPr>
              <w:spacing w:after="0" w:line="206" w:lineRule="exact"/>
              <w:rPr>
                <w:sz w:val="20"/>
                <w:szCs w:val="20"/>
                <w:color w:val="auto"/>
              </w:rPr>
            </w:pPr>
            <w:r>
              <w:rPr>
                <w:rFonts w:ascii="Arial" w:cs="Arial" w:eastAsia="Arial" w:hAnsi="Arial"/>
                <w:sz w:val="18"/>
                <w:szCs w:val="18"/>
                <w:color w:val="auto"/>
                <w:w w:val="97"/>
              </w:rPr>
              <w:t>Fair value through other comprehensive income investments</w:t>
            </w: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22,673,306</w:t>
            </w: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25,195,835</w:t>
            </w: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27,184,560</w:t>
            </w:r>
          </w:p>
        </w:tc>
        <w:tc>
          <w:tcPr>
            <w:tcW w:w="14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7"/>
                <w:szCs w:val="17"/>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3"/>
        </w:trPr>
        <w:tc>
          <w:tcPr>
            <w:tcW w:w="4720" w:type="dxa"/>
            <w:vAlign w:val="bottom"/>
            <w:gridSpan w:val="2"/>
          </w:tcPr>
          <w:p>
            <w:pPr>
              <w:spacing w:after="0"/>
              <w:rPr>
                <w:sz w:val="20"/>
                <w:szCs w:val="20"/>
                <w:color w:val="auto"/>
              </w:rPr>
            </w:pPr>
            <w:r>
              <w:rPr>
                <w:rFonts w:ascii="Arial" w:cs="Arial" w:eastAsia="Arial" w:hAnsi="Arial"/>
                <w:sz w:val="15"/>
                <w:szCs w:val="15"/>
                <w:color w:val="auto"/>
              </w:rPr>
              <w:t>(2)</w:t>
            </w:r>
          </w:p>
        </w:tc>
        <w:tc>
          <w:tcPr>
            <w:tcW w:w="116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4,077,491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4,154,838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3,639,821</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100,570,511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110,759,390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108,350,384</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97,575,294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107,642,312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105,197,197</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2,995,217</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3,117,078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3,153,187</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(4,805,105)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(4,952,392)</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(4,862,801)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Loans, net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95,765,406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105,806,998</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103,487,583</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5"/>
              </w:rPr>
              <w:t>Financial assets designated at fair value through profit or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533,797</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521,185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576,618</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674,320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842,043</w:t>
            </w:r>
          </w:p>
        </w:tc>
        <w:tc>
          <w:tcPr>
            <w:tcW w:w="1020" w:type="dxa"/>
            <w:vAlign w:val="bottom"/>
          </w:tcPr>
          <w:p>
            <w:pPr>
              <w:jc w:val="right"/>
              <w:spacing w:after="0"/>
              <w:rPr>
                <w:sz w:val="20"/>
                <w:szCs w:val="20"/>
                <w:color w:val="auto"/>
              </w:rPr>
            </w:pPr>
            <w:r>
              <w:rPr>
                <w:rFonts w:ascii="Arial" w:cs="Arial" w:eastAsia="Arial" w:hAnsi="Arial"/>
                <w:sz w:val="18"/>
                <w:szCs w:val="18"/>
                <w:color w:val="auto"/>
              </w:rPr>
              <w:t>805,009</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Premiums and other policyholder receivables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707,241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887,273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845,702</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1,471,886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1,480,702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2,953,039</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Due from customers on acceptances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721,061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967,968</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611,142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Investments in associates </w:t>
            </w:r>
            <w:r>
              <w:rPr>
                <w:rFonts w:ascii="Arial" w:cs="Arial" w:eastAsia="Arial" w:hAnsi="Arial"/>
                <w:sz w:val="29"/>
                <w:szCs w:val="29"/>
                <w:color w:val="auto"/>
                <w:vertAlign w:val="superscript"/>
              </w:rPr>
              <w:t>(3)</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561,585</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582,132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574,283</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Intangible assets and goodwill, net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1,972,467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2,055,702</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2,050,664</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(4)</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4,926,683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5,004,622</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5,218,166</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780"/>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9"/>
              </w:rPr>
              <w:t>170,509,322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177,263,201</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178,229,032</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Deposits and obligations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30,566,751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32,249,606</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31,381,836</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67,626,354</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72,301,705</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72,345,421</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deposits and obligations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98,193,105</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104,551,311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103,727,257</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5"/>
              </w:rPr>
              <w:t>Payables from repurchase agreements and securities lending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11,596,785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9,415,356</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8,806,221</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BCRP instruments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6,647,658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5,226,870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4,984,192</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Repurchase agreements </w:t>
            </w:r>
            <w:r>
              <w:rPr>
                <w:rFonts w:ascii="Arial" w:cs="Arial" w:eastAsia="Arial" w:hAnsi="Arial"/>
                <w:sz w:val="29"/>
                <w:szCs w:val="29"/>
                <w:color w:val="auto"/>
                <w:vertAlign w:val="superscript"/>
              </w:rPr>
              <w:t>(5)</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2,714,459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2,638,231</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2,324,385</w:t>
            </w:r>
          </w:p>
        </w:tc>
        <w:tc>
          <w:tcPr>
            <w:tcW w:w="3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Repurchase agreements with customers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2,234,668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1,550,255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1,497,644</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7,824,148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8,448,139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7,219,120</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15,318,649</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15,457,540</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15,472,882</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Banker’s acceptances outstanding</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721,061</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967,968</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611,142</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Reserves for property and casualty claims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1,202,608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1,366,670</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1,465,338</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Reserve for unearned premiums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6,393,957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7,086,002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7,238,393</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Accounts payable to reinsurers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223,048</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291,693</w:t>
            </w:r>
          </w:p>
        </w:tc>
        <w:tc>
          <w:tcPr>
            <w:tcW w:w="1020" w:type="dxa"/>
            <w:vAlign w:val="bottom"/>
          </w:tcPr>
          <w:p>
            <w:pPr>
              <w:jc w:val="right"/>
              <w:spacing w:after="0"/>
              <w:rPr>
                <w:sz w:val="20"/>
                <w:szCs w:val="20"/>
                <w:color w:val="auto"/>
              </w:rPr>
            </w:pPr>
            <w:r>
              <w:rPr>
                <w:rFonts w:ascii="Arial" w:cs="Arial" w:eastAsia="Arial" w:hAnsi="Arial"/>
                <w:sz w:val="18"/>
                <w:szCs w:val="18"/>
                <w:color w:val="auto"/>
              </w:rPr>
              <w:t>280,663</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at fair value through profit or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376,934</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362,310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517,255</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liabilities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6,872,354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5,050,136</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8,782,774</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jc w:val="right"/>
              <w:ind w:right="1770"/>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148,722,649</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152,997,125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154,121,045</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21,312,210</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23,839,243</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23,692,091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stock</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1,318,993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1,318,993</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stock</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(210,310)</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(207,994)</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(207,897)</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Capital surplus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199,996</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246,194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222,349</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Reserves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17,578,906</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17,598,556</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19,408,876</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1,145,570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708,453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1,128,884</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Retained earnings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1,279,055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4,175,041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1,820,886</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474,463</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426,833</w:t>
            </w:r>
          </w:p>
        </w:tc>
        <w:tc>
          <w:tcPr>
            <w:tcW w:w="1020" w:type="dxa"/>
            <w:vAlign w:val="bottom"/>
          </w:tcPr>
          <w:p>
            <w:pPr>
              <w:jc w:val="right"/>
              <w:spacing w:after="0"/>
              <w:rPr>
                <w:sz w:val="20"/>
                <w:szCs w:val="20"/>
                <w:color w:val="auto"/>
              </w:rPr>
            </w:pPr>
            <w:r>
              <w:rPr>
                <w:rFonts w:ascii="Arial" w:cs="Arial" w:eastAsia="Arial" w:hAnsi="Arial"/>
                <w:sz w:val="18"/>
                <w:szCs w:val="18"/>
                <w:color w:val="auto"/>
              </w:rPr>
              <w:t>415,896</w:t>
            </w:r>
          </w:p>
        </w:tc>
        <w:tc>
          <w:tcPr>
            <w:tcW w:w="3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7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796" w:right="23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76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21,786,673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24,266,076</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24,107,987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-0.7%</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Total liabilities and net shareholders' equity</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170,509,322</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177,263,201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178,229,032</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b w:val="1"/>
                <w:bCs w:val="1"/>
                <w:color w:val="auto"/>
              </w:rPr>
              <w:t>Off-balance sheet</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64,544,280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121,222,849</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9"/>
              </w:rPr>
              <w:t>121,965,125</w:t>
            </w:r>
          </w:p>
        </w:tc>
        <w:tc>
          <w:tcPr>
            <w:tcW w:w="3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0.6%</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performance bonds, stand-by and L/Cs.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18,442,011</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20,774,271</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18,784,417</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Undrawn credit lines, advised but not committed</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23,211,153</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74,234,033</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76,521,908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 (notional) and others</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22,891,116</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26,214,545</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26,658,800</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1Q18 and 4Q18 figures differ from previously reported, please consider the data presented on this report.</w:t>
      </w:r>
    </w:p>
    <w:p>
      <w:pPr>
        <w:spacing w:after="0" w:line="23" w:lineRule="exact"/>
        <w:rPr>
          <w:rFonts w:ascii="Arial" w:cs="Arial" w:eastAsia="Arial" w:hAnsi="Arial"/>
          <w:sz w:val="18"/>
          <w:szCs w:val="18"/>
          <w:color w:val="auto"/>
        </w:rPr>
      </w:pPr>
    </w:p>
    <w:p>
      <w:pPr>
        <w:ind w:firstLine="8"/>
        <w:spacing w:after="0" w:line="250" w:lineRule="auto"/>
        <w:tabs>
          <w:tab w:leader="none" w:pos="2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figures differ from those previously reported due to the disclosure of "Financial assets designated at fair value with effect on results" as a separate item within Assets</w:t>
      </w: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Mainly includes JV between Banmedica and Visanet.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Mainly includes receivables, tax credit, and others.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1Q18 figure differs from previously reported, please consider the data presented on this report.</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CREDICORP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w w:val="93"/>
              </w:rPr>
              <w:t>(In S/ thousands, IFRS)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09"/>
        </w:trPr>
        <w:tc>
          <w:tcPr>
            <w:tcW w:w="4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62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1Q18</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1Q19</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r>
      <w:tr>
        <w:trPr>
          <w:trHeight w:val="210"/>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 and expense</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2,789,141</w:t>
            </w:r>
          </w:p>
        </w:tc>
        <w:tc>
          <w:tcPr>
            <w:tcW w:w="1140" w:type="dxa"/>
            <w:vAlign w:val="bottom"/>
          </w:tcPr>
          <w:p>
            <w:pPr>
              <w:jc w:val="right"/>
              <w:spacing w:after="0"/>
              <w:rPr>
                <w:sz w:val="20"/>
                <w:szCs w:val="20"/>
                <w:color w:val="auto"/>
              </w:rPr>
            </w:pPr>
            <w:r>
              <w:rPr>
                <w:rFonts w:ascii="Arial" w:cs="Arial" w:eastAsia="Arial" w:hAnsi="Arial"/>
                <w:sz w:val="18"/>
                <w:szCs w:val="18"/>
                <w:color w:val="auto"/>
              </w:rPr>
              <w:t>3,033,544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3,001,674</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57"/>
        </w:trPr>
        <w:tc>
          <w:tcPr>
            <w:tcW w:w="46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(746,240)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(789,292)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(812,756)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Net interest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2,042,901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2,244,252</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2,188,918</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provision for credit losses on loan portfolio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(438,873)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(479,184)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(453,285)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color w:val="auto"/>
              </w:rPr>
              <w:t>Recoveries of written-off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67,849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71,230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70,074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198"/>
        </w:trPr>
        <w:tc>
          <w:tcPr>
            <w:tcW w:w="462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Provision for credit losses on loan portfolio, net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recoveries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(371,024)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(407,954)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(383,211)</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interest income after provisions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1,671,877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1,836,298</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1,805,707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Fee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749,692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836,642</w:t>
            </w:r>
          </w:p>
        </w:tc>
        <w:tc>
          <w:tcPr>
            <w:tcW w:w="1120" w:type="dxa"/>
            <w:vAlign w:val="bottom"/>
          </w:tcPr>
          <w:p>
            <w:pPr>
              <w:jc w:val="right"/>
              <w:spacing w:after="0"/>
              <w:rPr>
                <w:sz w:val="20"/>
                <w:szCs w:val="20"/>
                <w:color w:val="auto"/>
              </w:rPr>
            </w:pPr>
            <w:r>
              <w:rPr>
                <w:rFonts w:ascii="Arial" w:cs="Arial" w:eastAsia="Arial" w:hAnsi="Arial"/>
                <w:sz w:val="18"/>
                <w:szCs w:val="18"/>
                <w:color w:val="auto"/>
              </w:rPr>
              <w:t>782,922</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212,213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178,423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57"/>
        </w:trPr>
        <w:tc>
          <w:tcPr>
            <w:tcW w:w="462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Net gain on securities </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89,924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47,139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113,545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140.9%</w:t>
            </w:r>
          </w:p>
        </w:tc>
        <w:tc>
          <w:tcPr>
            <w:tcW w:w="3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57"/>
        </w:trPr>
        <w:tc>
          <w:tcPr>
            <w:tcW w:w="462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 xml:space="preserve">Net gain from associates </w:t>
            </w:r>
            <w:r>
              <w:rPr>
                <w:rFonts w:ascii="Arial" w:cs="Arial" w:eastAsia="Arial" w:hAnsi="Arial"/>
                <w:sz w:val="29"/>
                <w:szCs w:val="29"/>
                <w:color w:val="auto"/>
                <w:vertAlign w:val="superscript"/>
              </w:rPr>
              <w:t>(2)(3)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18,844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14,786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Net gain on derivatives held for trading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(1,697)</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680.1%</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 from exchange difference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2758.2%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Others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82,876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39,825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75,605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Total other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1,106,857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1,153,234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1,170,507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Insurance underwriting result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earned premiums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508,449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534,380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586,951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Net claims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(294,745)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(325,402)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(386,521)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cost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(97,548)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(87,824)</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(91,281)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Total insurance underwriting result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116,156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121,154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109,149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-6.0%</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Salaries and social benefits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(777,345)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(867,069)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(834,317)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general and tax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(496,622)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(682,118)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(512,935)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57"/>
        </w:trPr>
        <w:tc>
          <w:tcPr>
            <w:tcW w:w="462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(4)</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(106,860)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(110,412)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(140,697)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loss on goodwill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(38,189)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4620" w:type="dxa"/>
            <w:vAlign w:val="bottom"/>
          </w:tcPr>
          <w:p>
            <w:pPr>
              <w:ind w:left="200"/>
              <w:spacing w:after="0" w:line="256" w:lineRule="exact"/>
              <w:rPr>
                <w:sz w:val="20"/>
                <w:szCs w:val="20"/>
                <w:color w:val="auto"/>
              </w:rPr>
            </w:pPr>
            <w:r>
              <w:rPr>
                <w:rFonts w:ascii="Arial" w:cs="Arial" w:eastAsia="Arial" w:hAnsi="Arial"/>
                <w:sz w:val="18"/>
                <w:szCs w:val="18"/>
                <w:color w:val="auto"/>
              </w:rPr>
              <w:t xml:space="preserve">Association in participation </w:t>
            </w:r>
            <w:r>
              <w:rPr>
                <w:rFonts w:ascii="Arial" w:cs="Arial" w:eastAsia="Arial" w:hAnsi="Arial"/>
                <w:sz w:val="29"/>
                <w:szCs w:val="29"/>
                <w:color w:val="auto"/>
                <w:vertAlign w:val="superscript"/>
              </w:rPr>
              <w:t>(5)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(2,736)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32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-43.6%</w:t>
            </w:r>
          </w:p>
        </w:tc>
      </w:tr>
      <w:tr>
        <w:trPr>
          <w:trHeight w:val="216"/>
        </w:trPr>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(51,222)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(47,441)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b w:val="1"/>
                <w:bCs w:val="1"/>
                <w:color w:val="auto"/>
              </w:rPr>
              <w:t>Total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(1,444,846)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(1,749,181)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(1,538,126)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6.5%</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Profit before income tax</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1,450,044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1,361,505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1,547,237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r>
      <w:tr>
        <w:trPr>
          <w:trHeight w:val="216"/>
        </w:trPr>
        <w:tc>
          <w:tcPr>
            <w:tcW w:w="4620" w:type="dxa"/>
            <w:vAlign w:val="bottom"/>
          </w:tcPr>
          <w:p>
            <w:pPr>
              <w:ind w:left="200"/>
              <w:spacing w:after="0"/>
              <w:rPr>
                <w:sz w:val="20"/>
                <w:szCs w:val="20"/>
                <w:color w:val="auto"/>
              </w:rPr>
            </w:pPr>
            <w:r>
              <w:rPr>
                <w:rFonts w:ascii="Arial" w:cs="Arial" w:eastAsia="Arial" w:hAnsi="Arial"/>
                <w:sz w:val="18"/>
                <w:szCs w:val="18"/>
                <w:color w:val="auto"/>
              </w:rPr>
              <w:t>Income taxes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(385,392)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(384,352)</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(423,973)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profit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1,064,652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977,153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1,123,264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26,844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20,220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22,397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Credicorp</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1,037,808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956,933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1,100,867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r>
    </w:tbl>
    <w:p>
      <w:pPr>
        <w:spacing w:after="0" w:line="202" w:lineRule="exact"/>
        <w:rPr>
          <w:sz w:val="20"/>
          <w:szCs w:val="20"/>
          <w:color w:val="auto"/>
        </w:rPr>
      </w:pP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2019, the lease expense is included in application of IFRS 16.</w:t>
      </w:r>
    </w:p>
    <w:p>
      <w:pPr>
        <w:spacing w:after="0" w:line="23" w:lineRule="exact"/>
        <w:rPr>
          <w:rFonts w:ascii="Arial" w:cs="Arial" w:eastAsia="Arial" w:hAnsi="Arial"/>
          <w:sz w:val="18"/>
          <w:szCs w:val="18"/>
          <w:color w:val="auto"/>
        </w:rPr>
      </w:pPr>
    </w:p>
    <w:p>
      <w:pPr>
        <w:ind w:firstLine="8"/>
        <w:spacing w:after="0" w:line="250" w:lineRule="auto"/>
        <w:tabs>
          <w:tab w:leader="none" w:pos="2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gain from other investments in related companies has been included in the item "Net gain in associates"; which previously was presented in the item "Net gain on securities".</w:t>
      </w:r>
    </w:p>
    <w:p>
      <w:pPr>
        <w:ind w:left="260" w:hanging="252"/>
        <w:spacing w:after="0"/>
        <w:tabs>
          <w:tab w:leader="none" w:pos="2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gains on other investments, mainly made up of the profit of Banmedica.</w:t>
      </w:r>
    </w:p>
    <w:p>
      <w:pPr>
        <w:spacing w:after="0" w:line="9" w:lineRule="exact"/>
        <w:rPr>
          <w:rFonts w:ascii="Arial" w:cs="Arial" w:eastAsia="Arial" w:hAnsi="Arial"/>
          <w:sz w:val="18"/>
          <w:szCs w:val="18"/>
          <w:color w:val="auto"/>
        </w:rPr>
      </w:pPr>
    </w:p>
    <w:p>
      <w:pPr>
        <w:ind w:right="20" w:firstLine="8"/>
        <w:spacing w:after="0" w:line="265" w:lineRule="auto"/>
        <w:tabs>
          <w:tab w:leader="none" w:pos="268" w:val="left"/>
        </w:tabs>
        <w:numPr>
          <w:ilvl w:val="0"/>
          <w:numId w:val="88"/>
        </w:numPr>
        <w:rPr>
          <w:rFonts w:ascii="Arial" w:cs="Arial" w:eastAsia="Arial" w:hAnsi="Arial"/>
          <w:sz w:val="17"/>
          <w:szCs w:val="17"/>
          <w:color w:val="auto"/>
        </w:rPr>
      </w:pPr>
      <w:r>
        <w:rPr>
          <w:rFonts w:ascii="Arial" w:cs="Arial" w:eastAsia="Arial" w:hAnsi="Arial"/>
          <w:sz w:val="17"/>
          <w:szCs w:val="17"/>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60" w:hanging="252"/>
        <w:spacing w:after="0"/>
        <w:tabs>
          <w:tab w:leader="none" w:pos="2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From this quarter, the item “Association in participation” was incorporated, which previously was presented in the item “Net gain on securities”</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5" w:name="page56"/>
    <w:bookmarkEnd w:id="55"/>
    <w:p>
      <w:pPr>
        <w:ind w:left="20"/>
        <w:spacing w:after="0"/>
        <w:rPr>
          <w:sz w:val="20"/>
          <w:szCs w:val="20"/>
          <w:color w:val="auto"/>
        </w:rPr>
      </w:pPr>
      <w:r>
        <w:rPr>
          <w:rFonts w:ascii="Arial" w:cs="Arial" w:eastAsia="Arial" w:hAnsi="Arial"/>
          <w:sz w:val="18"/>
          <w:szCs w:val="18"/>
          <w:b w:val="1"/>
          <w:bCs w:val="1"/>
          <w:color w:val="auto"/>
        </w:rPr>
        <w:t>11.2. BCP Consolidated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FINANCIAL POSITION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18</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Dec 18</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Mar 19</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and due from banks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4,589,304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5,991,451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5,816,012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14,581,692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14,081,216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14,327,957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Total cash and due from banks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19,170,996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20,072,667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20,143,969</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Cash collateral, reverse repurchase agreements and securities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borrowing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5,760,145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3,362,285</w:t>
            </w: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3,103,156</w:t>
            </w:r>
          </w:p>
        </w:tc>
        <w:tc>
          <w:tcPr>
            <w:tcW w:w="2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Fair value through profit or loss 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4,190,860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75,948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598,964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w w:val="94"/>
              </w:rPr>
              <w:t>Fair value through other comprehensive income investments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12,111,102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14,300,023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16,114,399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Amortized cost investments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3,754,289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3,799,355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3,370,918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91,979,338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101,193,839</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99,021,030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Current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89,117,161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98,217,198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96,026,987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 overdue 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2,862,177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2,976,641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2,994,043</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Less - allowance for loan losses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(4,576,672)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(4,706,870)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(4,619,470)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Loans,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87,402,666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96,486,969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94,401,560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1,280,130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1,246,807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2,710,998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117.4%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Due from customers on acceptances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721,061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967,968</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611,142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b w:val="1"/>
                <w:bCs w:val="1"/>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3,976,110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4,456,929</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4,242,388</w:t>
            </w:r>
          </w:p>
        </w:tc>
        <w:tc>
          <w:tcPr>
            <w:tcW w:w="2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Total Assets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138,367,359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144,768,951</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145,297,494</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Deposits and obligations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Non-interest bearing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27,546,637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29,211,023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28,436,099</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bearing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59,225,122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63,822,674</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64,385,457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Total deposits and obligations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86,771,759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93,033,697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92,821,556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00" w:type="dxa"/>
            <w:vAlign w:val="bottom"/>
          </w:tcPr>
          <w:p>
            <w:pPr>
              <w:spacing w:after="0" w:line="198" w:lineRule="exact"/>
              <w:rPr>
                <w:sz w:val="20"/>
                <w:szCs w:val="20"/>
                <w:color w:val="auto"/>
              </w:rPr>
            </w:pPr>
            <w:r>
              <w:rPr>
                <w:rFonts w:ascii="Arial" w:cs="Arial" w:eastAsia="Arial" w:hAnsi="Arial"/>
                <w:sz w:val="18"/>
                <w:szCs w:val="18"/>
                <w:b w:val="1"/>
                <w:bCs w:val="1"/>
                <w:color w:val="auto"/>
              </w:rPr>
              <w:t>Payables from repurchase agreements and securities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lending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8,521,239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7,169,908</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6,634,166</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8,069,930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8,583,889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7,307,596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Bonds and notes issued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14,528,362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14,736,828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14,808,551</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Banker's acceptances outstanding</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721,061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967,968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611,142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Financial liabilities at fair value through profit or loss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35,145</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177,013</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403.7%</w:t>
            </w:r>
          </w:p>
        </w:tc>
        <w:tc>
          <w:tcPr>
            <w:tcW w:w="3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#jDIV/0!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 xml:space="preserve">Other liabilities </w:t>
            </w:r>
            <w:r>
              <w:rPr>
                <w:rFonts w:ascii="Arial" w:cs="Arial" w:eastAsia="Arial" w:hAnsi="Arial"/>
                <w:sz w:val="29"/>
                <w:szCs w:val="29"/>
                <w:b w:val="1"/>
                <w:bCs w:val="1"/>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5,062,029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3,156,219</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6,308,115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99.9%</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Total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123,674,380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127,683,654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128,668,139</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14,541,053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16,977,532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16,520,005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Capital stock</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8,476,984</w:t>
            </w:r>
          </w:p>
        </w:tc>
        <w:tc>
          <w:tcPr>
            <w:tcW w:w="1140" w:type="dxa"/>
            <w:vAlign w:val="bottom"/>
          </w:tcPr>
          <w:p>
            <w:pPr>
              <w:jc w:val="right"/>
              <w:spacing w:after="0"/>
              <w:rPr>
                <w:sz w:val="20"/>
                <w:szCs w:val="20"/>
                <w:color w:val="auto"/>
              </w:rPr>
            </w:pPr>
            <w:r>
              <w:rPr>
                <w:rFonts w:ascii="Arial" w:cs="Arial" w:eastAsia="Arial" w:hAnsi="Arial"/>
                <w:sz w:val="18"/>
                <w:szCs w:val="18"/>
                <w:color w:val="auto"/>
              </w:rPr>
              <w:t>8,476,984</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9,924,006</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Reserves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3,965,441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3,965,447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4,476,247</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160"/>
              <w:spacing w:after="0"/>
              <w:rPr>
                <w:sz w:val="20"/>
                <w:szCs w:val="20"/>
                <w:color w:val="auto"/>
              </w:rPr>
            </w:pPr>
            <w:r>
              <w:rPr>
                <w:rFonts w:ascii="Arial" w:cs="Arial" w:eastAsia="Arial" w:hAnsi="Arial"/>
                <w:sz w:val="18"/>
                <w:szCs w:val="18"/>
                <w:color w:val="auto"/>
              </w:rPr>
              <w:t>Other reserves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58,754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8,665</w:t>
            </w:r>
          </w:p>
        </w:tc>
        <w:tc>
          <w:tcPr>
            <w:tcW w:w="1120" w:type="dxa"/>
            <w:vAlign w:val="bottom"/>
          </w:tcPr>
          <w:p>
            <w:pPr>
              <w:jc w:val="right"/>
              <w:spacing w:after="0"/>
              <w:rPr>
                <w:sz w:val="20"/>
                <w:szCs w:val="20"/>
                <w:color w:val="auto"/>
              </w:rPr>
            </w:pPr>
            <w:r>
              <w:rPr>
                <w:rFonts w:ascii="Arial" w:cs="Arial" w:eastAsia="Arial" w:hAnsi="Arial"/>
                <w:sz w:val="18"/>
                <w:szCs w:val="18"/>
                <w:color w:val="auto"/>
              </w:rPr>
              <w:t>120,338</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1288.8%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2,039,874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4,526,436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1,999,414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151,926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109,350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3"/>
              </w:rPr>
              <w:t>Total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14,692,979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17,085,297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16,629,355</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138,367,359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144,768,951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145,297,494</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Off-balance sheet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53,750,678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109,579,381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109,963,761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performance bonds, stand-by and L/Cs.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17,300,355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18,876,728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16,877,145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Undrawn credit lines, advised but not committed</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15,744,623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65,983,775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67,926,878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derivatives (notional) and others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20,705,700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24,718,878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25,159,738</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Mainly includes intangible assets, other receivable accounts and tax credit.</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Mainly includes other payable accounts.</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356"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S/ thousands, IFRS)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4"/>
        </w:trPr>
        <w:tc>
          <w:tcPr>
            <w:tcW w:w="4620" w:type="dxa"/>
            <w:vAlign w:val="bottom"/>
          </w:tcPr>
          <w:p>
            <w:pPr>
              <w:spacing w:after="0"/>
              <w:rPr>
                <w:sz w:val="20"/>
                <w:szCs w:val="20"/>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1Q18</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1Q19</w:t>
            </w:r>
          </w:p>
        </w:tc>
        <w:tc>
          <w:tcPr>
            <w:tcW w:w="1760" w:type="dxa"/>
            <w:vAlign w:val="bottom"/>
            <w:gridSpan w:val="3"/>
          </w:tcPr>
          <w:p>
            <w:pPr>
              <w:ind w:left="38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r>
      <w:tr>
        <w:trPr>
          <w:trHeight w:val="210"/>
        </w:trPr>
        <w:tc>
          <w:tcPr>
            <w:tcW w:w="4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 and expense</w:t>
            </w: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and similar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2,479,454</w:t>
            </w:r>
          </w:p>
        </w:tc>
        <w:tc>
          <w:tcPr>
            <w:tcW w:w="1140" w:type="dxa"/>
            <w:vAlign w:val="bottom"/>
          </w:tcPr>
          <w:p>
            <w:pPr>
              <w:jc w:val="right"/>
              <w:spacing w:after="0"/>
              <w:rPr>
                <w:sz w:val="20"/>
                <w:szCs w:val="20"/>
                <w:color w:val="auto"/>
              </w:rPr>
            </w:pPr>
            <w:r>
              <w:rPr>
                <w:rFonts w:ascii="Arial" w:cs="Arial" w:eastAsia="Arial" w:hAnsi="Arial"/>
                <w:sz w:val="18"/>
                <w:szCs w:val="18"/>
                <w:color w:val="auto"/>
              </w:rPr>
              <w:t>2,683,753</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2,656,215</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similar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(651,655)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(683,378)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(698,406)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b w:val="1"/>
                <w:bCs w:val="1"/>
                <w:color w:val="auto"/>
              </w:rPr>
              <w:t>Net interest, similar income and expenses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1,827,799</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2,000,375</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1,957,809</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7.1%</w:t>
            </w:r>
          </w:p>
        </w:tc>
      </w:tr>
      <w:tr>
        <w:trPr>
          <w:trHeight w:val="21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provision for credit losses on loan portfolio</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(422,699)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(461,057)</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(437,214)</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color w:val="auto"/>
              </w:rPr>
              <w:t>Recoveries of written-off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67,581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70,579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69,836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r>
        <w:trPr>
          <w:trHeight w:val="198"/>
        </w:trPr>
        <w:tc>
          <w:tcPr>
            <w:tcW w:w="4620" w:type="dxa"/>
            <w:vAlign w:val="bottom"/>
            <w:shd w:val="clear" w:color="auto" w:fill="CCEEFF"/>
          </w:tcPr>
          <w:p>
            <w:pPr>
              <w:ind w:left="40"/>
              <w:spacing w:after="0" w:line="198" w:lineRule="exact"/>
              <w:rPr>
                <w:sz w:val="20"/>
                <w:szCs w:val="20"/>
                <w:color w:val="auto"/>
              </w:rPr>
            </w:pPr>
            <w:r>
              <w:rPr>
                <w:rFonts w:ascii="Arial" w:cs="Arial" w:eastAsia="Arial" w:hAnsi="Arial"/>
                <w:sz w:val="18"/>
                <w:szCs w:val="18"/>
                <w:b w:val="1"/>
                <w:bCs w:val="1"/>
                <w:color w:val="auto"/>
              </w:rPr>
              <w:t>Provision for credit losses on loan portfolio, net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recoveries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(355,118)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(390,478)</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(367,378)</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-5.9%</w:t>
            </w:r>
          </w:p>
        </w:tc>
        <w:tc>
          <w:tcPr>
            <w:tcW w:w="3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Other income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597,425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651,822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632,326</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gains on foreign exchange transactions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155,019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198,051</w:t>
            </w:r>
          </w:p>
        </w:tc>
        <w:tc>
          <w:tcPr>
            <w:tcW w:w="1120" w:type="dxa"/>
            <w:vAlign w:val="bottom"/>
          </w:tcPr>
          <w:p>
            <w:pPr>
              <w:jc w:val="right"/>
              <w:spacing w:after="0"/>
              <w:rPr>
                <w:sz w:val="20"/>
                <w:szCs w:val="20"/>
                <w:color w:val="auto"/>
              </w:rPr>
            </w:pPr>
            <w:r>
              <w:rPr>
                <w:rFonts w:ascii="Arial" w:cs="Arial" w:eastAsia="Arial" w:hAnsi="Arial"/>
                <w:sz w:val="18"/>
                <w:szCs w:val="18"/>
                <w:color w:val="auto"/>
              </w:rPr>
              <w:t>170,019</w:t>
            </w: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on securities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22,347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-84.7%</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gain on derivatives held for trading</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(3,395)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2,163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12,670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485.8%</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-473.2%</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 from exchange difference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5,728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63,930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11,421</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50,785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344.7%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other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856,995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891,425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876,701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Total expenses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social benefits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(585,848)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(657,452)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(626,768)</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Administrative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(388,340)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(561,638)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(434,106)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57"/>
        </w:trPr>
        <w:tc>
          <w:tcPr>
            <w:tcW w:w="462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(82,005)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(85,083)</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(80,726)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(47,905)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(40,199)</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(31,090)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(1,104,098)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(1,344,372)</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(1,172,690)</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Profit before income tax</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1,225,578</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1,156,950</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1,294,442</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(336,508)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(342,729)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(356,886)</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profit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889,070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814,221</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937,556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5.5%</w:t>
            </w: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(4,659)</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r>
      <w:tr>
        <w:trPr>
          <w:trHeight w:val="234"/>
        </w:trPr>
        <w:tc>
          <w:tcPr>
            <w:tcW w:w="462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BCP Consolidated</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881,520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809,562</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932,625</w:t>
            </w: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3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r>
    </w:tbl>
    <w:p>
      <w:pPr>
        <w:spacing w:after="0" w:line="183" w:lineRule="exact"/>
        <w:rPr>
          <w:sz w:val="20"/>
          <w:szCs w:val="20"/>
          <w:color w:val="auto"/>
        </w:rPr>
      </w:pPr>
    </w:p>
    <w:p>
      <w:pPr>
        <w:ind w:right="360" w:firstLine="8"/>
        <w:spacing w:after="0" w:line="342" w:lineRule="auto"/>
        <w:tabs>
          <w:tab w:leader="none" w:pos="255" w:val="left"/>
        </w:tabs>
        <w:numPr>
          <w:ilvl w:val="0"/>
          <w:numId w:val="90"/>
        </w:numPr>
        <w:rPr>
          <w:rFonts w:ascii="Arial" w:cs="Arial" w:eastAsia="Arial" w:hAnsi="Arial"/>
          <w:sz w:val="16"/>
          <w:szCs w:val="16"/>
          <w:color w:val="auto"/>
        </w:rPr>
      </w:pPr>
      <w:r>
        <w:rPr>
          <w:rFonts w:ascii="Arial" w:cs="Arial" w:eastAsia="Arial" w:hAnsi="Arial"/>
          <w:sz w:val="16"/>
          <w:szCs w:val="16"/>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BANCO DE CREDITO DEL PERU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INDICATORS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Quarter</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000" w:type="dxa"/>
            <w:vAlign w:val="bottom"/>
          </w:tcPr>
          <w:p>
            <w:pPr>
              <w:spacing w:after="0"/>
              <w:rPr>
                <w:sz w:val="20"/>
                <w:szCs w:val="20"/>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1Q18</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3Q18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4Q18</w:t>
            </w:r>
          </w:p>
        </w:tc>
      </w:tr>
      <w:tr>
        <w:trPr>
          <w:trHeight w:val="210"/>
        </w:trPr>
        <w:tc>
          <w:tcPr>
            <w:tcW w:w="70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Profitability</w:t>
            </w: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9"/>
                <w:szCs w:val="29"/>
                <w:color w:val="auto"/>
                <w:vertAlign w:val="superscript"/>
              </w:rPr>
              <w:t>(1)</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0.086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0.079</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0.091</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29"/>
                <w:szCs w:val="29"/>
                <w:color w:val="auto"/>
                <w:vertAlign w:val="subscript"/>
              </w:rPr>
              <w:t>ROAA</w:t>
            </w:r>
            <w:r>
              <w:rPr>
                <w:rFonts w:ascii="Arial" w:cs="Arial" w:eastAsia="Arial" w:hAnsi="Arial"/>
                <w:sz w:val="13"/>
                <w:szCs w:val="13"/>
                <w:color w:val="auto"/>
              </w:rPr>
              <w:t xml:space="preserve"> (2)(3)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9"/>
                <w:szCs w:val="29"/>
                <w:color w:val="auto"/>
                <w:vertAlign w:val="superscript"/>
              </w:rPr>
              <w:t>(2)(3)</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Risk adjusted NIM </w:t>
            </w:r>
            <w:r>
              <w:rPr>
                <w:rFonts w:ascii="Arial" w:cs="Arial" w:eastAsia="Arial" w:hAnsi="Arial"/>
                <w:sz w:val="29"/>
                <w:szCs w:val="29"/>
                <w:color w:val="auto"/>
                <w:vertAlign w:val="superscript"/>
              </w:rPr>
              <w:t>(2)(3)</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4.66%</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2.28%</w:t>
            </w: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Quality of loan portfolio</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IOL ratio</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w:t>
            </w: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color w:val="auto"/>
              </w:rPr>
              <w:t>NPL ratio</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4.27%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16"/>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Coverage of IOLs</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w:t>
            </w: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color w:val="auto"/>
              </w:rPr>
              <w:t>Coverage of NPLs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122.0%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111.3%</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108.8%</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Operating efficiency</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Oper. expenses as a percent. of total income - reported </w:t>
            </w:r>
            <w:r>
              <w:rPr>
                <w:rFonts w:ascii="Arial" w:cs="Arial" w:eastAsia="Arial" w:hAnsi="Arial"/>
                <w:sz w:val="29"/>
                <w:szCs w:val="29"/>
                <w:color w:val="auto"/>
                <w:vertAlign w:val="superscript"/>
              </w:rPr>
              <w:t>(6)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w:t>
            </w: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color w:val="auto"/>
              </w:rPr>
              <w:t>Oper. expenses as a percent. of total income - including all other items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46.5%</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29"/>
                <w:szCs w:val="29"/>
                <w:color w:val="auto"/>
                <w:vertAlign w:val="superscript"/>
              </w:rPr>
              <w:t>(7)</w:t>
            </w: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regulatory capital (S/ Million)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17,391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17,679</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19,169</w:t>
            </w: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Tier 1 capital (S/ Million) </w:t>
            </w:r>
            <w:r>
              <w:rPr>
                <w:rFonts w:ascii="Arial" w:cs="Arial" w:eastAsia="Arial" w:hAnsi="Arial"/>
                <w:sz w:val="29"/>
                <w:szCs w:val="29"/>
                <w:color w:val="auto"/>
                <w:vertAlign w:val="superscript"/>
              </w:rPr>
              <w:t>(8)</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12,840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12,827</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14,510</w:t>
            </w:r>
          </w:p>
        </w:tc>
      </w:tr>
      <w:tr>
        <w:trPr>
          <w:trHeight w:val="257"/>
        </w:trPr>
        <w:tc>
          <w:tcPr>
            <w:tcW w:w="70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 xml:space="preserve">Common equity tier 1 ratio </w:t>
            </w:r>
            <w:r>
              <w:rPr>
                <w:rFonts w:ascii="Arial" w:cs="Arial" w:eastAsia="Arial" w:hAnsi="Arial"/>
                <w:sz w:val="29"/>
                <w:szCs w:val="29"/>
                <w:color w:val="auto"/>
                <w:vertAlign w:val="superscript"/>
              </w:rPr>
              <w:t>(9)</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11.22%</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11.55%</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11.39%</w:t>
            </w:r>
          </w:p>
        </w:tc>
      </w:tr>
      <w:tr>
        <w:trPr>
          <w:trHeight w:val="257"/>
        </w:trPr>
        <w:tc>
          <w:tcPr>
            <w:tcW w:w="7000" w:type="dxa"/>
            <w:vAlign w:val="bottom"/>
          </w:tcPr>
          <w:p>
            <w:pPr>
              <w:ind w:left="40"/>
              <w:spacing w:after="0" w:line="256" w:lineRule="exact"/>
              <w:rPr>
                <w:sz w:val="20"/>
                <w:szCs w:val="20"/>
                <w:color w:val="auto"/>
              </w:rPr>
            </w:pPr>
            <w:r>
              <w:rPr>
                <w:rFonts w:ascii="Arial" w:cs="Arial" w:eastAsia="Arial" w:hAnsi="Arial"/>
                <w:sz w:val="18"/>
                <w:szCs w:val="18"/>
                <w:color w:val="auto"/>
              </w:rPr>
              <w:t xml:space="preserve">BIS ratio </w:t>
            </w:r>
            <w:r>
              <w:rPr>
                <w:rFonts w:ascii="Arial" w:cs="Arial" w:eastAsia="Arial" w:hAnsi="Arial"/>
                <w:sz w:val="29"/>
                <w:szCs w:val="29"/>
                <w:color w:val="auto"/>
                <w:vertAlign w:val="superscript"/>
              </w:rPr>
              <w:t>(10)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15.91%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14.17%</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15.49%</w:t>
            </w:r>
          </w:p>
        </w:tc>
      </w:tr>
      <w:tr>
        <w:trPr>
          <w:trHeight w:val="216"/>
        </w:trPr>
        <w:tc>
          <w:tcPr>
            <w:tcW w:w="70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000" w:type="dxa"/>
            <w:vAlign w:val="bottom"/>
          </w:tcPr>
          <w:p>
            <w:pPr>
              <w:ind w:left="40"/>
              <w:spacing w:after="0"/>
              <w:rPr>
                <w:sz w:val="20"/>
                <w:szCs w:val="20"/>
                <w:color w:val="auto"/>
              </w:rPr>
            </w:pPr>
            <w:r>
              <w:rPr>
                <w:rFonts w:ascii="Arial" w:cs="Arial" w:eastAsia="Arial" w:hAnsi="Arial"/>
                <w:sz w:val="18"/>
                <w:szCs w:val="18"/>
                <w:b w:val="1"/>
                <w:bCs w:val="1"/>
                <w:color w:val="auto"/>
              </w:rPr>
              <w:t>Share Information</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 of outstanding shares (Million)</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10,217</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10,217</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r>
    </w:tbl>
    <w:p>
      <w:pPr>
        <w:spacing w:after="0" w:line="202" w:lineRule="exact"/>
        <w:rPr>
          <w:sz w:val="20"/>
          <w:szCs w:val="20"/>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Shares outstanding of 10,217 million is used for all periods since shares have been issued only for capitalization of profits.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right="400" w:firstLine="8"/>
        <w:spacing w:after="0" w:line="281"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Cost of risk: Annualized provision for loan losses / Total loans.</w:t>
      </w:r>
    </w:p>
    <w:p>
      <w:pPr>
        <w:spacing w:after="0" w:line="9" w:lineRule="exact"/>
        <w:rPr>
          <w:rFonts w:ascii="Arial" w:cs="Arial" w:eastAsia="Arial" w:hAnsi="Arial"/>
          <w:sz w:val="18"/>
          <w:szCs w:val="18"/>
          <w:color w:val="auto"/>
        </w:rPr>
      </w:pPr>
    </w:p>
    <w:p>
      <w:pPr>
        <w:ind w:right="820" w:firstLine="8"/>
        <w:spacing w:after="0" w:line="281" w:lineRule="auto"/>
        <w:tabs>
          <w:tab w:leader="none" w:pos="25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capital ratios are for BCP Stand-alone and based on Peru GAAP</w:t>
      </w:r>
    </w:p>
    <w:p>
      <w:pPr>
        <w:spacing w:after="0" w:line="9" w:lineRule="exact"/>
        <w:rPr>
          <w:rFonts w:ascii="Arial" w:cs="Arial" w:eastAsia="Arial" w:hAnsi="Arial"/>
          <w:sz w:val="18"/>
          <w:szCs w:val="18"/>
          <w:color w:val="auto"/>
        </w:rPr>
      </w:pPr>
    </w:p>
    <w:p>
      <w:pPr>
        <w:ind w:right="400" w:firstLine="8"/>
        <w:spacing w:after="0" w:line="265" w:lineRule="auto"/>
        <w:tabs>
          <w:tab w:leader="none" w:pos="2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40" w:firstLine="8"/>
        <w:spacing w:after="0" w:line="250"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Regulatory capital/ risk-weighted assets. Risk weighted assets include market risk and operational risk.</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4"/>
        </w:trPr>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11.3. Mibanco</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gridSpan w:val="9"/>
          </w:tcPr>
          <w:p>
            <w:pPr>
              <w:jc w:val="center"/>
              <w:ind w:right="720"/>
              <w:spacing w:after="0"/>
              <w:rPr>
                <w:sz w:val="20"/>
                <w:szCs w:val="20"/>
                <w:color w:val="auto"/>
              </w:rPr>
            </w:pPr>
            <w:r>
              <w:rPr>
                <w:rFonts w:ascii="Arial" w:cs="Arial" w:eastAsia="Arial" w:hAnsi="Arial"/>
                <w:sz w:val="18"/>
                <w:szCs w:val="18"/>
                <w:b w:val="1"/>
                <w:bCs w:val="1"/>
                <w:color w:val="auto"/>
              </w:rPr>
              <w:t>MIBANCO</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9"/>
          </w:tcPr>
          <w:p>
            <w:pPr>
              <w:jc w:val="center"/>
              <w:ind w:right="720"/>
              <w:spacing w:after="0"/>
              <w:rPr>
                <w:sz w:val="20"/>
                <w:szCs w:val="20"/>
                <w:color w:val="auto"/>
              </w:rPr>
            </w:pPr>
            <w:r>
              <w:rPr>
                <w:rFonts w:ascii="Arial" w:cs="Arial" w:eastAsia="Arial" w:hAnsi="Arial"/>
                <w:sz w:val="18"/>
                <w:szCs w:val="18"/>
                <w:b w:val="1"/>
                <w:bCs w:val="1"/>
                <w:color w:val="auto"/>
                <w:w w:val="92"/>
              </w:rPr>
              <w:t>(In S/ thousands, IFRS)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ind w:left="260"/>
              <w:spacing w:after="0"/>
              <w:rPr>
                <w:sz w:val="20"/>
                <w:szCs w:val="20"/>
                <w:color w:val="auto"/>
              </w:rPr>
            </w:pPr>
            <w:r>
              <w:rPr>
                <w:rFonts w:ascii="Arial" w:cs="Arial" w:eastAsia="Arial" w:hAnsi="Arial"/>
                <w:sz w:val="18"/>
                <w:szCs w:val="18"/>
                <w:b w:val="1"/>
                <w:bCs w:val="1"/>
                <w:color w:val="auto"/>
              </w:rPr>
              <w:t>As of</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ind w:left="78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180"/>
              <w:spacing w:after="0"/>
              <w:rPr>
                <w:sz w:val="20"/>
                <w:szCs w:val="20"/>
                <w:color w:val="auto"/>
              </w:rPr>
            </w:pPr>
            <w:r>
              <w:rPr>
                <w:rFonts w:ascii="Arial" w:cs="Arial" w:eastAsia="Arial" w:hAnsi="Arial"/>
                <w:sz w:val="18"/>
                <w:szCs w:val="18"/>
                <w:b w:val="1"/>
                <w:bCs w:val="1"/>
                <w:color w:val="auto"/>
              </w:rPr>
              <w:t>Mar 18</w:t>
            </w:r>
          </w:p>
        </w:tc>
        <w:tc>
          <w:tcPr>
            <w:tcW w:w="134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Dec 18</w:t>
            </w:r>
          </w:p>
        </w:tc>
        <w:tc>
          <w:tcPr>
            <w:tcW w:w="1360" w:type="dxa"/>
            <w:vAlign w:val="bottom"/>
            <w:gridSpan w:val="4"/>
          </w:tcPr>
          <w:p>
            <w:pPr>
              <w:ind w:left="180"/>
              <w:spacing w:after="0"/>
              <w:rPr>
                <w:sz w:val="20"/>
                <w:szCs w:val="20"/>
                <w:color w:val="auto"/>
              </w:rPr>
            </w:pPr>
            <w:r>
              <w:rPr>
                <w:rFonts w:ascii="Arial" w:cs="Arial" w:eastAsia="Arial" w:hAnsi="Arial"/>
                <w:sz w:val="18"/>
                <w:szCs w:val="18"/>
                <w:b w:val="1"/>
                <w:bCs w:val="1"/>
                <w:color w:val="auto"/>
              </w:rPr>
              <w:t>Mar 19</w:t>
            </w:r>
          </w:p>
        </w:tc>
        <w:tc>
          <w:tcPr>
            <w:tcW w:w="1640" w:type="dxa"/>
            <w:vAlign w:val="bottom"/>
            <w:gridSpan w:val="5"/>
          </w:tcPr>
          <w:p>
            <w:pPr>
              <w:ind w:left="260"/>
              <w:spacing w:after="0"/>
              <w:rPr>
                <w:sz w:val="20"/>
                <w:szCs w:val="20"/>
                <w:color w:val="auto"/>
              </w:rPr>
            </w:pPr>
            <w:r>
              <w:rPr>
                <w:rFonts w:ascii="Arial" w:cs="Arial" w:eastAsia="Arial" w:hAnsi="Arial"/>
                <w:sz w:val="18"/>
                <w:szCs w:val="18"/>
                <w:b w:val="1"/>
                <w:bCs w:val="1"/>
                <w:color w:val="auto"/>
              </w:rPr>
              <w:t>QoQ</w:t>
            </w:r>
          </w:p>
        </w:tc>
        <w:tc>
          <w:tcPr>
            <w:tcW w:w="10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Cash and due from banks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920,376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1,012,566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1,013,959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2,066,837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2,244,798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1,910,967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Total loans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9,650,729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10,048,286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10,192,327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9,030,632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9,401,674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9,534,598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Internal overdue loans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486,400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522,689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539,299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133,697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118,431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60"/>
              <w:spacing w:after="0"/>
              <w:rPr>
                <w:sz w:val="20"/>
                <w:szCs w:val="20"/>
                <w:color w:val="auto"/>
              </w:rPr>
            </w:pPr>
            <w:r>
              <w:rPr>
                <w:rFonts w:ascii="Arial" w:cs="Arial" w:eastAsia="Arial" w:hAnsi="Arial"/>
                <w:sz w:val="18"/>
                <w:szCs w:val="18"/>
                <w:color w:val="auto"/>
              </w:rPr>
              <w:t>Allowance for loan losses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-873,809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-919,622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-908,751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8,776,919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9,128,664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9,283,576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184,516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181,468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185,620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626,001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652,784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978,521</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ind w:left="1800"/>
              <w:spacing w:after="0"/>
              <w:rPr>
                <w:sz w:val="20"/>
                <w:szCs w:val="20"/>
                <w:color w:val="auto"/>
              </w:rPr>
            </w:pPr>
            <w:r>
              <w:rPr>
                <w:rFonts w:ascii="Arial" w:cs="Arial" w:eastAsia="Arial" w:hAnsi="Arial"/>
                <w:sz w:val="18"/>
                <w:szCs w:val="18"/>
                <w:b w:val="1"/>
                <w:bCs w:val="1"/>
                <w:color w:val="auto"/>
              </w:rPr>
              <w:t>Total assets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12,574,648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13,220,280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13,372,643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 and obligations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7,515,338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8,513,718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8,426,560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Due to banks and correspondents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1,956,571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1,846,622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1,705,072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Bonds and subordinated debt</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469,223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364,333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367,579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rPr>
              <w:t>935,442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597,089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939,018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ind w:left="1660"/>
              <w:spacing w:after="0"/>
              <w:rPr>
                <w:sz w:val="20"/>
                <w:szCs w:val="20"/>
                <w:color w:val="auto"/>
              </w:rPr>
            </w:pPr>
            <w:r>
              <w:rPr>
                <w:rFonts w:ascii="Arial" w:cs="Arial" w:eastAsia="Arial" w:hAnsi="Arial"/>
                <w:sz w:val="18"/>
                <w:szCs w:val="18"/>
                <w:b w:val="1"/>
                <w:bCs w:val="1"/>
                <w:color w:val="auto"/>
              </w:rPr>
              <w:t>Total liabilities</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10,876,574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11,321,762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11,438,229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Net equity</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1,698,074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1,898,518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1,934,414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70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TOTAL LIABILITIES AND NET SHAREHOLDERS'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720" w:type="dxa"/>
            <w:vAlign w:val="bottom"/>
            <w:gridSpan w:val="4"/>
          </w:tcPr>
          <w:p>
            <w:pPr>
              <w:spacing w:after="0"/>
              <w:rPr>
                <w:sz w:val="20"/>
                <w:szCs w:val="20"/>
                <w:color w:val="auto"/>
              </w:rPr>
            </w:pPr>
            <w:r>
              <w:rPr>
                <w:rFonts w:ascii="Arial" w:cs="Arial" w:eastAsia="Arial" w:hAnsi="Arial"/>
                <w:sz w:val="18"/>
                <w:szCs w:val="18"/>
                <w:b w:val="1"/>
                <w:bCs w:val="1"/>
                <w:color w:val="auto"/>
              </w:rPr>
              <w:t>EQUITY</w:t>
            </w:r>
          </w:p>
        </w:tc>
        <w:tc>
          <w:tcPr>
            <w:tcW w:w="11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12,574,648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13,220,280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13,372,643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Quarter</w:t>
            </w:r>
          </w:p>
        </w:tc>
        <w:tc>
          <w:tcPr>
            <w:tcW w:w="32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ind w:left="800"/>
              <w:spacing w:after="0"/>
              <w:rPr>
                <w:sz w:val="20"/>
                <w:szCs w:val="20"/>
                <w:color w:val="auto"/>
              </w:rPr>
            </w:pPr>
            <w:r>
              <w:rPr>
                <w:rFonts w:ascii="Arial" w:cs="Arial" w:eastAsia="Arial" w:hAnsi="Arial"/>
                <w:sz w:val="18"/>
                <w:szCs w:val="18"/>
                <w:b w:val="1"/>
                <w:bCs w:val="1"/>
                <w:color w:val="auto"/>
                <w:w w:val="97"/>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1Q18</w:t>
            </w:r>
          </w:p>
        </w:tc>
        <w:tc>
          <w:tcPr>
            <w:tcW w:w="26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4Q18</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gridSpan w:val="2"/>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1Q19</w:t>
            </w:r>
          </w:p>
        </w:tc>
        <w:tc>
          <w:tcPr>
            <w:tcW w:w="26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gridSpan w:val="2"/>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483,717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467,942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Provision for loan losses, net of recoveries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-78,952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-109,537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-90,492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interest income after provisions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411,965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377,449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Non-financial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23,832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38,382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45,011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-257,473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-280,396</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Translation result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-40,155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129,636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102,074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101,910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Efficiency ratio</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48.9%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500 bps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560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ROAE</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-10 bps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ROAE incl. goodwill</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-10 bps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-830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L/D ratio</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293 bps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-746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IOL ratio</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10 bps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NPL ratio</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10 bps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Arial" w:cs="Arial" w:eastAsia="Arial" w:hAnsi="Arial"/>
                <w:sz w:val="18"/>
                <w:szCs w:val="18"/>
                <w:color w:val="auto"/>
              </w:rPr>
              <w:t>Coverage of IOLs</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179.6%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175.9%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right"/>
              <w:ind w:right="600"/>
              <w:spacing w:after="0"/>
              <w:rPr>
                <w:sz w:val="20"/>
                <w:szCs w:val="20"/>
                <w:color w:val="auto"/>
              </w:rPr>
            </w:pPr>
            <w:r>
              <w:rPr>
                <w:rFonts w:ascii="Arial" w:cs="Arial" w:eastAsia="Arial" w:hAnsi="Arial"/>
                <w:sz w:val="18"/>
                <w:szCs w:val="18"/>
                <w:color w:val="auto"/>
              </w:rPr>
              <w:t>-743 bps</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-1110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Coverage of NPLs</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140.9%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-406 bps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-275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Branches </w:t>
            </w:r>
            <w:r>
              <w:rPr>
                <w:rFonts w:ascii="Arial" w:cs="Arial" w:eastAsia="Arial" w:hAnsi="Arial"/>
                <w:sz w:val="29"/>
                <w:szCs w:val="29"/>
                <w:color w:val="auto"/>
                <w:vertAlign w:val="superscript"/>
              </w:rPr>
              <w:t>(1)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Employees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10,083</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Includes Banco de la Nacion branches, which in March 18 were 38, in December 18 were 37 and in March 19 were 35.</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11.4. BCP Bolivia</w:t>
            </w: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78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rPr>
              <w:t>BCP BOLIVIA</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780" w:type="dxa"/>
            <w:vAlign w:val="bottom"/>
            <w:gridSpan w:val="9"/>
          </w:tcPr>
          <w:p>
            <w:pPr>
              <w:jc w:val="right"/>
              <w:ind w:right="680"/>
              <w:spacing w:after="0"/>
              <w:rPr>
                <w:sz w:val="20"/>
                <w:szCs w:val="20"/>
                <w:color w:val="auto"/>
              </w:rPr>
            </w:pPr>
            <w:r>
              <w:rPr>
                <w:rFonts w:ascii="Arial" w:cs="Arial" w:eastAsia="Arial" w:hAnsi="Arial"/>
                <w:sz w:val="18"/>
                <w:szCs w:val="18"/>
                <w:b w:val="1"/>
                <w:bCs w:val="1"/>
                <w:color w:val="auto"/>
              </w:rPr>
              <w:t>(In S/ thousands, IFRS)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w w:val="97"/>
              </w:rPr>
              <w:t>As of</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ind w:left="760"/>
              <w:spacing w:after="0"/>
              <w:rPr>
                <w:sz w:val="20"/>
                <w:szCs w:val="20"/>
                <w:color w:val="auto"/>
              </w:rPr>
            </w:pPr>
            <w:r>
              <w:rPr>
                <w:rFonts w:ascii="Arial" w:cs="Arial" w:eastAsia="Arial" w:hAnsi="Arial"/>
                <w:sz w:val="18"/>
                <w:szCs w:val="18"/>
                <w:b w:val="1"/>
                <w:bCs w:val="1"/>
                <w:color w:val="auto"/>
              </w:rPr>
              <w:t>% change</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6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Mar 18</w:t>
            </w:r>
          </w:p>
        </w:tc>
        <w:tc>
          <w:tcPr>
            <w:tcW w:w="14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w w:val="96"/>
              </w:rPr>
              <w:t>Dec 18</w:t>
            </w:r>
          </w:p>
        </w:tc>
        <w:tc>
          <w:tcPr>
            <w:tcW w:w="14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Mar 19</w:t>
            </w:r>
          </w:p>
        </w:tc>
        <w:tc>
          <w:tcPr>
            <w:tcW w:w="1700" w:type="dxa"/>
            <w:vAlign w:val="bottom"/>
            <w:gridSpan w:val="5"/>
          </w:tcPr>
          <w:p>
            <w:pPr>
              <w:ind w:left="180"/>
              <w:spacing w:after="0"/>
              <w:rPr>
                <w:sz w:val="20"/>
                <w:szCs w:val="20"/>
                <w:color w:val="auto"/>
              </w:rPr>
            </w:pPr>
            <w:r>
              <w:rPr>
                <w:rFonts w:ascii="Arial" w:cs="Arial" w:eastAsia="Arial" w:hAnsi="Arial"/>
                <w:sz w:val="18"/>
                <w:szCs w:val="18"/>
                <w:b w:val="1"/>
                <w:bCs w:val="1"/>
                <w:color w:val="auto"/>
              </w:rPr>
              <w:t>QoQ</w:t>
            </w:r>
          </w:p>
        </w:tc>
        <w:tc>
          <w:tcPr>
            <w:tcW w:w="1040" w:type="dxa"/>
            <w:vAlign w:val="bottom"/>
            <w:gridSpan w:val="3"/>
          </w:tcPr>
          <w:p>
            <w:pPr>
              <w:jc w:val="right"/>
              <w:ind w:right="66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1,228,815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1,352,941</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1,170,662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1,479,436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1,411,294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1,467,974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Total 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6,411,458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7,250,534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7,275,812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6,259,579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7,088,797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7,095,956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Internal overdue loans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129,871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136,964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155,155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Refinanced</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24,773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24,701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-220,237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-237,518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-235,077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loans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6,191,221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7,013,016</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7,040,735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54,947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80,220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45,074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90,105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99,421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123,197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1520"/>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9,044,524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9,956,891</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9,847,642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LIABILITIES AND NET SHAREHOLDERS'</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8,045,861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8,862,374</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8,728,073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Due to banks and correspondents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50,874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31,617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29,034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Bonds and subordinated debt</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100,562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105,602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103,559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236,150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266,200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320,461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1400"/>
              <w:spacing w:after="0"/>
              <w:rPr>
                <w:sz w:val="20"/>
                <w:szCs w:val="20"/>
                <w:color w:val="auto"/>
              </w:rPr>
            </w:pPr>
            <w:r>
              <w:rPr>
                <w:rFonts w:ascii="Arial" w:cs="Arial" w:eastAsia="Arial" w:hAnsi="Arial"/>
                <w:sz w:val="18"/>
                <w:szCs w:val="18"/>
                <w:b w:val="1"/>
                <w:bCs w:val="1"/>
                <w:color w:val="auto"/>
              </w:rPr>
              <w:t>Total liabilities</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8,433,447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9,265,793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9,181,126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b w:val="1"/>
                <w:bCs w:val="1"/>
                <w:color w:val="auto"/>
              </w:rPr>
              <w:t>Net equity</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611,077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691,098</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666,516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AND NET</w:t>
            </w: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9,044,524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9,956,891</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9,847,642</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rPr>
              <w:t>Quarter</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5"/>
          </w:tcPr>
          <w:p>
            <w:pPr>
              <w:ind w:left="880"/>
              <w:spacing w:after="0"/>
              <w:rPr>
                <w:sz w:val="20"/>
                <w:szCs w:val="20"/>
                <w:color w:val="auto"/>
              </w:rPr>
            </w:pPr>
            <w:r>
              <w:rPr>
                <w:rFonts w:ascii="Arial" w:cs="Arial" w:eastAsia="Arial" w:hAnsi="Arial"/>
                <w:sz w:val="18"/>
                <w:szCs w:val="18"/>
                <w:b w:val="1"/>
                <w:bCs w:val="1"/>
                <w:color w:val="auto"/>
                <w:w w:val="95"/>
              </w:rPr>
              <w:t>% change</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1Q18</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rPr>
              <w:t>4Q18</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1Q19</w:t>
            </w:r>
          </w:p>
        </w:tc>
        <w:tc>
          <w:tcPr>
            <w:tcW w:w="280" w:type="dxa"/>
            <w:vAlign w:val="bottom"/>
            <w:tcBorders>
              <w:bottom w:val="single" w:sz="8" w:color="CCEEFF"/>
            </w:tcBorders>
            <w:gridSpan w:val="2"/>
          </w:tcPr>
          <w:p>
            <w:pPr>
              <w:spacing w:after="0"/>
              <w:rPr>
                <w:sz w:val="20"/>
                <w:szCs w:val="20"/>
                <w:color w:val="auto"/>
              </w:rPr>
            </w:pPr>
          </w:p>
        </w:tc>
        <w:tc>
          <w:tcPr>
            <w:tcW w:w="11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4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70,787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81,922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Provision for loan losses, net of recoveries</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color w:val="auto"/>
              </w:rPr>
              <w:t>-14,872</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-16,883</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-14,560</w:t>
            </w:r>
          </w:p>
        </w:tc>
        <w:tc>
          <w:tcPr>
            <w:tcW w:w="2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 after provisions</w:t>
            </w:r>
          </w:p>
        </w:tc>
        <w:tc>
          <w:tcPr>
            <w:tcW w:w="17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55,915</w:t>
            </w: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65,039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63,134</w:t>
            </w:r>
          </w:p>
        </w:tc>
        <w:tc>
          <w:tcPr>
            <w:tcW w:w="260" w:type="dxa"/>
            <w:vAlign w:val="bottom"/>
            <w:shd w:val="clear" w:color="auto" w:fill="CCEEFF"/>
          </w:tcPr>
          <w:p>
            <w:pPr>
              <w:spacing w:after="0"/>
              <w:rPr>
                <w:sz w:val="18"/>
                <w:szCs w:val="18"/>
                <w:color w:val="auto"/>
              </w:rPr>
            </w:pPr>
          </w:p>
        </w:tc>
        <w:tc>
          <w:tcPr>
            <w:tcW w:w="14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Non-financial income</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color w:val="auto"/>
              </w:rPr>
              <w:t>35,238</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31,888</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29,012</w:t>
            </w:r>
          </w:p>
        </w:tc>
        <w:tc>
          <w:tcPr>
            <w:tcW w:w="2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7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-62,843</w:t>
            </w: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-60,978</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-72,995</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Translation result</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color w:val="auto"/>
              </w:rPr>
              <w:t>-103</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-17</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17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-9,727</w:t>
            </w: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-13,057</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-6,505</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18,480</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rPr>
              <w:t>22,876</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12,640</w:t>
            </w:r>
          </w:p>
        </w:tc>
        <w:tc>
          <w:tcPr>
            <w:tcW w:w="260" w:type="dxa"/>
            <w:vAlign w:val="bottom"/>
          </w:tcPr>
          <w:p>
            <w:pPr>
              <w:spacing w:after="0"/>
              <w:rPr>
                <w:sz w:val="18"/>
                <w:szCs w:val="18"/>
                <w:color w:val="auto"/>
              </w:rPr>
            </w:pPr>
          </w:p>
        </w:tc>
        <w:tc>
          <w:tcPr>
            <w:tcW w:w="14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-44.7%</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Efficiency ratio</w:t>
            </w:r>
          </w:p>
        </w:tc>
        <w:tc>
          <w:tcPr>
            <w:tcW w:w="1760" w:type="dxa"/>
            <w:vAlign w:val="bottom"/>
            <w:gridSpan w:val="5"/>
          </w:tcPr>
          <w:p>
            <w:pPr>
              <w:jc w:val="right"/>
              <w:ind w:right="60"/>
              <w:spacing w:after="0"/>
              <w:rPr>
                <w:sz w:val="20"/>
                <w:szCs w:val="20"/>
                <w:color w:val="auto"/>
              </w:rPr>
            </w:pPr>
            <w:r>
              <w:rPr>
                <w:rFonts w:ascii="Arial" w:cs="Arial" w:eastAsia="Arial" w:hAnsi="Arial"/>
                <w:sz w:val="18"/>
                <w:szCs w:val="18"/>
                <w:color w:val="auto"/>
              </w:rPr>
              <w:t>62.7%</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65.7%</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61.8%</w:t>
            </w:r>
          </w:p>
        </w:tc>
        <w:tc>
          <w:tcPr>
            <w:tcW w:w="1700" w:type="dxa"/>
            <w:vAlign w:val="bottom"/>
            <w:gridSpan w:val="5"/>
          </w:tcPr>
          <w:p>
            <w:pPr>
              <w:jc w:val="right"/>
              <w:ind w:right="580"/>
              <w:spacing w:after="0"/>
              <w:rPr>
                <w:sz w:val="20"/>
                <w:szCs w:val="20"/>
                <w:color w:val="auto"/>
              </w:rPr>
            </w:pPr>
            <w:r>
              <w:rPr>
                <w:rFonts w:ascii="Arial" w:cs="Arial" w:eastAsia="Arial" w:hAnsi="Arial"/>
                <w:sz w:val="18"/>
                <w:szCs w:val="18"/>
                <w:color w:val="auto"/>
              </w:rPr>
              <w:t>-390 bps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-90 bps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ROAE</w:t>
            </w:r>
          </w:p>
        </w:tc>
        <w:tc>
          <w:tcPr>
            <w:tcW w:w="1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70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-610 bps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L/D ratio</w:t>
            </w:r>
          </w:p>
        </w:tc>
        <w:tc>
          <w:tcPr>
            <w:tcW w:w="1760" w:type="dxa"/>
            <w:vAlign w:val="bottom"/>
            <w:gridSpan w:val="5"/>
          </w:tcPr>
          <w:p>
            <w:pPr>
              <w:jc w:val="right"/>
              <w:ind w:right="60"/>
              <w:spacing w:after="0"/>
              <w:rPr>
                <w:sz w:val="20"/>
                <w:szCs w:val="20"/>
                <w:color w:val="auto"/>
              </w:rPr>
            </w:pPr>
            <w:r>
              <w:rPr>
                <w:rFonts w:ascii="Arial" w:cs="Arial" w:eastAsia="Arial" w:hAnsi="Arial"/>
                <w:sz w:val="18"/>
                <w:szCs w:val="18"/>
                <w:color w:val="auto"/>
              </w:rPr>
              <w:t>79.7%</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81.8%</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83.4%</w:t>
            </w:r>
          </w:p>
        </w:tc>
        <w:tc>
          <w:tcPr>
            <w:tcW w:w="1700" w:type="dxa"/>
            <w:vAlign w:val="bottom"/>
            <w:gridSpan w:val="5"/>
          </w:tcPr>
          <w:p>
            <w:pPr>
              <w:jc w:val="right"/>
              <w:ind w:right="580"/>
              <w:spacing w:after="0"/>
              <w:rPr>
                <w:sz w:val="20"/>
                <w:szCs w:val="20"/>
                <w:color w:val="auto"/>
              </w:rPr>
            </w:pPr>
            <w:r>
              <w:rPr>
                <w:rFonts w:ascii="Arial" w:cs="Arial" w:eastAsia="Arial" w:hAnsi="Arial"/>
                <w:sz w:val="18"/>
                <w:szCs w:val="18"/>
                <w:color w:val="auto"/>
              </w:rPr>
              <w:t>160 bps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370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IOL ratio</w:t>
            </w:r>
          </w:p>
        </w:tc>
        <w:tc>
          <w:tcPr>
            <w:tcW w:w="1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170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20 bps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NPL ratio</w:t>
            </w:r>
          </w:p>
        </w:tc>
        <w:tc>
          <w:tcPr>
            <w:tcW w:w="1760" w:type="dxa"/>
            <w:vAlign w:val="bottom"/>
            <w:gridSpan w:val="5"/>
          </w:tcPr>
          <w:p>
            <w:pPr>
              <w:jc w:val="right"/>
              <w:ind w:right="60"/>
              <w:spacing w:after="0"/>
              <w:rPr>
                <w:sz w:val="20"/>
                <w:szCs w:val="20"/>
                <w:color w:val="auto"/>
              </w:rPr>
            </w:pPr>
            <w:r>
              <w:rPr>
                <w:rFonts w:ascii="Arial" w:cs="Arial" w:eastAsia="Arial" w:hAnsi="Arial"/>
                <w:sz w:val="18"/>
                <w:szCs w:val="18"/>
                <w:color w:val="auto"/>
              </w:rPr>
              <w:t>2.37%</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2.23%</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2.47%</w:t>
            </w:r>
          </w:p>
        </w:tc>
        <w:tc>
          <w:tcPr>
            <w:tcW w:w="1700" w:type="dxa"/>
            <w:vAlign w:val="bottom"/>
            <w:gridSpan w:val="5"/>
          </w:tcPr>
          <w:p>
            <w:pPr>
              <w:jc w:val="right"/>
              <w:ind w:right="580"/>
              <w:spacing w:after="0"/>
              <w:rPr>
                <w:sz w:val="20"/>
                <w:szCs w:val="20"/>
                <w:color w:val="auto"/>
              </w:rPr>
            </w:pPr>
            <w:r>
              <w:rPr>
                <w:rFonts w:ascii="Arial" w:cs="Arial" w:eastAsia="Arial" w:hAnsi="Arial"/>
                <w:sz w:val="18"/>
                <w:szCs w:val="18"/>
                <w:color w:val="auto"/>
              </w:rPr>
              <w:t>30 bps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Coverage of IOLs</w:t>
            </w:r>
          </w:p>
        </w:tc>
        <w:tc>
          <w:tcPr>
            <w:tcW w:w="1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169.6%</w:t>
            </w:r>
          </w:p>
        </w:tc>
        <w:tc>
          <w:tcPr>
            <w:tcW w:w="14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173.4%</w:t>
            </w:r>
          </w:p>
        </w:tc>
        <w:tc>
          <w:tcPr>
            <w:tcW w:w="14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151.5%</w:t>
            </w:r>
          </w:p>
        </w:tc>
        <w:tc>
          <w:tcPr>
            <w:tcW w:w="1700" w:type="dxa"/>
            <w:vAlign w:val="bottom"/>
            <w:gridSpan w:val="5"/>
            <w:shd w:val="clear" w:color="auto" w:fill="CCEEFF"/>
          </w:tcPr>
          <w:p>
            <w:pPr>
              <w:jc w:val="right"/>
              <w:ind w:right="580"/>
              <w:spacing w:after="0"/>
              <w:rPr>
                <w:sz w:val="20"/>
                <w:szCs w:val="20"/>
                <w:color w:val="auto"/>
              </w:rPr>
            </w:pPr>
            <w:r>
              <w:rPr>
                <w:rFonts w:ascii="Arial" w:cs="Arial" w:eastAsia="Arial" w:hAnsi="Arial"/>
                <w:sz w:val="18"/>
                <w:szCs w:val="18"/>
                <w:color w:val="auto"/>
              </w:rPr>
              <w:t>-2190 bps</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-1810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Coverage of NPLs</w:t>
            </w:r>
          </w:p>
        </w:tc>
        <w:tc>
          <w:tcPr>
            <w:tcW w:w="1760" w:type="dxa"/>
            <w:vAlign w:val="bottom"/>
            <w:gridSpan w:val="5"/>
          </w:tcPr>
          <w:p>
            <w:pPr>
              <w:jc w:val="right"/>
              <w:ind w:right="60"/>
              <w:spacing w:after="0"/>
              <w:rPr>
                <w:sz w:val="20"/>
                <w:szCs w:val="20"/>
                <w:color w:val="auto"/>
              </w:rPr>
            </w:pPr>
            <w:r>
              <w:rPr>
                <w:rFonts w:ascii="Arial" w:cs="Arial" w:eastAsia="Arial" w:hAnsi="Arial"/>
                <w:sz w:val="18"/>
                <w:szCs w:val="18"/>
                <w:color w:val="auto"/>
              </w:rPr>
              <w:t>145.0%</w:t>
            </w:r>
          </w:p>
        </w:tc>
        <w:tc>
          <w:tcPr>
            <w:tcW w:w="1460" w:type="dxa"/>
            <w:vAlign w:val="bottom"/>
            <w:gridSpan w:val="5"/>
          </w:tcPr>
          <w:p>
            <w:pPr>
              <w:jc w:val="right"/>
              <w:ind w:right="120"/>
              <w:spacing w:after="0"/>
              <w:rPr>
                <w:sz w:val="20"/>
                <w:szCs w:val="20"/>
                <w:color w:val="auto"/>
              </w:rPr>
            </w:pPr>
            <w:r>
              <w:rPr>
                <w:rFonts w:ascii="Arial" w:cs="Arial" w:eastAsia="Arial" w:hAnsi="Arial"/>
                <w:sz w:val="18"/>
                <w:szCs w:val="18"/>
                <w:color w:val="auto"/>
              </w:rPr>
              <w:t>146.9%</w:t>
            </w:r>
          </w:p>
        </w:tc>
        <w:tc>
          <w:tcPr>
            <w:tcW w:w="1400" w:type="dxa"/>
            <w:vAlign w:val="bottom"/>
            <w:gridSpan w:val="4"/>
          </w:tcPr>
          <w:p>
            <w:pPr>
              <w:jc w:val="right"/>
              <w:ind w:right="120"/>
              <w:spacing w:after="0"/>
              <w:rPr>
                <w:sz w:val="20"/>
                <w:szCs w:val="20"/>
                <w:color w:val="auto"/>
              </w:rPr>
            </w:pPr>
            <w:r>
              <w:rPr>
                <w:rFonts w:ascii="Arial" w:cs="Arial" w:eastAsia="Arial" w:hAnsi="Arial"/>
                <w:sz w:val="18"/>
                <w:szCs w:val="18"/>
                <w:color w:val="auto"/>
              </w:rPr>
              <w:t>130.7%</w:t>
            </w:r>
          </w:p>
        </w:tc>
        <w:tc>
          <w:tcPr>
            <w:tcW w:w="1700" w:type="dxa"/>
            <w:vAlign w:val="bottom"/>
            <w:gridSpan w:val="5"/>
          </w:tcPr>
          <w:p>
            <w:pPr>
              <w:jc w:val="right"/>
              <w:ind w:right="580"/>
              <w:spacing w:after="0"/>
              <w:rPr>
                <w:sz w:val="20"/>
                <w:szCs w:val="20"/>
                <w:color w:val="auto"/>
              </w:rPr>
            </w:pPr>
            <w:r>
              <w:rPr>
                <w:rFonts w:ascii="Arial" w:cs="Arial" w:eastAsia="Arial" w:hAnsi="Arial"/>
                <w:sz w:val="18"/>
                <w:szCs w:val="18"/>
                <w:color w:val="auto"/>
              </w:rPr>
              <w:t>-1620 bps</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-1430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Branches</w:t>
            </w:r>
          </w:p>
        </w:tc>
        <w:tc>
          <w:tcPr>
            <w:tcW w:w="17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Agentes</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color w:val="auto"/>
              </w:rPr>
              <w:t>248</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369</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8"/>
                <w:szCs w:val="18"/>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ATMs</w:t>
            </w:r>
          </w:p>
        </w:tc>
        <w:tc>
          <w:tcPr>
            <w:tcW w:w="176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275</w:t>
            </w:r>
          </w:p>
        </w:tc>
        <w:tc>
          <w:tcPr>
            <w:tcW w:w="146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20"/>
              <w:spacing w:after="0"/>
              <w:rPr>
                <w:sz w:val="20"/>
                <w:szCs w:val="20"/>
                <w:color w:val="auto"/>
              </w:rPr>
            </w:pPr>
            <w:r>
              <w:rPr>
                <w:rFonts w:ascii="Arial" w:cs="Arial" w:eastAsia="Arial" w:hAnsi="Arial"/>
                <w:sz w:val="18"/>
                <w:szCs w:val="18"/>
                <w:color w:val="auto"/>
              </w:rPr>
              <w:t>Employees</w:t>
            </w:r>
          </w:p>
        </w:tc>
        <w:tc>
          <w:tcPr>
            <w:tcW w:w="1760" w:type="dxa"/>
            <w:vAlign w:val="bottom"/>
            <w:gridSpan w:val="5"/>
          </w:tcPr>
          <w:p>
            <w:pPr>
              <w:jc w:val="right"/>
              <w:ind w:right="200"/>
              <w:spacing w:after="0"/>
              <w:rPr>
                <w:sz w:val="20"/>
                <w:szCs w:val="20"/>
                <w:color w:val="auto"/>
              </w:rPr>
            </w:pPr>
            <w:r>
              <w:rPr>
                <w:rFonts w:ascii="Arial" w:cs="Arial" w:eastAsia="Arial" w:hAnsi="Arial"/>
                <w:sz w:val="18"/>
                <w:szCs w:val="18"/>
                <w:color w:val="auto"/>
              </w:rPr>
              <w:t>1,722</w:t>
            </w:r>
          </w:p>
        </w:tc>
        <w:tc>
          <w:tcPr>
            <w:tcW w:w="1460" w:type="dxa"/>
            <w:vAlign w:val="bottom"/>
            <w:gridSpan w:val="5"/>
          </w:tcPr>
          <w:p>
            <w:pPr>
              <w:jc w:val="right"/>
              <w:ind w:right="260"/>
              <w:spacing w:after="0"/>
              <w:rPr>
                <w:sz w:val="20"/>
                <w:szCs w:val="20"/>
                <w:color w:val="auto"/>
              </w:rPr>
            </w:pPr>
            <w:r>
              <w:rPr>
                <w:rFonts w:ascii="Arial" w:cs="Arial" w:eastAsia="Arial" w:hAnsi="Arial"/>
                <w:sz w:val="18"/>
                <w:szCs w:val="18"/>
                <w:color w:val="auto"/>
              </w:rPr>
              <w:t>1,701</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1,663</w:t>
            </w: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11.5. Credicorp Capital</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Credicorp Capital</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Arial" w:cs="Arial" w:eastAsia="Arial" w:hAnsi="Arial"/>
                <w:sz w:val="18"/>
                <w:szCs w:val="18"/>
                <w:b w:val="1"/>
                <w:bCs w:val="1"/>
                <w:color w:val="auto"/>
              </w:rPr>
              <w:t>Quarter</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3"/>
          </w:tcPr>
          <w:p>
            <w:pPr>
              <w:ind w:left="900"/>
              <w:spacing w:after="0"/>
              <w:rPr>
                <w:sz w:val="20"/>
                <w:szCs w:val="20"/>
                <w:color w:val="auto"/>
              </w:rPr>
            </w:pPr>
            <w:r>
              <w:rPr>
                <w:rFonts w:ascii="Arial" w:cs="Arial" w:eastAsia="Arial" w:hAnsi="Arial"/>
                <w:sz w:val="18"/>
                <w:szCs w:val="18"/>
                <w:b w:val="1"/>
                <w:bCs w:val="1"/>
                <w:color w:val="auto"/>
                <w:w w:val="99"/>
              </w:rPr>
              <w:t>% change</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 000</w:t>
            </w:r>
          </w:p>
        </w:tc>
        <w:tc>
          <w:tcPr>
            <w:tcW w:w="1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1Q18</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4Q18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1Q19</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interest income</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Non-financial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149,542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160,001</w:t>
            </w:r>
          </w:p>
        </w:tc>
        <w:tc>
          <w:tcPr>
            <w:tcW w:w="1120" w:type="dxa"/>
            <w:vAlign w:val="bottom"/>
          </w:tcPr>
          <w:p>
            <w:pPr>
              <w:jc w:val="right"/>
              <w:spacing w:after="0"/>
              <w:rPr>
                <w:sz w:val="20"/>
                <w:szCs w:val="20"/>
                <w:color w:val="auto"/>
              </w:rPr>
            </w:pPr>
            <w:r>
              <w:rPr>
                <w:rFonts w:ascii="Arial" w:cs="Arial" w:eastAsia="Arial" w:hAnsi="Arial"/>
                <w:sz w:val="18"/>
                <w:szCs w:val="18"/>
                <w:color w:val="auto"/>
              </w:rPr>
              <w:t>151,689</w:t>
            </w:r>
          </w:p>
        </w:tc>
        <w:tc>
          <w:tcPr>
            <w:tcW w:w="22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Fee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101,959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122,097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94,650</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4620" w:type="dxa"/>
            <w:vAlign w:val="bottom"/>
            <w:gridSpan w:val="2"/>
          </w:tcPr>
          <w:p>
            <w:pPr>
              <w:ind w:left="400"/>
              <w:spacing w:after="0"/>
              <w:rPr>
                <w:sz w:val="20"/>
                <w:szCs w:val="20"/>
                <w:color w:val="auto"/>
              </w:rPr>
            </w:pPr>
            <w:r>
              <w:rPr>
                <w:rFonts w:ascii="Arial" w:cs="Arial" w:eastAsia="Arial" w:hAnsi="Arial"/>
                <w:sz w:val="18"/>
                <w:szCs w:val="18"/>
                <w:color w:val="auto"/>
              </w:rPr>
              <w:t>Net gain on foreign exchange transactions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5,778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16,012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10,125</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-36.8%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4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gain on sales of securities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24,137</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50,485</w:t>
            </w: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109.2%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16"/>
        </w:trPr>
        <w:tc>
          <w:tcPr>
            <w:tcW w:w="4620" w:type="dxa"/>
            <w:vAlign w:val="bottom"/>
            <w:gridSpan w:val="2"/>
          </w:tcPr>
          <w:p>
            <w:pPr>
              <w:ind w:left="400"/>
              <w:spacing w:after="0"/>
              <w:rPr>
                <w:sz w:val="20"/>
                <w:szCs w:val="20"/>
                <w:color w:val="auto"/>
              </w:rPr>
            </w:pPr>
            <w:r>
              <w:rPr>
                <w:rFonts w:ascii="Arial" w:cs="Arial" w:eastAsia="Arial" w:hAnsi="Arial"/>
                <w:sz w:val="18"/>
                <w:szCs w:val="18"/>
                <w:color w:val="auto"/>
              </w:rPr>
              <w:t>Derivative Result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-1,759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-15,470</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779.5%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-709.8%</w:t>
            </w:r>
          </w:p>
        </w:tc>
      </w:tr>
      <w:tr>
        <w:trPr>
          <w:trHeight w:val="216"/>
        </w:trPr>
        <w:tc>
          <w:tcPr>
            <w:tcW w:w="4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Result from exposure to the exchange rate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-151.7%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-846.9%</w:t>
            </w:r>
          </w:p>
        </w:tc>
      </w:tr>
      <w:tr>
        <w:trPr>
          <w:trHeight w:val="216"/>
        </w:trPr>
        <w:tc>
          <w:tcPr>
            <w:tcW w:w="4620" w:type="dxa"/>
            <w:vAlign w:val="bottom"/>
            <w:gridSpan w:val="2"/>
          </w:tcPr>
          <w:p>
            <w:pPr>
              <w:ind w:left="400"/>
              <w:spacing w:after="0"/>
              <w:rPr>
                <w:sz w:val="20"/>
                <w:szCs w:val="20"/>
                <w:color w:val="auto"/>
              </w:rPr>
            </w:pPr>
            <w:r>
              <w:rPr>
                <w:rFonts w:ascii="Arial" w:cs="Arial" w:eastAsia="Arial" w:hAnsi="Arial"/>
                <w:sz w:val="18"/>
                <w:szCs w:val="18"/>
                <w:color w:val="auto"/>
              </w:rPr>
              <w:t>Other income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2,781</w:t>
            </w:r>
          </w:p>
        </w:tc>
        <w:tc>
          <w:tcPr>
            <w:tcW w:w="1120" w:type="dxa"/>
            <w:vAlign w:val="bottom"/>
          </w:tcPr>
          <w:p>
            <w:pPr>
              <w:jc w:val="right"/>
              <w:spacing w:after="0"/>
              <w:rPr>
                <w:sz w:val="20"/>
                <w:szCs w:val="20"/>
                <w:color w:val="auto"/>
              </w:rPr>
            </w:pPr>
            <w:r>
              <w:rPr>
                <w:rFonts w:ascii="Arial" w:cs="Arial" w:eastAsia="Arial" w:hAnsi="Arial"/>
                <w:sz w:val="18"/>
                <w:szCs w:val="18"/>
                <w:color w:val="auto"/>
              </w:rPr>
              <w:t>10,211</w:t>
            </w:r>
          </w:p>
        </w:tc>
        <w:tc>
          <w:tcPr>
            <w:tcW w:w="220" w:type="dxa"/>
            <w:vAlign w:val="bottom"/>
          </w:tcPr>
          <w:p>
            <w:pPr>
              <w:spacing w:after="0"/>
              <w:rPr>
                <w:sz w:val="18"/>
                <w:szCs w:val="18"/>
                <w:color w:val="auto"/>
              </w:rPr>
            </w:pP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267.2%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82.5%</w:t>
            </w:r>
          </w:p>
        </w:tc>
      </w:tr>
      <w:tr>
        <w:trPr>
          <w:trHeight w:val="270"/>
        </w:trPr>
        <w:tc>
          <w:tcPr>
            <w:tcW w:w="4620" w:type="dxa"/>
            <w:vAlign w:val="bottom"/>
            <w:gridSpan w:val="2"/>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30"/>
                <w:szCs w:val="30"/>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-112,782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-159,033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-122,277</w:t>
            </w:r>
          </w:p>
        </w:tc>
        <w:tc>
          <w:tcPr>
            <w:tcW w:w="2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-23.1%</w:t>
            </w:r>
          </w:p>
        </w:tc>
        <w:tc>
          <w:tcPr>
            <w:tcW w:w="3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10"/>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b w:val="1"/>
                <w:bCs w:val="1"/>
                <w:color w:val="auto"/>
              </w:rPr>
              <w:t>Operating income</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26,779</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-8,060</w:t>
            </w:r>
          </w:p>
        </w:tc>
        <w:tc>
          <w:tcPr>
            <w:tcW w:w="2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20,321</w:t>
            </w:r>
          </w:p>
        </w:tc>
        <w:tc>
          <w:tcPr>
            <w:tcW w:w="2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w:t>
            </w:r>
          </w:p>
        </w:tc>
        <w:tc>
          <w:tcPr>
            <w:tcW w:w="30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1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-35.4%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1440" w:type="dxa"/>
            <w:vAlign w:val="bottom"/>
            <w:gridSpan w:val="2"/>
          </w:tcPr>
          <w:p>
            <w:pPr>
              <w:jc w:val="right"/>
              <w:ind w:right="70"/>
              <w:spacing w:after="0"/>
              <w:rPr>
                <w:sz w:val="20"/>
                <w:szCs w:val="20"/>
                <w:color w:val="auto"/>
              </w:rPr>
            </w:pPr>
            <w:r>
              <w:rPr>
                <w:rFonts w:ascii="Arial" w:cs="Arial" w:eastAsia="Arial" w:hAnsi="Arial"/>
                <w:sz w:val="18"/>
                <w:szCs w:val="18"/>
                <w:color w:val="auto"/>
              </w:rPr>
              <w:t>-49.3%</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-36.7%</w:t>
            </w:r>
          </w:p>
        </w:tc>
      </w:tr>
      <w:tr>
        <w:trPr>
          <w:trHeight w:val="210"/>
        </w:trPr>
        <w:tc>
          <w:tcPr>
            <w:tcW w:w="462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15,419</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Unaudited results.</w:t>
      </w:r>
    </w:p>
    <w:p>
      <w:pPr>
        <w:spacing w:after="0" w:line="23" w:lineRule="exact"/>
        <w:rPr>
          <w:sz w:val="20"/>
          <w:szCs w:val="20"/>
          <w:color w:val="auto"/>
        </w:rPr>
      </w:pPr>
    </w:p>
    <w:p>
      <w:pPr>
        <w:ind w:right="340" w:firstLine="8"/>
        <w:spacing w:after="0" w:line="261" w:lineRule="auto"/>
        <w:tabs>
          <w:tab w:leader="none" w:pos="2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Salaries and employees benefits + Administrative expenses + Assigned expenses + Depreciation and amortization + Tax and contributions + Other expenses.</w:t>
      </w:r>
    </w:p>
    <w:p>
      <w:pPr>
        <w:spacing w:after="0" w:line="292"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11.6. Atlantic Security Bank</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ASB</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Millions</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1Q18</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4Q18</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Total loans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987.3</w:t>
            </w:r>
          </w:p>
        </w:tc>
        <w:tc>
          <w:tcPr>
            <w:tcW w:w="980" w:type="dxa"/>
            <w:vAlign w:val="bottom"/>
          </w:tcPr>
          <w:p>
            <w:pPr>
              <w:jc w:val="right"/>
              <w:spacing w:after="0"/>
              <w:rPr>
                <w:sz w:val="20"/>
                <w:szCs w:val="20"/>
                <w:color w:val="auto"/>
              </w:rPr>
            </w:pPr>
            <w:r>
              <w:rPr>
                <w:rFonts w:ascii="Arial" w:cs="Arial" w:eastAsia="Arial" w:hAnsi="Arial"/>
                <w:sz w:val="18"/>
                <w:szCs w:val="18"/>
                <w:color w:val="auto"/>
              </w:rPr>
              <w:t>870.5</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899.7</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1,982.0</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1,402.1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1,288.3</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1,258.3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shareholder's equity</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196.4</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426"/>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Interest earning assets*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8"/>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1Q18</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4Q18</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Due from banks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Total loans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792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853</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interest earning assets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1,913</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1,690</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1,698</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Excludes investments in equities and mutual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Quarter</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b w:val="1"/>
                <w:bCs w:val="1"/>
                <w:color w:val="auto"/>
                <w:w w:val="95"/>
              </w:rPr>
              <w:t>% change</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US$ 000</w:t>
            </w:r>
          </w:p>
        </w:tc>
        <w:tc>
          <w:tcPr>
            <w:tcW w:w="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1Q18</w:t>
            </w: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4Q18</w:t>
            </w:r>
          </w:p>
        </w:tc>
        <w:tc>
          <w:tcPr>
            <w:tcW w:w="16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1Q19</w:t>
            </w: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6"/>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Borrowed Funds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10"/>
        </w:trPr>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1,784</w:t>
            </w:r>
          </w:p>
        </w:tc>
        <w:tc>
          <w:tcPr>
            <w:tcW w:w="18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1,607</w:t>
            </w:r>
          </w:p>
        </w:tc>
        <w:tc>
          <w:tcPr>
            <w:tcW w:w="16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1,754</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87"/>
              </w:rPr>
              <w:t>%</w:t>
            </w:r>
          </w:p>
        </w:tc>
      </w:tr>
      <w:tr>
        <w:trPr>
          <w:trHeight w:val="20"/>
        </w:trPr>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62" w:name="page63"/>
    <w:bookmarkEnd w:id="62"/>
    <w:p>
      <w:pPr>
        <w:jc w:val="center"/>
        <w:ind w:right="1200"/>
        <w:spacing w:after="0"/>
        <w:rPr>
          <w:sz w:val="20"/>
          <w:szCs w:val="20"/>
          <w:color w:val="auto"/>
        </w:rPr>
      </w:pPr>
      <w:r>
        <w:rPr>
          <w:rFonts w:ascii="Arial" w:cs="Arial" w:eastAsia="Arial" w:hAnsi="Arial"/>
          <w:sz w:val="15"/>
          <w:szCs w:val="15"/>
          <w:b w:val="1"/>
          <w:bCs w:val="1"/>
          <w:color w:val="auto"/>
        </w:rPr>
        <w:t>Assets under management and Deposits</w:t>
      </w:r>
    </w:p>
    <w:p>
      <w:pPr>
        <w:spacing w:after="0" w:line="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786765</wp:posOffset>
            </wp:positionH>
            <wp:positionV relativeFrom="paragraph">
              <wp:posOffset>142875</wp:posOffset>
            </wp:positionV>
            <wp:extent cx="4193540" cy="2710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19354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Portfolio distribution as of March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154940</wp:posOffset>
            </wp:positionV>
            <wp:extent cx="3395980" cy="19723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95980"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23495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48"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11.7. Grupo Pacifico</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GRUPO PACIFICO *</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20" w:type="dxa"/>
            <w:vAlign w:val="bottom"/>
            <w:gridSpan w:val="8"/>
          </w:tcPr>
          <w:p>
            <w:pPr>
              <w:ind w:left="760"/>
              <w:spacing w:after="0"/>
              <w:rPr>
                <w:sz w:val="20"/>
                <w:szCs w:val="20"/>
                <w:color w:val="auto"/>
              </w:rPr>
            </w:pPr>
            <w:r>
              <w:rPr>
                <w:rFonts w:ascii="Arial" w:cs="Arial" w:eastAsia="Arial" w:hAnsi="Arial"/>
                <w:sz w:val="18"/>
                <w:szCs w:val="18"/>
                <w:b w:val="1"/>
                <w:bCs w:val="1"/>
                <w:color w:val="auto"/>
              </w:rPr>
              <w:t>(S/ in thousands )</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4"/>
          </w:tcPr>
          <w:p>
            <w:pPr>
              <w:ind w:left="1000"/>
              <w:spacing w:after="0"/>
              <w:rPr>
                <w:sz w:val="20"/>
                <w:szCs w:val="20"/>
                <w:color w:val="auto"/>
              </w:rPr>
            </w:pPr>
            <w:r>
              <w:rPr>
                <w:rFonts w:ascii="Arial" w:cs="Arial" w:eastAsia="Arial" w:hAnsi="Arial"/>
                <w:sz w:val="18"/>
                <w:szCs w:val="18"/>
                <w:b w:val="1"/>
                <w:bCs w:val="1"/>
                <w:color w:val="auto"/>
                <w:w w:val="99"/>
              </w:rPr>
              <w:t>% change</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Mar 18</w:t>
            </w:r>
          </w:p>
        </w:tc>
        <w:tc>
          <w:tcPr>
            <w:tcW w:w="220" w:type="dxa"/>
            <w:vAlign w:val="bottom"/>
            <w:tcBorders>
              <w:bottom w:val="single" w:sz="8" w:color="CCEEFF"/>
            </w:tcBorders>
            <w:gridSpan w:val="2"/>
          </w:tcPr>
          <w:p>
            <w:pPr>
              <w:spacing w:after="0"/>
              <w:rPr>
                <w:sz w:val="20"/>
                <w:szCs w:val="20"/>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Dec 18</w:t>
            </w:r>
          </w:p>
        </w:tc>
        <w:tc>
          <w:tcPr>
            <w:tcW w:w="220" w:type="dxa"/>
            <w:vAlign w:val="bottom"/>
            <w:tcBorders>
              <w:bottom w:val="single" w:sz="8" w:color="CCEEFF"/>
            </w:tcBorders>
            <w:gridSpan w:val="2"/>
          </w:tcPr>
          <w:p>
            <w:pPr>
              <w:spacing w:after="0"/>
              <w:rPr>
                <w:sz w:val="20"/>
                <w:szCs w:val="20"/>
                <w:color w:val="auto"/>
              </w:rPr>
            </w:pPr>
          </w:p>
        </w:tc>
        <w:tc>
          <w:tcPr>
            <w:tcW w:w="12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b w:val="1"/>
                <w:bCs w:val="1"/>
                <w:color w:val="auto"/>
              </w:rPr>
              <w:t>Mar 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QoQ</w:t>
            </w:r>
          </w:p>
        </w:tc>
        <w:tc>
          <w:tcPr>
            <w:tcW w:w="2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11,585,825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12,223,495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12,695,204</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tcPr>
          <w:p>
            <w:pPr>
              <w:ind w:left="20"/>
              <w:spacing w:after="0" w:line="256" w:lineRule="exact"/>
              <w:rPr>
                <w:sz w:val="20"/>
                <w:szCs w:val="20"/>
                <w:color w:val="auto"/>
              </w:rPr>
            </w:pPr>
            <w:r>
              <w:rPr>
                <w:rFonts w:ascii="Arial" w:cs="Arial" w:eastAsia="Arial" w:hAnsi="Arial"/>
                <w:sz w:val="18"/>
                <w:szCs w:val="18"/>
                <w:color w:val="auto"/>
              </w:rPr>
              <w:t xml:space="preserve">Invesment on securities </w:t>
            </w:r>
            <w:r>
              <w:rPr>
                <w:rFonts w:ascii="Arial" w:cs="Arial" w:eastAsia="Arial" w:hAnsi="Arial"/>
                <w:sz w:val="29"/>
                <w:szCs w:val="29"/>
                <w:color w:val="auto"/>
                <w:vertAlign w:val="superscript"/>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8,292,506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8,921,449</w:t>
            </w:r>
          </w:p>
        </w:tc>
        <w:tc>
          <w:tcPr>
            <w:tcW w:w="60" w:type="dxa"/>
            <w:vAlign w:val="bottom"/>
          </w:tcPr>
          <w:p>
            <w:pPr>
              <w:spacing w:after="0"/>
              <w:rPr>
                <w:sz w:val="22"/>
                <w:szCs w:val="22"/>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9,264,180</w:t>
            </w:r>
          </w:p>
        </w:tc>
        <w:tc>
          <w:tcPr>
            <w:tcW w:w="1520" w:type="dxa"/>
            <w:vAlign w:val="bottom"/>
            <w:gridSpan w:val="3"/>
          </w:tcPr>
          <w:p>
            <w:pPr>
              <w:ind w:left="102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22"/>
                <w:szCs w:val="22"/>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Technical reserves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7,608,970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8,471,154</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8,710,591</w:t>
            </w:r>
          </w:p>
        </w:tc>
        <w:tc>
          <w:tcPr>
            <w:tcW w:w="152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Net equity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2,665,814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2,614,480</w:t>
            </w:r>
          </w:p>
        </w:tc>
        <w:tc>
          <w:tcPr>
            <w:tcW w:w="60" w:type="dxa"/>
            <w:vAlign w:val="bottom"/>
          </w:tcPr>
          <w:p>
            <w:pPr>
              <w:spacing w:after="0"/>
              <w:rPr>
                <w:sz w:val="20"/>
                <w:szCs w:val="20"/>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2,663,129</w:t>
            </w:r>
          </w:p>
        </w:tc>
        <w:tc>
          <w:tcPr>
            <w:tcW w:w="1520" w:type="dxa"/>
            <w:vAlign w:val="bottom"/>
            <w:gridSpan w:val="3"/>
          </w:tcPr>
          <w:p>
            <w:pPr>
              <w:ind w:left="102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Quarter</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60" w:type="dxa"/>
            <w:vAlign w:val="bottom"/>
            <w:gridSpan w:val="4"/>
          </w:tcPr>
          <w:p>
            <w:pPr>
              <w:ind w:left="980"/>
              <w:spacing w:after="0"/>
              <w:rPr>
                <w:sz w:val="20"/>
                <w:szCs w:val="20"/>
                <w:color w:val="auto"/>
              </w:rPr>
            </w:pPr>
            <w:r>
              <w:rPr>
                <w:rFonts w:ascii="Arial" w:cs="Arial" w:eastAsia="Arial" w:hAnsi="Arial"/>
                <w:sz w:val="18"/>
                <w:szCs w:val="18"/>
                <w:b w:val="1"/>
                <w:bCs w:val="1"/>
                <w:color w:val="auto"/>
              </w:rPr>
              <w:t>% change</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1Q18</w:t>
            </w:r>
          </w:p>
        </w:tc>
        <w:tc>
          <w:tcPr>
            <w:tcW w:w="30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4Q18</w:t>
            </w:r>
          </w:p>
        </w:tc>
        <w:tc>
          <w:tcPr>
            <w:tcW w:w="30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1Q19</w:t>
            </w:r>
          </w:p>
        </w:tc>
        <w:tc>
          <w:tcPr>
            <w:tcW w:w="300" w:type="dxa"/>
            <w:vAlign w:val="bottom"/>
            <w:tcBorders>
              <w:bottom w:val="single" w:sz="8" w:color="CCEEFF"/>
            </w:tcBorders>
            <w:gridSpan w:val="2"/>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QoQ</w:t>
            </w:r>
          </w:p>
        </w:tc>
        <w:tc>
          <w:tcPr>
            <w:tcW w:w="300" w:type="dxa"/>
            <w:vAlign w:val="bottom"/>
            <w:tcBorders>
              <w:bottom w:val="single" w:sz="8" w:color="CCEEFF"/>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earned premiums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588,942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claims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294,744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325,401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386,521</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fees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140,181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134,507</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underwriting expenses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33,274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23,312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37,011</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Underwriting result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43,660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40,389</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30,902</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-23.5%</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financial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120,026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139,146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143,356</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3.0%</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107,450</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38,093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7,098</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-51.3%</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w w:val="98"/>
              </w:rPr>
              <w:t>Net gain on associates - EPS business and medical</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services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13,141</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8,918</w:t>
            </w:r>
          </w:p>
        </w:tc>
        <w:tc>
          <w:tcPr>
            <w:tcW w:w="220" w:type="dxa"/>
            <w:vAlign w:val="bottom"/>
          </w:tcPr>
          <w:p>
            <w:pPr>
              <w:spacing w:after="0"/>
              <w:rPr>
                <w:sz w:val="20"/>
                <w:szCs w:val="20"/>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Medical Assistance insurance deduction</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2,736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689</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120.2%</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78,217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106,755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78,070</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-26.9%</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2,592</w:t>
            </w:r>
          </w:p>
        </w:tc>
        <w:tc>
          <w:tcPr>
            <w:tcW w:w="22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76,192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104,417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75,478</w:t>
            </w:r>
          </w:p>
        </w:tc>
        <w:tc>
          <w:tcPr>
            <w:tcW w:w="2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-27.7%</w:t>
            </w:r>
          </w:p>
        </w:tc>
        <w:tc>
          <w:tcPr>
            <w:tcW w:w="3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Ceded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19.8%</w:t>
            </w:r>
          </w:p>
        </w:tc>
        <w:tc>
          <w:tcPr>
            <w:tcW w:w="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12.2%</w:t>
            </w:r>
          </w:p>
        </w:tc>
        <w:tc>
          <w:tcPr>
            <w:tcW w:w="1860" w:type="dxa"/>
            <w:vAlign w:val="bottom"/>
            <w:gridSpan w:val="4"/>
          </w:tcPr>
          <w:p>
            <w:pPr>
              <w:jc w:val="right"/>
              <w:ind w:right="640"/>
              <w:spacing w:after="0"/>
              <w:rPr>
                <w:sz w:val="20"/>
                <w:szCs w:val="20"/>
                <w:color w:val="auto"/>
              </w:rPr>
            </w:pPr>
            <w:r>
              <w:rPr>
                <w:rFonts w:ascii="Arial" w:cs="Arial" w:eastAsia="Arial" w:hAnsi="Arial"/>
                <w:sz w:val="18"/>
                <w:szCs w:val="18"/>
                <w:color w:val="auto"/>
              </w:rPr>
              <w:t>-760 bps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-200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Loss ratio </w:t>
            </w:r>
            <w:r>
              <w:rPr>
                <w:rFonts w:ascii="Arial" w:cs="Arial" w:eastAsia="Arial" w:hAnsi="Arial"/>
                <w:sz w:val="29"/>
                <w:szCs w:val="29"/>
                <w:color w:val="auto"/>
                <w:vertAlign w:val="superscript"/>
              </w:rPr>
              <w:t>(2)</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65.6%</w:t>
            </w:r>
          </w:p>
        </w:tc>
        <w:tc>
          <w:tcPr>
            <w:tcW w:w="18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500 bps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800 bps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gridSpan w:val="2"/>
          </w:tcPr>
          <w:p>
            <w:pPr>
              <w:spacing w:after="0" w:line="201" w:lineRule="exact"/>
              <w:rPr>
                <w:sz w:val="20"/>
                <w:szCs w:val="20"/>
                <w:color w:val="auto"/>
              </w:rPr>
            </w:pPr>
            <w:r>
              <w:rPr>
                <w:rFonts w:ascii="Arial" w:cs="Arial" w:eastAsia="Arial" w:hAnsi="Arial"/>
                <w:sz w:val="18"/>
                <w:szCs w:val="18"/>
                <w:color w:val="auto"/>
              </w:rPr>
              <w:t>Fees + underwriting expenses, net / net earned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premiums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0"/>
                <w:szCs w:val="20"/>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29.1%</w:t>
            </w:r>
          </w:p>
        </w:tc>
        <w:tc>
          <w:tcPr>
            <w:tcW w:w="1860" w:type="dxa"/>
            <w:vAlign w:val="bottom"/>
            <w:gridSpan w:val="4"/>
          </w:tcPr>
          <w:p>
            <w:pPr>
              <w:jc w:val="right"/>
              <w:ind w:right="640"/>
              <w:spacing w:after="0"/>
              <w:rPr>
                <w:sz w:val="20"/>
                <w:szCs w:val="20"/>
                <w:color w:val="auto"/>
              </w:rPr>
            </w:pPr>
            <w:r>
              <w:rPr>
                <w:rFonts w:ascii="Arial" w:cs="Arial" w:eastAsia="Arial" w:hAnsi="Arial"/>
                <w:sz w:val="18"/>
                <w:szCs w:val="18"/>
                <w:color w:val="auto"/>
              </w:rPr>
              <w:t>-280 bps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-480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Underwriting results / net earned premiums</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8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-230 bps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expenses / net earned premiums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18.2%</w:t>
            </w:r>
          </w:p>
        </w:tc>
        <w:tc>
          <w:tcPr>
            <w:tcW w:w="1860" w:type="dxa"/>
            <w:vAlign w:val="bottom"/>
            <w:gridSpan w:val="4"/>
          </w:tcPr>
          <w:p>
            <w:pPr>
              <w:jc w:val="right"/>
              <w:ind w:right="640"/>
              <w:spacing w:after="0"/>
              <w:rPr>
                <w:sz w:val="20"/>
                <w:szCs w:val="20"/>
                <w:color w:val="auto"/>
              </w:rPr>
            </w:pPr>
            <w:r>
              <w:rPr>
                <w:rFonts w:ascii="Arial" w:cs="Arial" w:eastAsia="Arial" w:hAnsi="Arial"/>
                <w:sz w:val="18"/>
                <w:szCs w:val="18"/>
                <w:color w:val="auto"/>
              </w:rPr>
              <w:t>-450 bps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-210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bscript"/>
              </w:rPr>
              <w:t>ROAE</w:t>
            </w:r>
            <w:r>
              <w:rPr>
                <w:rFonts w:ascii="Arial" w:cs="Arial" w:eastAsia="Arial" w:hAnsi="Arial"/>
                <w:sz w:val="13"/>
                <w:szCs w:val="13"/>
                <w:color w:val="auto"/>
              </w:rPr>
              <w:t xml:space="preserve"> (3)(4)</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18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-460 bps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 bps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Return on written premiums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8.4%</w:t>
            </w:r>
          </w:p>
        </w:tc>
        <w:tc>
          <w:tcPr>
            <w:tcW w:w="1860" w:type="dxa"/>
            <w:vAlign w:val="bottom"/>
            <w:gridSpan w:val="4"/>
          </w:tcPr>
          <w:p>
            <w:pPr>
              <w:jc w:val="right"/>
              <w:ind w:right="640"/>
              <w:spacing w:after="0"/>
              <w:rPr>
                <w:sz w:val="20"/>
                <w:szCs w:val="20"/>
                <w:color w:val="auto"/>
              </w:rPr>
            </w:pPr>
            <w:r>
              <w:rPr>
                <w:rFonts w:ascii="Arial" w:cs="Arial" w:eastAsia="Arial" w:hAnsi="Arial"/>
                <w:sz w:val="18"/>
                <w:szCs w:val="18"/>
                <w:color w:val="auto"/>
              </w:rPr>
              <w:t>-280 bps</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-140 bps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Combined ratio of P&amp;C </w:t>
            </w:r>
            <w:r>
              <w:rPr>
                <w:rFonts w:ascii="Arial" w:cs="Arial" w:eastAsia="Arial" w:hAnsi="Arial"/>
                <w:sz w:val="29"/>
                <w:szCs w:val="29"/>
                <w:color w:val="auto"/>
                <w:vertAlign w:val="superscript"/>
              </w:rPr>
              <w:t>(5)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101.6%</w:t>
            </w:r>
          </w:p>
        </w:tc>
        <w:tc>
          <w:tcPr>
            <w:tcW w:w="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104.4%</w:t>
            </w:r>
          </w:p>
        </w:tc>
        <w:tc>
          <w:tcPr>
            <w:tcW w:w="186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280 bps</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without consolidation adjustments.</w:t>
      </w:r>
    </w:p>
    <w:p>
      <w:pPr>
        <w:spacing w:after="0" w:line="23" w:lineRule="exact"/>
        <w:rPr>
          <w:sz w:val="20"/>
          <w:szCs w:val="20"/>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Excluding investments in real estate.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Net claims / Net earned premiums.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unrealized gains.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Annualized and average are determined as the average of period beginning and period ending.</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(Net claims / Net earned premiums) + [(Acquisition cost + total expenses) / Net earned premiums].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hanging="494"/>
        <w:spacing w:after="0"/>
        <w:tabs>
          <w:tab w:leader="none" w:pos="8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private health insurance business, which is managed by Grupo Pacifico and incorporated in each line of Grupo Pacifico’s financial statements;</w:t>
      </w:r>
    </w:p>
    <w:p>
      <w:pPr>
        <w:spacing w:after="0" w:line="248" w:lineRule="exact"/>
        <w:rPr>
          <w:rFonts w:ascii="Arial" w:cs="Arial" w:eastAsia="Arial" w:hAnsi="Arial"/>
          <w:sz w:val="16"/>
          <w:szCs w:val="16"/>
          <w:color w:val="auto"/>
        </w:rPr>
      </w:pPr>
    </w:p>
    <w:p>
      <w:pPr>
        <w:ind w:left="880" w:hanging="49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corporate health insurance for payroll employees; and</w:t>
      </w:r>
    </w:p>
    <w:p>
      <w:pPr>
        <w:spacing w:after="0" w:line="225" w:lineRule="exact"/>
        <w:rPr>
          <w:rFonts w:ascii="Arial" w:cs="Arial" w:eastAsia="Arial" w:hAnsi="Arial"/>
          <w:sz w:val="18"/>
          <w:szCs w:val="18"/>
          <w:color w:val="auto"/>
        </w:rPr>
      </w:pPr>
    </w:p>
    <w:p>
      <w:pPr>
        <w:ind w:left="880" w:hanging="49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64" w:name="page65"/>
    <w:bookmarkEnd w:id="64"/>
    <w:p>
      <w:pPr>
        <w:ind w:right="20"/>
        <w:spacing w:after="0" w:line="308" w:lineRule="auto"/>
        <w:rPr>
          <w:sz w:val="20"/>
          <w:szCs w:val="20"/>
          <w:color w:val="auto"/>
        </w:rPr>
      </w:pPr>
      <w:r>
        <w:rPr>
          <w:rFonts w:ascii="Arial" w:cs="Arial" w:eastAsia="Arial" w:hAnsi="Arial"/>
          <w:sz w:val="17"/>
          <w:szCs w:val="17"/>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 xml:space="preserve">As explained before, </w:t>
      </w:r>
      <w:r>
        <w:rPr>
          <w:rFonts w:ascii="Arial" w:cs="Arial" w:eastAsia="Arial" w:hAnsi="Arial"/>
          <w:sz w:val="18"/>
          <w:szCs w:val="18"/>
          <w:b w:val="1"/>
          <w:bCs w:val="1"/>
          <w:color w:val="auto"/>
        </w:rPr>
        <w:t>corporate health insurance</w:t>
      </w:r>
      <w:r>
        <w:rPr>
          <w:rFonts w:ascii="Arial" w:cs="Arial" w:eastAsia="Arial" w:hAnsi="Arial"/>
          <w:sz w:val="18"/>
          <w:szCs w:val="18"/>
          <w:color w:val="auto"/>
        </w:rPr>
        <w:t xml:space="preserve"> and </w:t>
      </w:r>
      <w:r>
        <w:rPr>
          <w:rFonts w:ascii="Arial" w:cs="Arial" w:eastAsia="Arial" w:hAnsi="Arial"/>
          <w:sz w:val="18"/>
          <w:szCs w:val="18"/>
          <w:b w:val="1"/>
          <w:bCs w:val="1"/>
          <w:color w:val="auto"/>
        </w:rPr>
        <w:t>medical services</w:t>
      </w:r>
      <w:r>
        <w:rPr>
          <w:rFonts w:ascii="Arial" w:cs="Arial" w:eastAsia="Arial" w:hAnsi="Arial"/>
          <w:sz w:val="18"/>
          <w:szCs w:val="18"/>
          <w:color w:val="auto"/>
        </w:rPr>
        <w:t xml:space="preserve"> businesses are consolidated by Banmedica. The following table reflects the consolidated results from which Grupo Pacifico receives the 50% net income.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Health Insurance and Medical Services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in thousands)</w:t>
      </w:r>
    </w:p>
    <w:p>
      <w:pPr>
        <w:spacing w:after="0" w:line="207"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Quarter</w:t>
            </w:r>
          </w:p>
        </w:tc>
        <w:tc>
          <w:tcPr>
            <w:tcW w:w="12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 change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1Q18</w:t>
            </w: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4Q18</w:t>
            </w: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1Q19</w:t>
            </w:r>
          </w:p>
        </w:tc>
        <w:tc>
          <w:tcPr>
            <w:tcW w:w="1560" w:type="dxa"/>
            <w:vAlign w:val="bottom"/>
          </w:tcPr>
          <w:p>
            <w:pPr>
              <w:jc w:val="right"/>
              <w:ind w:right="830"/>
              <w:spacing w:after="0"/>
              <w:rPr>
                <w:sz w:val="20"/>
                <w:szCs w:val="20"/>
                <w:color w:val="auto"/>
              </w:rPr>
            </w:pPr>
            <w:r>
              <w:rPr>
                <w:rFonts w:ascii="Arial" w:cs="Arial" w:eastAsia="Arial" w:hAnsi="Arial"/>
                <w:sz w:val="18"/>
                <w:szCs w:val="18"/>
                <w:b w:val="1"/>
                <w:bCs w:val="1"/>
                <w:color w:val="auto"/>
              </w:rPr>
              <w:t>QoQ</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rPr>
              <w:t>YoY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w:t>
            </w: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earned premiums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240,425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257,274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258,455</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claims</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-194,364</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-224,156</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-233,597</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fees</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-10,825</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-10,806</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-11,879</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9.9%</w:t>
            </w:r>
          </w:p>
        </w:tc>
        <w:tc>
          <w:tcPr>
            <w:tcW w:w="94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underwriting expenses</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-3,319</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-2,280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-2,912</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27.7%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Underwriting result</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31,917</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20,032</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10,068</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-49.7%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Net financial income</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1,261</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1,396</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1,505</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7.8%</w:t>
            </w:r>
          </w:p>
        </w:tc>
        <w:tc>
          <w:tcPr>
            <w:tcW w:w="9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-19,134</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-20,204</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-17,535</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Other income</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189</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5,174</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1,012</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-80.4%</w:t>
            </w:r>
          </w:p>
        </w:tc>
        <w:tc>
          <w:tcPr>
            <w:tcW w:w="940" w:type="dxa"/>
            <w:vAlign w:val="bottom"/>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Traslations results</w:t>
            </w:r>
          </w:p>
        </w:tc>
        <w:tc>
          <w:tcPr>
            <w:tcW w:w="1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40</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w:t>
            </w:r>
          </w:p>
        </w:tc>
        <w:tc>
          <w:tcPr>
            <w:tcW w:w="1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-141.8%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Income tax</w:t>
            </w:r>
          </w:p>
        </w:tc>
        <w:tc>
          <w:tcPr>
            <w:tcW w:w="1420" w:type="dxa"/>
            <w:vAlign w:val="bottom"/>
          </w:tcPr>
          <w:p>
            <w:pPr>
              <w:jc w:val="right"/>
              <w:ind w:right="110"/>
              <w:spacing w:after="0"/>
              <w:rPr>
                <w:sz w:val="20"/>
                <w:szCs w:val="20"/>
                <w:color w:val="auto"/>
              </w:rPr>
            </w:pPr>
            <w:r>
              <w:rPr>
                <w:rFonts w:ascii="Arial" w:cs="Arial" w:eastAsia="Arial" w:hAnsi="Arial"/>
                <w:sz w:val="18"/>
                <w:szCs w:val="18"/>
                <w:color w:val="auto"/>
              </w:rPr>
              <w:t>-4,806</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-1,497</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1,615</w:t>
            </w:r>
          </w:p>
        </w:tc>
        <w:tc>
          <w:tcPr>
            <w:tcW w:w="1560" w:type="dxa"/>
            <w:vAlign w:val="bottom"/>
          </w:tcPr>
          <w:p>
            <w:pPr>
              <w:jc w:val="right"/>
              <w:ind w:right="350"/>
              <w:spacing w:after="0"/>
              <w:rPr>
                <w:sz w:val="20"/>
                <w:szCs w:val="20"/>
                <w:color w:val="auto"/>
              </w:rPr>
            </w:pPr>
            <w:r>
              <w:rPr>
                <w:rFonts w:ascii="Arial" w:cs="Arial" w:eastAsia="Arial" w:hAnsi="Arial"/>
                <w:sz w:val="18"/>
                <w:szCs w:val="18"/>
                <w:color w:val="auto"/>
              </w:rPr>
              <w:t>-207.9%</w:t>
            </w:r>
          </w:p>
        </w:tc>
        <w:tc>
          <w:tcPr>
            <w:tcW w:w="940" w:type="dxa"/>
            <w:vAlign w:val="bottom"/>
          </w:tcPr>
          <w:p>
            <w:pPr>
              <w:jc w:val="right"/>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Net income before Medical services</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9,386</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4,941</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-3,353</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-167.9%</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Net income of Medical services</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17,018</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21,261</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21,108</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-0.7%</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20" w:type="dxa"/>
            <w:vAlign w:val="bottom"/>
          </w:tcPr>
          <w:p>
            <w:pPr>
              <w:jc w:val="right"/>
              <w:ind w:right="110"/>
              <w:spacing w:after="0"/>
              <w:rPr>
                <w:sz w:val="20"/>
                <w:szCs w:val="20"/>
                <w:color w:val="auto"/>
              </w:rPr>
            </w:pPr>
            <w:r>
              <w:rPr>
                <w:rFonts w:ascii="Arial" w:cs="Arial" w:eastAsia="Arial" w:hAnsi="Arial"/>
                <w:sz w:val="18"/>
                <w:szCs w:val="18"/>
                <w:b w:val="1"/>
                <w:bCs w:val="1"/>
                <w:color w:val="auto"/>
              </w:rPr>
              <w:t>26,404</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26,202</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17,756</w:t>
            </w:r>
          </w:p>
        </w:tc>
        <w:tc>
          <w:tcPr>
            <w:tcW w:w="1560" w:type="dxa"/>
            <w:vAlign w:val="bottom"/>
          </w:tcPr>
          <w:p>
            <w:pPr>
              <w:jc w:val="right"/>
              <w:ind w:right="310"/>
              <w:spacing w:after="0"/>
              <w:rPr>
                <w:sz w:val="20"/>
                <w:szCs w:val="20"/>
                <w:color w:val="auto"/>
              </w:rPr>
            </w:pPr>
            <w:r>
              <w:rPr>
                <w:rFonts w:ascii="Arial" w:cs="Arial" w:eastAsia="Arial" w:hAnsi="Arial"/>
                <w:sz w:val="18"/>
                <w:szCs w:val="18"/>
                <w:b w:val="1"/>
                <w:bCs w:val="1"/>
                <w:color w:val="auto"/>
              </w:rPr>
              <w:t>-32.2%</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0" w:type="dxa"/>
            <w:vAlign w:val="bottom"/>
          </w:tcPr>
          <w:p>
            <w:pPr>
              <w:spacing w:after="0"/>
              <w:rPr>
                <w:sz w:val="1"/>
                <w:szCs w:val="1"/>
                <w:color w:val="auto"/>
              </w:rPr>
            </w:pPr>
          </w:p>
        </w:tc>
      </w:tr>
    </w:tbl>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23495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65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r>
              <w:rPr>
                <w:rFonts w:ascii="Arial" w:cs="Arial" w:eastAsia="Arial" w:hAnsi="Arial"/>
                <w:sz w:val="18"/>
                <w:szCs w:val="18"/>
                <w:b w:val="1"/>
                <w:bCs w:val="1"/>
                <w:color w:val="auto"/>
              </w:rPr>
              <w:t>11.8. Prima AFP</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7"/>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4"/>
          </w:tcPr>
          <w:p>
            <w:pPr>
              <w:jc w:val="right"/>
              <w:ind w:right="420"/>
              <w:spacing w:after="0"/>
              <w:rPr>
                <w:sz w:val="20"/>
                <w:szCs w:val="20"/>
                <w:color w:val="auto"/>
              </w:rPr>
            </w:pPr>
            <w:r>
              <w:rPr>
                <w:rFonts w:ascii="Arial" w:cs="Arial" w:eastAsia="Arial" w:hAnsi="Arial"/>
                <w:sz w:val="18"/>
                <w:szCs w:val="18"/>
                <w:b w:val="1"/>
                <w:bCs w:val="1"/>
                <w:color w:val="auto"/>
              </w:rPr>
              <w:t>Quarter</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46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1Q18</w:t>
            </w:r>
          </w:p>
        </w:tc>
        <w:tc>
          <w:tcPr>
            <w:tcW w:w="30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5"/>
              </w:rPr>
              <w:t>4Q18</w:t>
            </w:r>
          </w:p>
        </w:tc>
        <w:tc>
          <w:tcPr>
            <w:tcW w:w="280" w:type="dxa"/>
            <w:vAlign w:val="bottom"/>
            <w:tcBorders>
              <w:bottom w:val="single" w:sz="8" w:color="CCEEFF"/>
            </w:tcBorders>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1Q19</w:t>
            </w:r>
          </w:p>
        </w:tc>
        <w:tc>
          <w:tcPr>
            <w:tcW w:w="28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QoQ</w:t>
            </w:r>
          </w:p>
        </w:tc>
        <w:tc>
          <w:tcPr>
            <w:tcW w:w="2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YoY</w:t>
            </w:r>
          </w:p>
        </w:tc>
        <w:tc>
          <w:tcPr>
            <w:tcW w:w="180" w:type="dxa"/>
            <w:vAlign w:val="bottom"/>
            <w:tcBorders>
              <w:bottom w:val="single" w:sz="8" w:color="CCEEFF"/>
            </w:tcBorders>
          </w:tcPr>
          <w:p>
            <w:pPr>
              <w:spacing w:after="0"/>
              <w:rPr>
                <w:sz w:val="20"/>
                <w:szCs w:val="20"/>
                <w:color w:val="auto"/>
              </w:rPr>
            </w:pPr>
          </w:p>
        </w:tc>
      </w:tr>
      <w:tr>
        <w:trPr>
          <w:trHeight w:val="21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from commissions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92,404</w:t>
            </w:r>
          </w:p>
        </w:tc>
        <w:tc>
          <w:tcPr>
            <w:tcW w:w="3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94,082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4460" w:type="dxa"/>
            <w:vAlign w:val="bottom"/>
          </w:tcPr>
          <w:p>
            <w:pPr>
              <w:ind w:left="40"/>
              <w:spacing w:after="0"/>
              <w:rPr>
                <w:sz w:val="20"/>
                <w:szCs w:val="20"/>
                <w:color w:val="auto"/>
              </w:rPr>
            </w:pPr>
            <w:r>
              <w:rPr>
                <w:rFonts w:ascii="Arial" w:cs="Arial" w:eastAsia="Arial" w:hAnsi="Arial"/>
                <w:sz w:val="18"/>
                <w:szCs w:val="18"/>
                <w:color w:val="auto"/>
              </w:rPr>
              <w:t>Administrative and sale expenses</w:t>
            </w:r>
          </w:p>
        </w:tc>
        <w:tc>
          <w:tcPr>
            <w:tcW w:w="1200" w:type="dxa"/>
            <w:vAlign w:val="bottom"/>
            <w:gridSpan w:val="3"/>
          </w:tcPr>
          <w:p>
            <w:pPr>
              <w:jc w:val="right"/>
              <w:ind w:right="150"/>
              <w:spacing w:after="0"/>
              <w:rPr>
                <w:sz w:val="20"/>
                <w:szCs w:val="20"/>
                <w:color w:val="auto"/>
              </w:rPr>
            </w:pPr>
            <w:r>
              <w:rPr>
                <w:rFonts w:ascii="Arial" w:cs="Arial" w:eastAsia="Arial" w:hAnsi="Arial"/>
                <w:sz w:val="18"/>
                <w:szCs w:val="18"/>
                <w:color w:val="auto"/>
              </w:rPr>
              <w:t>(41,439)</w:t>
            </w:r>
          </w:p>
        </w:tc>
        <w:tc>
          <w:tcPr>
            <w:tcW w:w="60" w:type="dxa"/>
            <w:vAlign w:val="bottom"/>
          </w:tcPr>
          <w:p>
            <w:pPr>
              <w:spacing w:after="0"/>
              <w:rPr>
                <w:sz w:val="18"/>
                <w:szCs w:val="18"/>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auto"/>
              </w:rPr>
              <w:t>(36,005)</w:t>
            </w:r>
          </w:p>
        </w:tc>
        <w:tc>
          <w:tcPr>
            <w:tcW w:w="6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(37,292)</w:t>
            </w: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3.6%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Borders>
              <w:right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(4,744)</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(4,390)</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46,221</w:t>
            </w:r>
          </w:p>
        </w:tc>
        <w:tc>
          <w:tcPr>
            <w:tcW w:w="60" w:type="dxa"/>
            <w:vAlign w:val="bottom"/>
          </w:tcPr>
          <w:p>
            <w:pPr>
              <w:spacing w:after="0"/>
              <w:rPr>
                <w:sz w:val="18"/>
                <w:szCs w:val="18"/>
                <w:color w:val="auto"/>
              </w:rPr>
            </w:pPr>
          </w:p>
        </w:tc>
        <w:tc>
          <w:tcPr>
            <w:tcW w:w="10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53,687</w:t>
            </w:r>
          </w:p>
        </w:tc>
        <w:tc>
          <w:tcPr>
            <w:tcW w:w="60" w:type="dxa"/>
            <w:vAlign w:val="bottom"/>
          </w:tcPr>
          <w:p>
            <w:pPr>
              <w:spacing w:after="0"/>
              <w:rPr>
                <w:sz w:val="18"/>
                <w:szCs w:val="18"/>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57,993</w:t>
            </w:r>
          </w:p>
        </w:tc>
        <w:tc>
          <w:tcPr>
            <w:tcW w:w="12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8.0%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25.5%</w:t>
            </w: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and expenses, net (profitability of lace)</w:t>
            </w:r>
          </w:p>
        </w:tc>
        <w:tc>
          <w:tcPr>
            <w:tcW w:w="1200" w:type="dxa"/>
            <w:vAlign w:val="bottom"/>
            <w:tcBorders>
              <w:right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color w:val="auto"/>
              </w:rPr>
              <w:t>4,540</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(6,146)</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17,712</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-388.2%</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290.2%</w:t>
            </w:r>
          </w:p>
        </w:tc>
      </w:tr>
      <w:tr>
        <w:trPr>
          <w:trHeight w:val="216"/>
        </w:trPr>
        <w:tc>
          <w:tcPr>
            <w:tcW w:w="4460" w:type="dxa"/>
            <w:vAlign w:val="bottom"/>
          </w:tcPr>
          <w:p>
            <w:pPr>
              <w:ind w:left="40"/>
              <w:spacing w:after="0"/>
              <w:rPr>
                <w:sz w:val="20"/>
                <w:szCs w:val="20"/>
                <w:color w:val="auto"/>
              </w:rPr>
            </w:pPr>
            <w:r>
              <w:rPr>
                <w:rFonts w:ascii="Arial" w:cs="Arial" w:eastAsia="Arial" w:hAnsi="Arial"/>
                <w:sz w:val="18"/>
                <w:szCs w:val="18"/>
                <w:color w:val="auto"/>
              </w:rPr>
              <w:t>Income tax</w:t>
            </w:r>
          </w:p>
        </w:tc>
        <w:tc>
          <w:tcPr>
            <w:tcW w:w="1200" w:type="dxa"/>
            <w:vAlign w:val="bottom"/>
            <w:gridSpan w:val="3"/>
          </w:tcPr>
          <w:p>
            <w:pPr>
              <w:jc w:val="right"/>
              <w:ind w:right="150"/>
              <w:spacing w:after="0"/>
              <w:rPr>
                <w:sz w:val="20"/>
                <w:szCs w:val="20"/>
                <w:color w:val="auto"/>
              </w:rPr>
            </w:pPr>
            <w:r>
              <w:rPr>
                <w:rFonts w:ascii="Arial" w:cs="Arial" w:eastAsia="Arial" w:hAnsi="Arial"/>
                <w:sz w:val="18"/>
                <w:szCs w:val="18"/>
                <w:color w:val="auto"/>
              </w:rPr>
              <w:t>(15,496)</w:t>
            </w:r>
          </w:p>
        </w:tc>
        <w:tc>
          <w:tcPr>
            <w:tcW w:w="60" w:type="dxa"/>
            <w:vAlign w:val="bottom"/>
          </w:tcPr>
          <w:p>
            <w:pPr>
              <w:spacing w:after="0"/>
              <w:rPr>
                <w:sz w:val="18"/>
                <w:szCs w:val="18"/>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auto"/>
              </w:rPr>
              <w:t>(16,980)</w:t>
            </w:r>
          </w:p>
        </w:tc>
        <w:tc>
          <w:tcPr>
            <w:tcW w:w="60" w:type="dxa"/>
            <w:vAlign w:val="bottom"/>
          </w:tcPr>
          <w:p>
            <w:pPr>
              <w:spacing w:after="0"/>
              <w:rPr>
                <w:sz w:val="18"/>
                <w:szCs w:val="18"/>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(18,829)</w:t>
            </w: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10.9%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before translation results</w:t>
            </w:r>
          </w:p>
        </w:tc>
        <w:tc>
          <w:tcPr>
            <w:tcW w:w="1200" w:type="dxa"/>
            <w:vAlign w:val="bottom"/>
            <w:tcBorders>
              <w:right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35,265</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30,561</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56,876</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61.3%</w:t>
            </w:r>
          </w:p>
        </w:tc>
      </w:tr>
      <w:tr>
        <w:trPr>
          <w:trHeight w:val="216"/>
        </w:trPr>
        <w:tc>
          <w:tcPr>
            <w:tcW w:w="4460" w:type="dxa"/>
            <w:vAlign w:val="bottom"/>
          </w:tcPr>
          <w:p>
            <w:pPr>
              <w:ind w:left="40"/>
              <w:spacing w:after="0"/>
              <w:rPr>
                <w:sz w:val="20"/>
                <w:szCs w:val="20"/>
                <w:color w:val="auto"/>
              </w:rPr>
            </w:pPr>
            <w:r>
              <w:rPr>
                <w:rFonts w:ascii="Arial" w:cs="Arial" w:eastAsia="Arial" w:hAnsi="Arial"/>
                <w:sz w:val="18"/>
                <w:szCs w:val="18"/>
                <w:color w:val="auto"/>
              </w:rPr>
              <w:t>Translations results</w:t>
            </w:r>
          </w:p>
        </w:tc>
        <w:tc>
          <w:tcPr>
            <w:tcW w:w="1200" w:type="dxa"/>
            <w:vAlign w:val="bottom"/>
            <w:gridSpan w:val="3"/>
          </w:tcPr>
          <w:p>
            <w:pPr>
              <w:jc w:val="right"/>
              <w:ind w:right="15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040" w:type="dxa"/>
            <w:vAlign w:val="bottom"/>
            <w:gridSpan w:val="3"/>
          </w:tcPr>
          <w:p>
            <w:pPr>
              <w:jc w:val="right"/>
              <w:ind w:right="7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-237.8%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-1620.0%</w:t>
            </w:r>
          </w:p>
        </w:tc>
      </w:tr>
      <w:tr>
        <w:trPr>
          <w:trHeight w:val="230"/>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0" w:type="dxa"/>
            <w:vAlign w:val="bottom"/>
            <w:tcBorders>
              <w:right w:val="single" w:sz="8" w:color="CCEEFF"/>
            </w:tcBorders>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35,257</w:t>
            </w: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30,471</w:t>
            </w:r>
          </w:p>
        </w:tc>
        <w:tc>
          <w:tcPr>
            <w:tcW w:w="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57,000</w:t>
            </w: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61.7%</w:t>
            </w:r>
          </w:p>
        </w:tc>
      </w:tr>
      <w:tr>
        <w:trPr>
          <w:trHeight w:val="210"/>
        </w:trPr>
        <w:tc>
          <w:tcPr>
            <w:tcW w:w="4460" w:type="dxa"/>
            <w:vAlign w:val="bottom"/>
          </w:tcPr>
          <w:p>
            <w:pPr>
              <w:ind w:left="40"/>
              <w:spacing w:after="0"/>
              <w:rPr>
                <w:sz w:val="20"/>
                <w:szCs w:val="20"/>
                <w:color w:val="auto"/>
              </w:rPr>
            </w:pPr>
            <w:r>
              <w:rPr>
                <w:rFonts w:ascii="Arial" w:cs="Arial" w:eastAsia="Arial" w:hAnsi="Arial"/>
                <w:sz w:val="18"/>
                <w:szCs w:val="18"/>
                <w:b w:val="1"/>
                <w:bCs w:val="1"/>
                <w:color w:val="auto"/>
              </w:rPr>
              <w:t>ROAE</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24.3</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1818 pbs</w:t>
            </w:r>
          </w:p>
        </w:tc>
        <w:tc>
          <w:tcPr>
            <w:tcW w:w="24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1333 pbs</w:t>
            </w:r>
          </w:p>
        </w:tc>
        <w:tc>
          <w:tcPr>
            <w:tcW w:w="180" w:type="dxa"/>
            <w:vAlign w:val="bottom"/>
          </w:tcPr>
          <w:p>
            <w:pPr>
              <w:spacing w:after="0"/>
              <w:rPr>
                <w:sz w:val="18"/>
                <w:szCs w:val="18"/>
                <w:color w:val="auto"/>
              </w:rPr>
            </w:pPr>
          </w:p>
        </w:tc>
      </w:tr>
      <w:tr>
        <w:trPr>
          <w:trHeight w:val="407"/>
        </w:trPr>
        <w:tc>
          <w:tcPr>
            <w:tcW w:w="4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 change</w:t>
            </w:r>
          </w:p>
        </w:tc>
      </w:tr>
      <w:tr>
        <w:trPr>
          <w:trHeight w:val="234"/>
        </w:trPr>
        <w:tc>
          <w:tcPr>
            <w:tcW w:w="4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Mar 18</w:t>
            </w:r>
          </w:p>
        </w:tc>
        <w:tc>
          <w:tcPr>
            <w:tcW w:w="14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Dec 18</w:t>
            </w:r>
          </w:p>
        </w:tc>
        <w:tc>
          <w:tcPr>
            <w:tcW w:w="120" w:type="dxa"/>
            <w:vAlign w:val="bottom"/>
          </w:tcPr>
          <w:p>
            <w:pPr>
              <w:spacing w:after="0"/>
              <w:rPr>
                <w:sz w:val="20"/>
                <w:szCs w:val="20"/>
                <w:color w:val="auto"/>
              </w:rPr>
            </w:pPr>
          </w:p>
        </w:tc>
        <w:tc>
          <w:tcPr>
            <w:tcW w:w="10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 19</w:t>
            </w:r>
          </w:p>
        </w:tc>
        <w:tc>
          <w:tcPr>
            <w:tcW w:w="6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QoQ</w:t>
            </w:r>
          </w:p>
        </w:tc>
        <w:tc>
          <w:tcPr>
            <w:tcW w:w="20" w:type="dxa"/>
            <w:vAlign w:val="bottom"/>
          </w:tcPr>
          <w:p>
            <w:pPr>
              <w:spacing w:after="0"/>
              <w:rPr>
                <w:sz w:val="20"/>
                <w:szCs w:val="20"/>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YoY</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925,388</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874,649</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982,264</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liabilities</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rPr>
              <w:t>381,755</w:t>
            </w:r>
          </w:p>
        </w:tc>
        <w:tc>
          <w:tcPr>
            <w:tcW w:w="1100" w:type="dxa"/>
            <w:vAlign w:val="bottom"/>
            <w:gridSpan w:val="4"/>
          </w:tcPr>
          <w:p>
            <w:pPr>
              <w:jc w:val="right"/>
              <w:ind w:right="60"/>
              <w:spacing w:after="0"/>
              <w:rPr>
                <w:sz w:val="20"/>
                <w:szCs w:val="20"/>
                <w:color w:val="auto"/>
              </w:rPr>
            </w:pPr>
            <w:r>
              <w:rPr>
                <w:rFonts w:ascii="Arial" w:cs="Arial" w:eastAsia="Arial" w:hAnsi="Arial"/>
                <w:sz w:val="18"/>
                <w:szCs w:val="18"/>
                <w:color w:val="auto"/>
              </w:rPr>
              <w:t>241,307</w:t>
            </w:r>
          </w:p>
        </w:tc>
        <w:tc>
          <w:tcPr>
            <w:tcW w:w="1160" w:type="dxa"/>
            <w:vAlign w:val="bottom"/>
            <w:gridSpan w:val="4"/>
          </w:tcPr>
          <w:p>
            <w:pPr>
              <w:jc w:val="right"/>
              <w:ind w:right="120"/>
              <w:spacing w:after="0"/>
              <w:rPr>
                <w:sz w:val="20"/>
                <w:szCs w:val="20"/>
                <w:color w:val="auto"/>
              </w:rPr>
            </w:pPr>
            <w:r>
              <w:rPr>
                <w:rFonts w:ascii="Arial" w:cs="Arial" w:eastAsia="Arial" w:hAnsi="Arial"/>
                <w:sz w:val="18"/>
                <w:szCs w:val="18"/>
                <w:color w:val="auto"/>
              </w:rPr>
              <w:t>402,446</w:t>
            </w: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66.8%</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r>
      <w:tr>
        <w:trPr>
          <w:trHeight w:val="270"/>
        </w:trPr>
        <w:tc>
          <w:tcPr>
            <w:tcW w:w="4460" w:type="dxa"/>
            <w:vAlign w:val="bottom"/>
            <w:shd w:val="clear" w:color="auto" w:fill="CCEEFF"/>
          </w:tcPr>
          <w:p>
            <w:pPr>
              <w:spacing w:after="0" w:line="269" w:lineRule="exact"/>
              <w:rPr>
                <w:sz w:val="20"/>
                <w:szCs w:val="20"/>
                <w:color w:val="auto"/>
              </w:rPr>
            </w:pPr>
            <w:r>
              <w:rPr>
                <w:rFonts w:ascii="Arial" w:cs="Arial" w:eastAsia="Arial" w:hAnsi="Arial"/>
                <w:sz w:val="18"/>
                <w:szCs w:val="18"/>
                <w:color w:val="auto"/>
              </w:rPr>
              <w:t xml:space="preserve">Net shareholders' equity </w:t>
            </w:r>
            <w:r>
              <w:rPr>
                <w:rFonts w:ascii="Arial" w:cs="Arial" w:eastAsia="Arial" w:hAnsi="Arial"/>
                <w:sz w:val="30"/>
                <w:szCs w:val="30"/>
                <w:color w:val="auto"/>
                <w:vertAlign w:val="superscript"/>
              </w:rPr>
              <w:t>(1)</w:t>
            </w:r>
          </w:p>
        </w:tc>
        <w:tc>
          <w:tcPr>
            <w:tcW w:w="28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543,633</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633,342</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579,818</w:t>
            </w: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r>
      <w:tr>
        <w:trPr>
          <w:trHeight w:val="20"/>
        </w:trPr>
        <w:tc>
          <w:tcPr>
            <w:tcW w:w="4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gridSpan w:val="8"/>
          </w:tcPr>
          <w:p>
            <w:pPr>
              <w:spacing w:after="0"/>
              <w:rPr>
                <w:sz w:val="20"/>
                <w:szCs w:val="20"/>
                <w:color w:val="auto"/>
              </w:rPr>
            </w:pPr>
            <w:r>
              <w:rPr>
                <w:rFonts w:ascii="Arial" w:cs="Arial" w:eastAsia="Arial" w:hAnsi="Arial"/>
                <w:sz w:val="18"/>
                <w:szCs w:val="18"/>
                <w:color w:val="auto"/>
                <w:w w:val="99"/>
              </w:rPr>
              <w:t>(1) Net shareholders' equity includes unrealized gains from Prima's investment portfolio.</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8"/>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Funds under management</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Dic 18</w:t>
            </w:r>
          </w:p>
        </w:tc>
        <w:tc>
          <w:tcPr>
            <w:tcW w:w="1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 share</w:t>
            </w: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 19</w:t>
            </w: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Fund 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Fund 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5,586</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 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37,432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Fund 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6,855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7,089</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14.0%</w:t>
            </w: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 Millions</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47,859</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50,736</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3880" w:type="dxa"/>
            <w:vAlign w:val="bottom"/>
            <w:gridSpan w:val="2"/>
          </w:tcPr>
          <w:p>
            <w:pPr>
              <w:spacing w:after="0"/>
              <w:rPr>
                <w:sz w:val="20"/>
                <w:szCs w:val="20"/>
                <w:color w:val="auto"/>
              </w:rPr>
            </w:pPr>
            <w:r>
              <w:rPr>
                <w:rFonts w:ascii="Arial" w:cs="Arial" w:eastAsia="Arial" w:hAnsi="Arial"/>
                <w:sz w:val="18"/>
                <w:szCs w:val="18"/>
                <w:i w:val="1"/>
                <w:iCs w:val="1"/>
                <w:color w:val="auto"/>
              </w:rPr>
              <w:t>Source: SBS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31"/>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Nominal profitability over the last 12 months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Dic 18 / Dic 17</w:t>
            </w:r>
          </w:p>
        </w:tc>
        <w:tc>
          <w:tcPr>
            <w:tcW w:w="14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6"/>
              </w:rPr>
              <w:t>Mar 19 / Mar 18</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Fund 0</w:t>
            </w:r>
          </w:p>
        </w:tc>
        <w:tc>
          <w:tcPr>
            <w:tcW w:w="540" w:type="dxa"/>
            <w:vAlign w:val="bottom"/>
            <w:shd w:val="clear" w:color="auto" w:fill="CCEEFF"/>
          </w:tcPr>
          <w:p>
            <w:pPr>
              <w:spacing w:after="0" w:line="20" w:lineRule="exact"/>
              <w:rPr>
                <w:sz w:val="1"/>
                <w:szCs w:val="1"/>
                <w:color w:val="auto"/>
              </w:rPr>
            </w:pPr>
          </w:p>
        </w:tc>
        <w:tc>
          <w:tcPr>
            <w:tcW w:w="56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Fund 1</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Fund 2</w:t>
            </w: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14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Fund 3</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420" w:type="dxa"/>
            <w:vAlign w:val="bottom"/>
            <w:gridSpan w:val="4"/>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AFP fees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Fee based on flow</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1.60%</w:t>
            </w:r>
          </w:p>
        </w:tc>
        <w:tc>
          <w:tcPr>
            <w:tcW w:w="3960" w:type="dxa"/>
            <w:vAlign w:val="bottom"/>
            <w:gridSpan w:val="9"/>
          </w:tcPr>
          <w:p>
            <w:pPr>
              <w:spacing w:after="0"/>
              <w:rPr>
                <w:sz w:val="20"/>
                <w:szCs w:val="20"/>
                <w:color w:val="auto"/>
              </w:rPr>
            </w:pPr>
            <w:r>
              <w:rPr>
                <w:rFonts w:ascii="Arial" w:cs="Arial" w:eastAsia="Arial" w:hAnsi="Arial"/>
                <w:sz w:val="18"/>
                <w:szCs w:val="18"/>
                <w:color w:val="auto"/>
              </w:rPr>
              <w:t>Applied to the affiliates' monthly remuneration.</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Mixed fee</w:t>
            </w: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CCEEFF"/>
              <w:right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right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Flow</w:t>
            </w:r>
          </w:p>
        </w:tc>
        <w:tc>
          <w:tcPr>
            <w:tcW w:w="110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0.18%</w:t>
            </w:r>
          </w:p>
        </w:tc>
        <w:tc>
          <w:tcPr>
            <w:tcW w:w="7380" w:type="dxa"/>
            <w:vAlign w:val="bottom"/>
            <w:gridSpan w:val="15"/>
            <w:shd w:val="clear" w:color="auto" w:fill="CCEEFF"/>
          </w:tcPr>
          <w:p>
            <w:pPr>
              <w:spacing w:after="0"/>
              <w:rPr>
                <w:sz w:val="20"/>
                <w:szCs w:val="20"/>
                <w:color w:val="auto"/>
              </w:rPr>
            </w:pPr>
            <w:r>
              <w:rPr>
                <w:rFonts w:ascii="Arial" w:cs="Arial" w:eastAsia="Arial" w:hAnsi="Arial"/>
                <w:sz w:val="18"/>
                <w:szCs w:val="18"/>
                <w:color w:val="auto"/>
              </w:rPr>
              <w:t>Applied to the affiliates' monthly remuneration since June 2017. Feb 17- may 17 =0.87%.</w:t>
            </w: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w:t>
            </w:r>
          </w:p>
        </w:tc>
        <w:tc>
          <w:tcPr>
            <w:tcW w:w="1100" w:type="dxa"/>
            <w:vAlign w:val="bottom"/>
            <w:tcBorders>
              <w:right w:val="single" w:sz="8" w:color="CCEEFF"/>
            </w:tcBorders>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1.25%</w:t>
            </w:r>
          </w:p>
        </w:tc>
        <w:tc>
          <w:tcPr>
            <w:tcW w:w="8440" w:type="dxa"/>
            <w:vAlign w:val="bottom"/>
            <w:gridSpan w:val="17"/>
            <w:shd w:val="clear" w:color="auto" w:fill="CCEEFF"/>
          </w:tcPr>
          <w:p>
            <w:pPr>
              <w:spacing w:after="0" w:line="201" w:lineRule="exact"/>
              <w:rPr>
                <w:sz w:val="20"/>
                <w:szCs w:val="20"/>
                <w:color w:val="auto"/>
              </w:rPr>
            </w:pPr>
            <w:r>
              <w:rPr>
                <w:rFonts w:ascii="Arial" w:cs="Arial" w:eastAsia="Arial" w:hAnsi="Arial"/>
                <w:sz w:val="18"/>
                <w:szCs w:val="18"/>
                <w:color w:val="auto"/>
                <w:w w:val="90"/>
              </w:rPr>
              <w:t>Applies annualy to the new balance since February 2013 for new affiliates to the system and beginning on June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60" w:type="dxa"/>
            <w:vAlign w:val="bottom"/>
            <w:tcBorders>
              <w:right w:val="single" w:sz="8" w:color="CCEEFF"/>
            </w:tcBorders>
            <w:shd w:val="clear" w:color="auto" w:fill="CCEEFF"/>
          </w:tcPr>
          <w:p>
            <w:pPr>
              <w:spacing w:after="0"/>
              <w:rPr>
                <w:sz w:val="20"/>
                <w:szCs w:val="20"/>
                <w:color w:val="auto"/>
              </w:rPr>
            </w:pPr>
          </w:p>
        </w:tc>
        <w:tc>
          <w:tcPr>
            <w:tcW w:w="514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for old affiliates who have chosen this commission scheme.</w:t>
            </w: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880" w:type="dxa"/>
            <w:vAlign w:val="bottom"/>
            <w:gridSpan w:val="2"/>
          </w:tcPr>
          <w:p>
            <w:pPr>
              <w:spacing w:after="0"/>
              <w:rPr>
                <w:sz w:val="20"/>
                <w:szCs w:val="20"/>
                <w:color w:val="auto"/>
              </w:rPr>
            </w:pPr>
            <w:r>
              <w:rPr>
                <w:rFonts w:ascii="Arial" w:cs="Arial" w:eastAsia="Arial" w:hAnsi="Arial"/>
                <w:sz w:val="18"/>
                <w:szCs w:val="18"/>
                <w:b w:val="1"/>
                <w:bCs w:val="1"/>
                <w:color w:val="auto"/>
              </w:rPr>
              <w:t>Main indicators</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Prima</w:t>
            </w:r>
          </w:p>
        </w:tc>
        <w:tc>
          <w:tcPr>
            <w:tcW w:w="120" w:type="dxa"/>
            <w:vAlign w:val="bottom"/>
          </w:tcPr>
          <w:p>
            <w:pPr>
              <w:spacing w:after="0"/>
              <w:rPr>
                <w:sz w:val="24"/>
                <w:szCs w:val="2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System</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share</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Prima</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System</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share</w:t>
            </w:r>
          </w:p>
        </w:tc>
        <w:tc>
          <w:tcPr>
            <w:tcW w:w="0" w:type="dxa"/>
            <w:vAlign w:val="bottom"/>
          </w:tcPr>
          <w:p>
            <w:pPr>
              <w:spacing w:after="0"/>
              <w:rPr>
                <w:sz w:val="1"/>
                <w:szCs w:val="1"/>
                <w:color w:val="auto"/>
              </w:rPr>
            </w:pPr>
          </w:p>
        </w:tc>
      </w:tr>
      <w:tr>
        <w:trPr>
          <w:trHeight w:val="234"/>
        </w:trPr>
        <w:tc>
          <w:tcPr>
            <w:tcW w:w="2980" w:type="dxa"/>
            <w:vAlign w:val="bottom"/>
            <w:gridSpan w:val="4"/>
          </w:tcPr>
          <w:p>
            <w:pPr>
              <w:spacing w:after="0"/>
              <w:rPr>
                <w:sz w:val="20"/>
                <w:szCs w:val="20"/>
                <w:color w:val="auto"/>
              </w:rPr>
            </w:pPr>
            <w:r>
              <w:rPr>
                <w:rFonts w:ascii="Arial" w:cs="Arial" w:eastAsia="Arial" w:hAnsi="Arial"/>
                <w:sz w:val="18"/>
                <w:szCs w:val="18"/>
                <w:b w:val="1"/>
                <w:bCs w:val="1"/>
                <w:color w:val="auto"/>
              </w:rPr>
              <w:t>Main indicators and market share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4Q18</w:t>
            </w:r>
          </w:p>
        </w:tc>
        <w:tc>
          <w:tcPr>
            <w:tcW w:w="1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4Q18</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4Q18</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1Q19</w:t>
            </w: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1Q19</w:t>
            </w: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1Q19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54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2,137,604</w:t>
            </w: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7,018,669</w:t>
            </w:r>
          </w:p>
        </w:tc>
        <w:tc>
          <w:tcPr>
            <w:tcW w:w="220" w:type="dxa"/>
            <w:vAlign w:val="bottom"/>
            <w:vMerge w:val="continue"/>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2,260,041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7,131,902</w:t>
            </w:r>
          </w:p>
        </w:tc>
        <w:tc>
          <w:tcPr>
            <w:tcW w:w="22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New affiliations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104,027</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104,027</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117,519</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117,519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4"/>
              </w:rPr>
              <w:t>Funds under management (S/ Millions)</w:t>
            </w:r>
          </w:p>
        </w:tc>
        <w:tc>
          <w:tcPr>
            <w:tcW w:w="10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47,859</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153,414</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50,736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162,263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8"/>
              </w:rPr>
              <w:t>Collections (S/ Millions)</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3,464</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35.7%</w:t>
            </w:r>
          </w:p>
        </w:tc>
        <w:tc>
          <w:tcPr>
            <w:tcW w:w="900" w:type="dxa"/>
            <w:vAlign w:val="bottom"/>
          </w:tcPr>
          <w:p>
            <w:pPr>
              <w:jc w:val="right"/>
              <w:spacing w:after="0"/>
              <w:rPr>
                <w:sz w:val="20"/>
                <w:szCs w:val="20"/>
                <w:color w:val="auto"/>
              </w:rPr>
            </w:pPr>
            <w:r>
              <w:rPr>
                <w:rFonts w:ascii="Arial" w:cs="Arial" w:eastAsia="Arial" w:hAnsi="Arial"/>
                <w:sz w:val="18"/>
                <w:szCs w:val="18"/>
                <w:color w:val="auto"/>
              </w:rPr>
              <w:t>1,525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4,023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60" w:type="dxa"/>
            <w:vAlign w:val="bottom"/>
            <w:tcBorders>
              <w:right w:val="single" w:sz="8" w:color="CCEEFF"/>
            </w:tcBorders>
            <w:gridSpan w:val="3"/>
            <w:shd w:val="clear" w:color="auto" w:fill="CCEEFF"/>
          </w:tcPr>
          <w:p>
            <w:pPr>
              <w:spacing w:after="0" w:line="256" w:lineRule="exact"/>
              <w:rPr>
                <w:sz w:val="20"/>
                <w:szCs w:val="20"/>
                <w:color w:val="auto"/>
              </w:rPr>
            </w:pPr>
            <w:r>
              <w:rPr>
                <w:rFonts w:ascii="Arial" w:cs="Arial" w:eastAsia="Arial" w:hAnsi="Arial"/>
                <w:sz w:val="18"/>
                <w:szCs w:val="18"/>
                <w:color w:val="auto"/>
                <w:w w:val="93"/>
              </w:rPr>
              <w:t xml:space="preserve">Voluntary contributions (S/ Millions) </w:t>
            </w:r>
            <w:r>
              <w:rPr>
                <w:rFonts w:ascii="Arial" w:cs="Arial" w:eastAsia="Arial" w:hAnsi="Arial"/>
                <w:sz w:val="29"/>
                <w:szCs w:val="29"/>
                <w:color w:val="auto"/>
                <w:w w:val="93"/>
                <w:vertAlign w:val="superscript"/>
              </w:rPr>
              <w:t>(1)</w:t>
            </w:r>
          </w:p>
        </w:tc>
        <w:tc>
          <w:tcPr>
            <w:tcW w:w="108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2,059</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45.5%</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860" w:type="dxa"/>
            <w:vAlign w:val="bottom"/>
          </w:tcPr>
          <w:p>
            <w:pPr>
              <w:spacing w:after="0" w:line="269"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30"/>
                <w:szCs w:val="30"/>
                <w:color w:val="auto"/>
                <w:vertAlign w:val="superscript"/>
              </w:rPr>
              <w:t>(2)</w:t>
            </w: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gridSpan w:val="2"/>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7,840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900" w:type="dxa"/>
            <w:vAlign w:val="bottom"/>
          </w:tcPr>
          <w:p>
            <w:pPr>
              <w:jc w:val="right"/>
              <w:spacing w:after="0"/>
              <w:rPr>
                <w:sz w:val="20"/>
                <w:szCs w:val="20"/>
                <w:color w:val="auto"/>
              </w:rPr>
            </w:pPr>
            <w:r>
              <w:rPr>
                <w:rFonts w:ascii="Arial" w:cs="Arial" w:eastAsia="Arial" w:hAnsi="Arial"/>
                <w:sz w:val="18"/>
                <w:szCs w:val="18"/>
                <w:color w:val="auto"/>
              </w:rPr>
              <w:t>2,747</w:t>
            </w:r>
          </w:p>
        </w:tc>
        <w:tc>
          <w:tcPr>
            <w:tcW w:w="2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7,979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SBS</w:t>
      </w:r>
    </w:p>
    <w:p>
      <w:pPr>
        <w:spacing w:after="0" w:line="23" w:lineRule="exact"/>
        <w:rPr>
          <w:sz w:val="20"/>
          <w:szCs w:val="20"/>
          <w:color w:val="auto"/>
        </w:rPr>
      </w:pPr>
    </w:p>
    <w:p>
      <w:pPr>
        <w:ind w:left="260" w:hanging="252"/>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Information available to February 2019.</w:t>
      </w:r>
    </w:p>
    <w:p>
      <w:pPr>
        <w:spacing w:after="0" w:line="9" w:lineRule="exact"/>
        <w:rPr>
          <w:rFonts w:ascii="Arial" w:cs="Arial" w:eastAsia="Arial" w:hAnsi="Arial"/>
          <w:sz w:val="18"/>
          <w:szCs w:val="18"/>
          <w:color w:val="auto"/>
        </w:rPr>
      </w:pPr>
    </w:p>
    <w:p>
      <w:pPr>
        <w:ind w:right="1120" w:firstLine="8"/>
        <w:spacing w:after="0" w:line="261" w:lineRule="auto"/>
        <w:tabs>
          <w:tab w:leader="none" w:pos="2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Prima AFP estimate: Average of aggregated income during the last 4 months, excluding special collections and voluntary contribution fees. Information available to February 2019.</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491"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11.9.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574030" cy="6629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6629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total deposits, due to banks and correspondents, BCRP instruments, repurchase agreements and bonds and subordinated debt.</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Does not include Life insurance business.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investment in subsidiaries, goodwill, intangibles and deferred tax that rely on future profitability.</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1)"/>
      <w:numFmt w:val="decimal"/>
      <w:start w:val="1"/>
    </w:lvl>
  </w:abstractNum>
  <w:abstractNum w:abstractNumId="3">
    <w:nsid w:val="749ABB43"/>
    <w:multiLevelType w:val="hybridMultilevel"/>
    <w:lvl w:ilvl="0">
      <w:lvlJc w:val="left"/>
      <w:lvlText w:val="(%1)"/>
      <w:numFmt w:val="decimal"/>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1)"/>
      <w:numFmt w:val="lowerRoman"/>
      <w:start w:val="1"/>
    </w:lvl>
  </w:abstractNum>
  <w:abstractNum w:abstractNumId="8">
    <w:nsid w:val="12E685FB"/>
    <w:multiLevelType w:val="hybridMultilevel"/>
    <w:lvl w:ilvl="0">
      <w:lvlJc w:val="left"/>
      <w:lvlText w:val="(%1)"/>
      <w:numFmt w:val="lowerRoman"/>
      <w:start w:val="1"/>
    </w:lvl>
  </w:abstractNum>
  <w:abstractNum w:abstractNumId="9">
    <w:nsid w:val="70C6A529"/>
    <w:multiLevelType w:val="hybridMultilevel"/>
    <w:lvl w:ilvl="0">
      <w:lvlJc w:val="left"/>
      <w:lvlText w:val="(%1)"/>
      <w:numFmt w:val="lowerRoman"/>
      <w:start w:val="1"/>
    </w:lvl>
  </w:abstractNum>
  <w:abstractNum w:abstractNumId="10">
    <w:nsid w:val="520EEDD1"/>
    <w:multiLevelType w:val="hybridMultilevel"/>
    <w:lvl w:ilvl="0">
      <w:lvlJc w:val="left"/>
      <w:lvlText w:val="(%1)"/>
      <w:numFmt w:val="lowerRoman"/>
      <w:start w:val="1"/>
    </w:lvl>
  </w:abstractNum>
  <w:abstractNum w:abstractNumId="11">
    <w:nsid w:val="374A3FE6"/>
    <w:multiLevelType w:val="hybridMultilevel"/>
    <w:lvl w:ilvl="0">
      <w:lvlJc w:val="left"/>
      <w:lvlText w:val="(%1)"/>
      <w:numFmt w:val="decimal"/>
      <w:start w:val="1"/>
    </w:lvl>
  </w:abstractNum>
  <w:abstractNum w:abstractNumId="12">
    <w:nsid w:val="4F4EF005"/>
    <w:multiLevelType w:val="hybridMultilevel"/>
    <w:lvl w:ilvl="0">
      <w:lvlJc w:val="left"/>
      <w:lvlText w:val="(%1)"/>
      <w:numFmt w:val="lowerRoman"/>
      <w:start w:val="1"/>
    </w:lvl>
  </w:abstractNum>
  <w:abstractNum w:abstractNumId="13">
    <w:nsid w:val="23F9C13C"/>
    <w:multiLevelType w:val="hybridMultilevel"/>
    <w:lvl w:ilvl="0">
      <w:lvlJc w:val="left"/>
      <w:lvlText w:val="(%1)"/>
      <w:numFmt w:val="lowerRoman"/>
      <w:start w:val="2"/>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1."/>
      <w:numFmt w:val="decimal"/>
      <w:start w:val="2"/>
    </w:lvl>
  </w:abstractNum>
  <w:abstractNum w:abstractNumId="16">
    <w:nsid w:val="39386575"/>
    <w:multiLevelType w:val="hybridMultilevel"/>
    <w:lvl w:ilvl="0">
      <w:lvlJc w:val="left"/>
      <w:lvlText w:val="(%1)"/>
      <w:numFmt w:val="decimal"/>
      <w:start w:val="1"/>
    </w:lvl>
  </w:abstractNum>
  <w:abstractNum w:abstractNumId="17">
    <w:nsid w:val="1CF10FD8"/>
    <w:multiLevelType w:val="hybridMultilevel"/>
    <w:lvl w:ilvl="0">
      <w:lvlJc w:val="left"/>
      <w:lvlText w:val="(%1)"/>
      <w:numFmt w:val="lowerRoman"/>
      <w:start w:val="1"/>
    </w:lvl>
  </w:abstractNum>
  <w:abstractNum w:abstractNumId="18">
    <w:nsid w:val="180115BE"/>
    <w:multiLevelType w:val="hybridMultilevel"/>
    <w:lvl w:ilvl="0">
      <w:lvlJc w:val="left"/>
      <w:lvlText w:val="(%1)"/>
      <w:numFmt w:val="lowerRoman"/>
      <w:start w:val="2"/>
    </w:lvl>
  </w:abstractNum>
  <w:abstractNum w:abstractNumId="19">
    <w:nsid w:val="235BA861"/>
    <w:multiLevelType w:val="hybridMultilevel"/>
    <w:lvl w:ilvl="0">
      <w:lvlJc w:val="left"/>
      <w:lvlText w:val="(%1)"/>
      <w:numFmt w:val="lowerRoman"/>
      <w:start w:val="1"/>
    </w:lvl>
  </w:abstractNum>
  <w:abstractNum w:abstractNumId="20">
    <w:nsid w:val="47398C89"/>
    <w:multiLevelType w:val="hybridMultilevel"/>
    <w:lvl w:ilvl="0">
      <w:lvlJc w:val="left"/>
      <w:lvlText w:val="(%1)"/>
      <w:numFmt w:val="lowerRoman"/>
      <w:start w:val="1"/>
    </w:lvl>
  </w:abstractNum>
  <w:abstractNum w:abstractNumId="21">
    <w:nsid w:val="354FE9F9"/>
    <w:multiLevelType w:val="hybridMultilevel"/>
    <w:lvl w:ilvl="0">
      <w:lvlJc w:val="left"/>
      <w:lvlText w:val="%1"/>
      <w:numFmt w:val="lowerRoman"/>
      <w:start w:val="1"/>
    </w:lvl>
    <w:lvl w:ilvl="1">
      <w:lvlJc w:val="left"/>
      <w:lvlText w:val="(%2)"/>
      <w:numFmt w:val="decimal"/>
      <w:start w:val="1"/>
    </w:lvl>
  </w:abstractNum>
  <w:abstractNum w:abstractNumId="22">
    <w:nsid w:val="15B5AF5C"/>
    <w:multiLevelType w:val="hybridMultilevel"/>
    <w:lvl w:ilvl="0">
      <w:lvlJc w:val="left"/>
      <w:lvlText w:val="(%1)"/>
      <w:numFmt w:val="lowerRoman"/>
      <w:start w:val="1"/>
    </w:lvl>
    <w:lvl w:ilvl="1">
      <w:lvlJc w:val="left"/>
      <w:lvlText w:val="%2"/>
      <w:numFmt w:val="decimal"/>
      <w:start w:val="1"/>
    </w:lvl>
  </w:abstractNum>
  <w:abstractNum w:abstractNumId="23">
    <w:nsid w:val="741226BB"/>
    <w:multiLevelType w:val="hybridMultilevel"/>
    <w:lvl w:ilvl="0">
      <w:lvlJc w:val="left"/>
      <w:lvlText w:val="(%1)"/>
      <w:numFmt w:val="lowerRoman"/>
      <w:start w:val="3"/>
    </w:lvl>
  </w:abstractNum>
  <w:abstractNum w:abstractNumId="24">
    <w:nsid w:val="D34B6A8"/>
    <w:multiLevelType w:val="hybridMultilevel"/>
    <w:lvl w:ilvl="0">
      <w:lvlJc w:val="left"/>
      <w:lvlText w:val="(%1)"/>
      <w:numFmt w:val="lowerRoman"/>
      <w:start w:val="1"/>
    </w:lvl>
  </w:abstractNum>
  <w:abstractNum w:abstractNumId="25">
    <w:nsid w:val="10233C99"/>
    <w:multiLevelType w:val="hybridMultilevel"/>
    <w:lvl w:ilvl="0">
      <w:lvlJc w:val="left"/>
      <w:lvlText w:val="(%1)"/>
      <w:numFmt w:val="lowerRoman"/>
      <w:start w:val="1"/>
    </w:lvl>
  </w:abstractNum>
  <w:abstractNum w:abstractNumId="26">
    <w:nsid w:val="3F6AB60F"/>
    <w:multiLevelType w:val="hybridMultilevel"/>
    <w:lvl w:ilvl="0">
      <w:lvlJc w:val="left"/>
      <w:lvlText w:val="1"/>
      <w:numFmt w:val="bullet"/>
      <w:start w:val="1"/>
    </w:lvl>
  </w:abstractNum>
  <w:abstractNum w:abstractNumId="27">
    <w:nsid w:val="61574095"/>
    <w:multiLevelType w:val="hybridMultilevel"/>
    <w:lvl w:ilvl="0">
      <w:lvlJc w:val="left"/>
      <w:lvlText w:val="%1."/>
      <w:numFmt w:val="decimal"/>
      <w:start w:val="3"/>
    </w:lvl>
  </w:abstractNum>
  <w:abstractNum w:abstractNumId="28">
    <w:nsid w:val="7E0C57B1"/>
    <w:multiLevelType w:val="hybridMultilevel"/>
    <w:lvl w:ilvl="0">
      <w:lvlJc w:val="left"/>
      <w:lvlText w:val="(%1)"/>
      <w:numFmt w:val="lowerRoman"/>
      <w:start w:val="1"/>
    </w:lvl>
  </w:abstractNum>
  <w:abstractNum w:abstractNumId="29">
    <w:nsid w:val="77AE35EB"/>
    <w:multiLevelType w:val="hybridMultilevel"/>
    <w:lvl w:ilvl="0">
      <w:lvlJc w:val="left"/>
      <w:lvlText w:val="(%1)"/>
      <w:numFmt w:val="lowerRoman"/>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lowerRoman"/>
      <w:start w:val="1"/>
    </w:lvl>
  </w:abstractNum>
  <w:abstractNum w:abstractNumId="32">
    <w:nsid w:val="5FF87E05"/>
    <w:multiLevelType w:val="hybridMultilevel"/>
    <w:lvl w:ilvl="0">
      <w:lvlJc w:val="left"/>
      <w:lvlText w:val="(%1)"/>
      <w:numFmt w:val="lowerRoman"/>
      <w:start w:val="1"/>
    </w:lvl>
  </w:abstractNum>
  <w:abstractNum w:abstractNumId="33">
    <w:nsid w:val="2F305DEF"/>
    <w:multiLevelType w:val="hybridMultilevel"/>
    <w:lvl w:ilvl="0">
      <w:lvlJc w:val="left"/>
      <w:lvlText w:val="(%1)"/>
      <w:numFmt w:val="lowerRoman"/>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lowerRoman"/>
      <w:start w:val="1"/>
    </w:lvl>
  </w:abstractNum>
  <w:abstractNum w:abstractNumId="36">
    <w:nsid w:val="4AD084E9"/>
    <w:multiLevelType w:val="hybridMultilevel"/>
    <w:lvl w:ilvl="0">
      <w:lvlJc w:val="left"/>
      <w:lvlText w:val="(%1)"/>
      <w:numFmt w:val="lowerRoman"/>
      <w:start w:val="1"/>
    </w:lvl>
  </w:abstractNum>
  <w:abstractNum w:abstractNumId="37">
    <w:nsid w:val="1F48EAA1"/>
    <w:multiLevelType w:val="hybridMultilevel"/>
    <w:lvl w:ilvl="0">
      <w:lvlJc w:val="left"/>
      <w:lvlText w:val="(%1)"/>
      <w:numFmt w:val="lowerRoman"/>
      <w:start w:val="3"/>
    </w:lvl>
  </w:abstractNum>
  <w:abstractNum w:abstractNumId="38">
    <w:nsid w:val="1381823A"/>
    <w:multiLevelType w:val="hybridMultilevel"/>
    <w:lvl w:ilvl="0">
      <w:lvlJc w:val="left"/>
      <w:lvlText w:val="(%1)"/>
      <w:numFmt w:val="lowerRoman"/>
      <w:start w:val="4"/>
    </w:lvl>
  </w:abstractNum>
  <w:abstractNum w:abstractNumId="39">
    <w:nsid w:val="5DB70AE5"/>
    <w:multiLevelType w:val="hybridMultilevel"/>
    <w:lvl w:ilvl="0">
      <w:lvlJc w:val="left"/>
      <w:lvlText w:val="(%1)"/>
      <w:numFmt w:val="lowerRoman"/>
      <w:start w:val="5"/>
    </w:lvl>
  </w:abstractNum>
  <w:abstractNum w:abstractNumId="40">
    <w:nsid w:val="100F8FCA"/>
    <w:multiLevelType w:val="hybridMultilevel"/>
    <w:lvl w:ilvl="0">
      <w:lvlJc w:val="left"/>
      <w:lvlText w:val="(%1)"/>
      <w:numFmt w:val="lowerRoman"/>
      <w:start w:val="6"/>
    </w:lvl>
  </w:abstractNum>
  <w:abstractNum w:abstractNumId="41">
    <w:nsid w:val="6590700B"/>
    <w:multiLevelType w:val="hybridMultilevel"/>
    <w:lvl w:ilvl="0">
      <w:lvlJc w:val="left"/>
      <w:lvlText w:val="(%1)"/>
      <w:numFmt w:val="lowerRoman"/>
      <w:start w:val="7"/>
    </w:lvl>
  </w:abstractNum>
  <w:abstractNum w:abstractNumId="42">
    <w:nsid w:val="15014ACB"/>
    <w:multiLevelType w:val="hybridMultilevel"/>
    <w:lvl w:ilvl="0">
      <w:lvlJc w:val="left"/>
      <w:lvlText w:val="(%1)"/>
      <w:numFmt w:val="lowerRoman"/>
      <w:start w:val="8"/>
    </w:lvl>
  </w:abstractNum>
  <w:abstractNum w:abstractNumId="43">
    <w:nsid w:val="5F5E7FD0"/>
    <w:multiLevelType w:val="hybridMultilevel"/>
    <w:lvl w:ilvl="0">
      <w:lvlJc w:val="left"/>
      <w:lvlText w:val="%1."/>
      <w:numFmt w:val="decimal"/>
      <w:start w:val="4"/>
    </w:lvl>
  </w:abstractNum>
  <w:abstractNum w:abstractNumId="44">
    <w:nsid w:val="98A3148"/>
    <w:multiLevelType w:val="hybridMultilevel"/>
    <w:lvl w:ilvl="0">
      <w:lvlJc w:val="left"/>
      <w:lvlText w:val="(%1)"/>
      <w:numFmt w:val="decimal"/>
      <w:start w:val="1"/>
    </w:lvl>
  </w:abstractNum>
  <w:abstractNum w:abstractNumId="45">
    <w:nsid w:val="799D0247"/>
    <w:multiLevelType w:val="hybridMultilevel"/>
    <w:lvl w:ilvl="0">
      <w:lvlJc w:val="left"/>
      <w:lvlText w:val="(%1)"/>
      <w:numFmt w:val="lowerRoman"/>
      <w:start w:val="1"/>
    </w:lvl>
  </w:abstractNum>
  <w:abstractNum w:abstractNumId="46">
    <w:nsid w:val="6B94764"/>
    <w:multiLevelType w:val="hybridMultilevel"/>
    <w:lvl w:ilvl="0">
      <w:lvlJc w:val="left"/>
      <w:lvlText w:val="(%1)"/>
      <w:numFmt w:val="lowerRoman"/>
      <w:start w:val="2"/>
    </w:lvl>
  </w:abstractNum>
  <w:abstractNum w:abstractNumId="47">
    <w:nsid w:val="42C296BD"/>
    <w:multiLevelType w:val="hybridMultilevel"/>
    <w:lvl w:ilvl="0">
      <w:lvlJc w:val="left"/>
      <w:lvlText w:val="(%1)"/>
      <w:numFmt w:val="lowerRoman"/>
      <w:start w:val="1"/>
    </w:lvl>
  </w:abstractNum>
  <w:abstractNum w:abstractNumId="48">
    <w:nsid w:val="168E121F"/>
    <w:multiLevelType w:val="hybridMultilevel"/>
    <w:lvl w:ilvl="0">
      <w:lvlJc w:val="left"/>
      <w:lvlText w:val="(%1)"/>
      <w:numFmt w:val="lowerRoman"/>
      <w:start w:val="1"/>
    </w:lvl>
  </w:abstractNum>
  <w:abstractNum w:abstractNumId="49">
    <w:nsid w:val="1EBA5D23"/>
    <w:multiLevelType w:val="hybridMultilevel"/>
    <w:lvl w:ilvl="0">
      <w:lvlJc w:val="left"/>
      <w:lvlText w:val="(%1)"/>
      <w:numFmt w:val="lowerRoman"/>
      <w:start w:val="1"/>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lowerRoman"/>
      <w:start w:val="1"/>
    </w:lvl>
  </w:abstractNum>
  <w:abstractNum w:abstractNumId="52">
    <w:nsid w:val="540A471C"/>
    <w:multiLevelType w:val="hybridMultilevel"/>
    <w:lvl w:ilvl="0">
      <w:lvlJc w:val="left"/>
      <w:lvlText w:val="(%1)"/>
      <w:numFmt w:val="decimal"/>
      <w:start w:val="2"/>
    </w:lvl>
  </w:abstractNum>
  <w:abstractNum w:abstractNumId="53">
    <w:nsid w:val="7BD3EE7B"/>
    <w:multiLevelType w:val="hybridMultilevel"/>
    <w:lvl w:ilvl="0">
      <w:lvlJc w:val="left"/>
      <w:lvlText w:val="%1."/>
      <w:numFmt w:val="decimal"/>
      <w:start w:val="5"/>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lowerRoman"/>
      <w:start w:val="1"/>
    </w:lvl>
  </w:abstractNum>
  <w:abstractNum w:abstractNumId="56">
    <w:nsid w:val="BF72B14"/>
    <w:multiLevelType w:val="hybridMultilevel"/>
    <w:lvl w:ilvl="0">
      <w:lvlJc w:val="left"/>
      <w:lvlText w:val="(%1)"/>
      <w:numFmt w:val="lowerRoman"/>
      <w:start w:val="1"/>
    </w:lvl>
  </w:abstractNum>
  <w:abstractNum w:abstractNumId="57">
    <w:nsid w:val="11447B73"/>
    <w:multiLevelType w:val="hybridMultilevel"/>
    <w:lvl w:ilvl="0">
      <w:lvlJc w:val="left"/>
      <w:lvlText w:val="(%1)"/>
      <w:numFmt w:val="lowerRoman"/>
      <w:start w:val="1"/>
    </w:lvl>
  </w:abstractNum>
  <w:abstractNum w:abstractNumId="58">
    <w:nsid w:val="42963E5A"/>
    <w:multiLevelType w:val="hybridMultilevel"/>
    <w:lvl w:ilvl="0">
      <w:lvlJc w:val="left"/>
      <w:lvlText w:val="(%1)"/>
      <w:numFmt w:val="lowerRoman"/>
      <w:start w:val="2"/>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1)"/>
      <w:numFmt w:val="lowerRoman"/>
      <w:start w:val="1"/>
    </w:lvl>
  </w:abstractNum>
  <w:abstractNum w:abstractNumId="61">
    <w:nsid w:val="1A32234B"/>
    <w:multiLevelType w:val="hybridMultilevel"/>
    <w:lvl w:ilvl="0">
      <w:lvlJc w:val="left"/>
      <w:lvlText w:val="(%1)"/>
      <w:numFmt w:val="lowerRoman"/>
      <w:start w:val="1"/>
    </w:lvl>
  </w:abstractNum>
  <w:abstractNum w:abstractNumId="62">
    <w:nsid w:val="3B0FD379"/>
    <w:multiLevelType w:val="hybridMultilevel"/>
    <w:lvl w:ilvl="0">
      <w:lvlJc w:val="left"/>
      <w:lvlText w:val="%1."/>
      <w:numFmt w:val="decimal"/>
      <w:start w:val="6"/>
    </w:lvl>
  </w:abstractNum>
  <w:abstractNum w:abstractNumId="63">
    <w:nsid w:val="68EB2F63"/>
    <w:multiLevelType w:val="hybridMultilevel"/>
    <w:lvl w:ilvl="0">
      <w:lvlJc w:val="left"/>
      <w:lvlText w:val="(%1)"/>
      <w:numFmt w:val="lowerRoman"/>
      <w:start w:val="1"/>
    </w:lvl>
  </w:abstractNum>
  <w:abstractNum w:abstractNumId="64">
    <w:nsid w:val="4962813B"/>
    <w:multiLevelType w:val="hybridMultilevel"/>
    <w:lvl w:ilvl="0">
      <w:lvlJc w:val="left"/>
      <w:lvlText w:val="(%1)"/>
      <w:numFmt w:val="lowerRoman"/>
      <w:start w:val="1"/>
    </w:lvl>
  </w:abstractNum>
  <w:abstractNum w:abstractNumId="65">
    <w:nsid w:val="60B6DF70"/>
    <w:multiLevelType w:val="hybridMultilevel"/>
    <w:lvl w:ilvl="0">
      <w:lvlJc w:val="left"/>
      <w:lvlText w:val="3"/>
      <w:numFmt w:val="bullet"/>
      <w:start w:val="1"/>
    </w:lvl>
  </w:abstractNum>
  <w:abstractNum w:abstractNumId="66">
    <w:nsid w:val="6A5EE64"/>
    <w:multiLevelType w:val="hybridMultilevel"/>
    <w:lvl w:ilvl="0">
      <w:lvlJc w:val="left"/>
      <w:lvlText w:val="(%1)"/>
      <w:numFmt w:val="lowerRoman"/>
      <w:start w:val="1"/>
    </w:lvl>
  </w:abstractNum>
  <w:abstractNum w:abstractNumId="67">
    <w:nsid w:val="14330624"/>
    <w:multiLevelType w:val="hybridMultilevel"/>
    <w:lvl w:ilvl="0">
      <w:lvlJc w:val="left"/>
      <w:lvlText w:val="%1."/>
      <w:numFmt w:val="decimal"/>
      <w:start w:val="7"/>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lowerRoman"/>
      <w:start w:val="1"/>
    </w:lvl>
  </w:abstractNum>
  <w:abstractNum w:abstractNumId="71">
    <w:nsid w:val="100F59DC"/>
    <w:multiLevelType w:val="hybridMultilevel"/>
    <w:lvl w:ilvl="0">
      <w:lvlJc w:val="left"/>
      <w:lvlText w:val="(%1)"/>
      <w:numFmt w:val="lowerRoman"/>
      <w:start w:val="3"/>
    </w:lvl>
  </w:abstractNum>
  <w:abstractNum w:abstractNumId="72">
    <w:nsid w:val="7FB7E0AA"/>
    <w:multiLevelType w:val="hybridMultilevel"/>
    <w:lvl w:ilvl="0">
      <w:lvlJc w:val="left"/>
      <w:lvlText w:val="(%1)"/>
      <w:numFmt w:val="lowerRoman"/>
      <w:start w:val="1"/>
    </w:lvl>
  </w:abstractNum>
  <w:abstractNum w:abstractNumId="73">
    <w:nsid w:val="6EB5BD4"/>
    <w:multiLevelType w:val="hybridMultilevel"/>
    <w:lvl w:ilvl="0">
      <w:lvlJc w:val="left"/>
      <w:lvlText w:val="(%1)"/>
      <w:numFmt w:val="lowerRoman"/>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lowerRoman"/>
      <w:start w:val="1"/>
    </w:lvl>
  </w:abstractNum>
  <w:abstractNum w:abstractNumId="76">
    <w:nsid w:val="885E1B"/>
    <w:multiLevelType w:val="hybridMultilevel"/>
    <w:lvl w:ilvl="0">
      <w:lvlJc w:val="left"/>
      <w:lvlText w:val="(%1)"/>
      <w:numFmt w:val="decimal"/>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1)"/>
      <w:numFmt w:val="lowerRoman"/>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1)"/>
      <w:numFmt w:val="lowerRoman"/>
      <w:start w:val="1"/>
    </w:lvl>
  </w:abstractNum>
  <w:abstractNum w:abstractNumId="82">
    <w:nsid w:val="74DE0EE3"/>
    <w:multiLevelType w:val="hybridMultilevel"/>
    <w:lvl w:ilvl="0">
      <w:lvlJc w:val="left"/>
      <w:lvlText w:val="(%1)"/>
      <w:numFmt w:val="decimal"/>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1"/>
    </w:lvl>
  </w:abstractNum>
  <w:abstractNum w:abstractNumId="85">
    <w:nsid w:val="46B7D447"/>
    <w:multiLevelType w:val="hybridMultilevel"/>
    <w:lvl w:ilvl="0">
      <w:lvlJc w:val="left"/>
      <w:lvlText w:val="11.%1."/>
      <w:numFmt w:val="decimal"/>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lowerRoman"/>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2019-12-05T00:44:05Z</dcterms:created>
  <dcterms:modified xsi:type="dcterms:W3CDTF">2019-12-05T00:44:05Z</dcterms:modified>
</cp:coreProperties>
</file>