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-286385</wp:posOffset>
            </wp:positionH>
            <wp:positionV relativeFrom="paragraph">
              <wp:posOffset>228600</wp:posOffset>
            </wp:positionV>
            <wp:extent cx="72637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7"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FORM 6-K</w:t>
      </w:r>
    </w:p>
    <w:p>
      <w:pPr>
        <w:spacing w:after="0" w:line="256"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Pursuant to Rule 13a-16 or 15d-16 of the</w:t>
      </w:r>
    </w:p>
    <w:p>
      <w:pPr>
        <w:spacing w:after="0" w:line="9"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Securities Exchange Act of 1934</w:t>
      </w:r>
    </w:p>
    <w:p>
      <w:pPr>
        <w:spacing w:after="0" w:line="234"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For the month of November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-286385</wp:posOffset>
            </wp:positionH>
            <wp:positionV relativeFrom="paragraph">
              <wp:posOffset>240665</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5"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CREDICORP LTD.</w:t>
      </w:r>
    </w:p>
    <w:p>
      <w:pPr>
        <w:spacing w:after="0" w:line="27"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(Exact name of registrant as specified in its charter)</w:t>
      </w:r>
    </w:p>
    <w:p>
      <w:pPr>
        <w:spacing w:after="0" w:line="234"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Clarendon House</w:t>
      </w:r>
    </w:p>
    <w:p>
      <w:pPr>
        <w:spacing w:after="0" w:line="27"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Church Street</w:t>
      </w:r>
    </w:p>
    <w:p>
      <w:pPr>
        <w:spacing w:after="0" w:line="9"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Hamilton HM 11 Bermuda</w:t>
      </w:r>
    </w:p>
    <w:p>
      <w:pPr>
        <w:spacing w:after="0" w:line="9"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(Address of principal executive office)</w:t>
      </w:r>
    </w:p>
    <w:p>
      <w:pPr>
        <w:spacing w:after="0" w:line="238" w:lineRule="exact"/>
        <w:rPr>
          <w:sz w:val="24"/>
          <w:szCs w:val="24"/>
          <w:color w:val="auto"/>
        </w:rPr>
      </w:pPr>
    </w:p>
    <w:p>
      <w:pPr>
        <w:jc w:val="center"/>
        <w:ind w:right="18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52"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Form 20-F x Form 40-F o</w:t>
      </w:r>
    </w:p>
    <w:p>
      <w:pPr>
        <w:spacing w:after="0" w:line="252" w:lineRule="exact"/>
        <w:rPr>
          <w:sz w:val="24"/>
          <w:szCs w:val="24"/>
          <w:color w:val="auto"/>
        </w:rPr>
      </w:pPr>
    </w:p>
    <w:p>
      <w:pPr>
        <w:jc w:val="center"/>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97"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Yes o No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-288290</wp:posOffset>
            </wp:positionH>
            <wp:positionV relativeFrom="paragraph">
              <wp:posOffset>235585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700" w:top="229" w:right="59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Lima, November 11, 2010</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COMISIÓN NACIONAL SUPERVISORA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 EMPRESAS Y VALORES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CONASEV</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Att. Registro Público del Mercado de Valores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 MATERIAL EVENT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accordance with CONASEV Resolution for Material Events and Reserved Information and Other Communications number 107-2002-EF/94.10.0, Credicorp Ltd. (Credicorp) complies with notifying you of the following Material Event.</w:t>
      </w:r>
    </w:p>
    <w:p>
      <w:pPr>
        <w:spacing w:after="0" w:line="19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Today, Credicorp has transferred 2,170,575,309 shares of Banco de Credito del Perú (BCP) to Credicorp’s wholly owned subsidiary Grupo Crédito S.A. (Grupo de Crédito) through a capital contribution and over-the-counter transaction. The number of shares transferred represents 84.9% of the total number of shares of BCP. Credicorp will maintain the remaining 325,612,451 shares that it owns, which represent an additional 12.7% of BCP’s total shares.</w:t>
      </w:r>
    </w:p>
    <w:p>
      <w:pPr>
        <w:spacing w:after="0" w:line="17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it was informed previously, this transfer implies no change of control in BCP because Credicorp, in conjunction with its subsidiary Grupo Crédito, will continue to control the same 97.6% of the total shares of BCP. The transaction aims to facilitate the management of future Credicorp’s investments in Peru and has been approved by the Superintendence of Banking, Insurance and Private Pension Fund Administrators of Perú.</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0" w:type="dxa"/>
            <w:vAlign w:val="bottom"/>
          </w:tcPr>
          <w:p>
            <w:pPr>
              <w:spacing w:after="0"/>
              <w:rPr>
                <w:sz w:val="20"/>
                <w:szCs w:val="20"/>
                <w:color w:val="auto"/>
              </w:rPr>
            </w:pPr>
            <w:r>
              <w:rPr>
                <w:rFonts w:ascii="Arial" w:cs="Arial" w:eastAsia="Arial" w:hAnsi="Arial"/>
                <w:sz w:val="18"/>
                <w:szCs w:val="18"/>
                <w:color w:val="auto"/>
              </w:rPr>
              <w:t>/s/</w:t>
            </w:r>
          </w:p>
        </w:tc>
        <w:tc>
          <w:tcPr>
            <w:tcW w:w="260" w:type="dxa"/>
            <w:vAlign w:val="bottom"/>
          </w:tcPr>
          <w:p>
            <w:pPr>
              <w:spacing w:after="0"/>
              <w:rPr>
                <w:sz w:val="18"/>
                <w:szCs w:val="18"/>
                <w:color w:val="auto"/>
              </w:rPr>
            </w:pPr>
          </w:p>
        </w:tc>
        <w:tc>
          <w:tcPr>
            <w:tcW w:w="2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Mario Ferrari</w:t>
            </w:r>
          </w:p>
        </w:tc>
        <w:tc>
          <w:tcPr>
            <w:tcW w:w="8420" w:type="dxa"/>
            <w:vAlign w:val="bottom"/>
          </w:tcPr>
          <w:p>
            <w:pPr>
              <w:spacing w:after="0"/>
              <w:rPr>
                <w:sz w:val="18"/>
                <w:szCs w:val="18"/>
                <w:color w:val="auto"/>
              </w:rPr>
            </w:pPr>
          </w:p>
        </w:tc>
      </w:tr>
      <w:tr>
        <w:trPr>
          <w:trHeight w:val="222"/>
        </w:trPr>
        <w:tc>
          <w:tcPr>
            <w:tcW w:w="420" w:type="dxa"/>
            <w:vAlign w:val="bottom"/>
          </w:tcPr>
          <w:p>
            <w:pPr>
              <w:spacing w:after="0"/>
              <w:rPr>
                <w:sz w:val="19"/>
                <w:szCs w:val="19"/>
                <w:color w:val="auto"/>
              </w:rPr>
            </w:pPr>
          </w:p>
        </w:tc>
        <w:tc>
          <w:tcPr>
            <w:tcW w:w="11000" w:type="dxa"/>
            <w:vAlign w:val="bottom"/>
            <w:gridSpan w:val="3"/>
          </w:tcPr>
          <w:p>
            <w:pPr>
              <w:ind w:left="240"/>
              <w:spacing w:after="0"/>
              <w:rPr>
                <w:sz w:val="20"/>
                <w:szCs w:val="20"/>
                <w:color w:val="auto"/>
              </w:rPr>
            </w:pPr>
            <w:r>
              <w:rPr>
                <w:rFonts w:ascii="Arial" w:cs="Arial" w:eastAsia="Arial" w:hAnsi="Arial"/>
                <w:sz w:val="18"/>
                <w:szCs w:val="18"/>
                <w:color w:val="auto"/>
              </w:rPr>
              <w:t>Stock Market Representative</w:t>
            </w:r>
          </w:p>
        </w:tc>
      </w:tr>
      <w:tr>
        <w:trPr>
          <w:trHeight w:val="230"/>
        </w:trPr>
        <w:tc>
          <w:tcPr>
            <w:tcW w:w="420" w:type="dxa"/>
            <w:vAlign w:val="bottom"/>
          </w:tcPr>
          <w:p>
            <w:pPr>
              <w:spacing w:after="0"/>
              <w:rPr>
                <w:sz w:val="20"/>
                <w:szCs w:val="20"/>
                <w:color w:val="auto"/>
              </w:rPr>
            </w:pPr>
          </w:p>
        </w:tc>
        <w:tc>
          <w:tcPr>
            <w:tcW w:w="11000" w:type="dxa"/>
            <w:vAlign w:val="bottom"/>
            <w:gridSpan w:val="3"/>
          </w:tcPr>
          <w:p>
            <w:pPr>
              <w:ind w:left="240"/>
              <w:spacing w:after="0"/>
              <w:rPr>
                <w:sz w:val="20"/>
                <w:szCs w:val="20"/>
                <w:color w:val="auto"/>
              </w:rPr>
            </w:pPr>
            <w:r>
              <w:rPr>
                <w:rFonts w:ascii="Arial" w:cs="Arial" w:eastAsia="Arial" w:hAnsi="Arial"/>
                <w:sz w:val="18"/>
                <w:szCs w:val="18"/>
                <w:color w:val="auto"/>
              </w:rPr>
              <w:t>Credicorp Ltd.</w:t>
            </w:r>
          </w:p>
        </w:tc>
      </w:tr>
      <w:tr>
        <w:trPr>
          <w:trHeight w:val="605"/>
        </w:trPr>
        <w:tc>
          <w:tcPr>
            <w:tcW w:w="42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2320" w:type="dxa"/>
            <w:vAlign w:val="bottom"/>
            <w:tcBorders>
              <w:bottom w:val="single" w:sz="8" w:color="808080"/>
            </w:tcBorders>
          </w:tcPr>
          <w:p>
            <w:pPr>
              <w:spacing w:after="0"/>
              <w:rPr>
                <w:sz w:val="24"/>
                <w:szCs w:val="24"/>
                <w:color w:val="auto"/>
              </w:rPr>
            </w:pPr>
          </w:p>
        </w:tc>
        <w:tc>
          <w:tcPr>
            <w:tcW w:w="84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044" w:right="239" w:bottom="1440" w:gutter="0" w:footer="0" w:header="0"/>
        </w:sectPr>
      </w:pPr>
    </w:p>
    <w:bookmarkStart w:id="2" w:name="page3"/>
    <w:bookmarkEnd w:id="2"/>
    <w:p>
      <w:pPr>
        <w:jc w:val="center"/>
        <w:ind w:right="-65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Date: November 9, 2010</w:t>
      </w:r>
    </w:p>
    <w:p>
      <w:pPr>
        <w:spacing w:after="0" w:line="200" w:lineRule="exact"/>
        <w:rPr>
          <w:sz w:val="20"/>
          <w:szCs w:val="20"/>
          <w:color w:val="auto"/>
        </w:rPr>
      </w:pPr>
    </w:p>
    <w:p>
      <w:pPr>
        <w:spacing w:after="0" w:line="26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CREDICORP LTD.</w:t>
      </w:r>
    </w:p>
    <w:p>
      <w:pPr>
        <w:spacing w:after="0" w:line="200" w:lineRule="exact"/>
        <w:rPr>
          <w:sz w:val="20"/>
          <w:szCs w:val="20"/>
          <w:color w:val="auto"/>
        </w:rPr>
      </w:pPr>
    </w:p>
    <w:p>
      <w:pPr>
        <w:spacing w:after="0" w:line="29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Giuliana Cuzquen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23495</wp:posOffset>
            </wp:positionV>
            <wp:extent cx="252984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26" w:lineRule="exact"/>
        <w:rPr>
          <w:sz w:val="20"/>
          <w:szCs w:val="20"/>
          <w:color w:val="auto"/>
        </w:rPr>
      </w:pPr>
    </w:p>
    <w:p>
      <w:pPr>
        <w:ind w:left="6080"/>
        <w:spacing w:after="0"/>
        <w:rPr>
          <w:sz w:val="20"/>
          <w:szCs w:val="20"/>
          <w:color w:val="auto"/>
        </w:rPr>
      </w:pPr>
      <w:r>
        <w:rPr>
          <w:rFonts w:ascii="Arial" w:cs="Arial" w:eastAsia="Arial" w:hAnsi="Arial"/>
          <w:sz w:val="18"/>
          <w:szCs w:val="18"/>
          <w:b w:val="1"/>
          <w:bCs w:val="1"/>
          <w:color w:val="auto"/>
        </w:rPr>
        <w:t>Giuliana Cuzquen</w:t>
      </w:r>
    </w:p>
    <w:p>
      <w:pPr>
        <w:spacing w:after="0" w:line="27" w:lineRule="exact"/>
        <w:rPr>
          <w:sz w:val="20"/>
          <w:szCs w:val="20"/>
          <w:color w:val="auto"/>
        </w:rPr>
      </w:pPr>
    </w:p>
    <w:p>
      <w:pPr>
        <w:ind w:left="6080"/>
        <w:spacing w:after="0"/>
        <w:rPr>
          <w:sz w:val="20"/>
          <w:szCs w:val="20"/>
          <w:color w:val="auto"/>
        </w:rPr>
      </w:pPr>
      <w:r>
        <w:rPr>
          <w:rFonts w:ascii="Arial" w:cs="Arial" w:eastAsia="Arial" w:hAnsi="Arial"/>
          <w:sz w:val="18"/>
          <w:szCs w:val="18"/>
          <w:b w:val="1"/>
          <w:bCs w:val="1"/>
          <w:color w:val="auto"/>
        </w:rPr>
        <w:t>Authorized Representative</w:t>
      </w:r>
    </w:p>
    <w:sectPr>
      <w:pgSz w:w="11900" w:h="16838" w:orient="portrait"/>
      <w:cols w:equalWidth="0" w:num="1">
        <w:col w:w="10780"/>
      </w:cols>
      <w:pgMar w:left="240" w:top="607" w:right="8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2019-12-10T13:52:17Z</dcterms:created>
  <dcterms:modified xsi:type="dcterms:W3CDTF">2019-12-10T13:52:17Z</dcterms:modified>
</cp:coreProperties>
</file>