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6895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068955" cy="445770"/>
                    </a:xfrm>
                    <a:prstGeom prst="rect">
                      <a:avLst/>
                    </a:prstGeom>
                    <a:noFill/>
                  </pic:spPr>
                </pic:pic>
              </a:graphicData>
            </a:graphic>
          </wp:anchor>
        </w:drawing>
        <w:t>July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the company S&amp;P Global Ratings has updated the credit rating of Credicorp Ltd. (Credicorp). The credit rating has been confirmed at ‘BBB’ and the outlook at negative.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5,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352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352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35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35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35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5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35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1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318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2022-07-06T15:03:43Z</dcterms:created>
  <dcterms:modified xsi:type="dcterms:W3CDTF">2022-07-06T15:03:43Z</dcterms:modified>
</cp:coreProperties>
</file>