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228600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FORM 6-K</w:t>
      </w:r>
    </w:p>
    <w:p>
      <w:pPr>
        <w:spacing w:after="0" w:line="256"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Exchange Act of 1934</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 the month of March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240665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(Address of principal executive office)</w:t>
      </w:r>
    </w:p>
    <w:p>
      <w:pPr>
        <w:spacing w:after="0" w:line="238"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Form 20-F x Form 40-F o</w:t>
      </w:r>
    </w:p>
    <w:p>
      <w:pPr>
        <w:spacing w:after="0" w:line="252"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544830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700" w:top="229" w:right="5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5346065</wp:posOffset>
            </wp:positionH>
            <wp:positionV relativeFrom="page">
              <wp:posOffset>243205</wp:posOffset>
            </wp:positionV>
            <wp:extent cx="2058035" cy="5829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82930"/>
                    </a:xfrm>
                    <a:prstGeom prst="rect">
                      <a:avLst/>
                    </a:prstGeom>
                    <a:noFill/>
                  </pic:spPr>
                </pic:pic>
              </a:graphicData>
            </a:graphic>
          </wp:anchor>
        </w:drawing>
        <w:t>Lima, March 10, 2011</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COMISIÓN NACIONAL SUPERVISORA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 EMPRESAS Y VALORES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CONASEV</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Att. Registro Público del Mercado de Valores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article 28 of the Capital Markets Law, approved by Law DS N° 093-2002-EF, and CONASEV Resolution for Material Events, Reserved Information and Other Communications N° 107-2002-EF/94.10, as modified by CONASEV Resolution N° 009-2003-EF/94.10, Credicorp Ltd. complies with notifying you of the following Material Event.</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Credicorp Ltd. has reached an agreement with The Carlyle Group, the most important private asset manager in the world, to create an investment fund that will invest in private companies from the different economic sectors in Peru. To start the fund will have capital for up to US$ 200 million from institutional investors and high-net-worth individuals.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Credicorp Ltd. and The Carlyle Group will hold the same participation in the business but Carlyle will have the active role in the management of investments and in the administration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correspondent agreements will be subscribed shortly.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/s/ Mario Ferrari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1032510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87" w:right="2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March 10, 2011</w:t>
      </w:r>
    </w:p>
    <w:p>
      <w:pPr>
        <w:spacing w:after="0" w:line="200" w:lineRule="exact"/>
        <w:rPr>
          <w:sz w:val="20"/>
          <w:szCs w:val="20"/>
          <w:color w:val="auto"/>
        </w:rPr>
      </w:pPr>
    </w:p>
    <w:p>
      <w:pPr>
        <w:spacing w:after="0" w:line="2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Giuliana Cuzquen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Giuliana Cuzquen</w:t>
      </w:r>
    </w:p>
    <w:p>
      <w:pPr>
        <w:spacing w:after="0" w:line="2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Authorized Representative</w:t>
      </w:r>
    </w:p>
    <w:sectPr>
      <w:pgSz w:w="11900" w:h="16838" w:orient="portrait"/>
      <w:cols w:equalWidth="0" w:num="1">
        <w:col w:w="10780"/>
      </w:cols>
      <w:pgMar w:left="240" w:top="513"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2019-12-10T14:48:56Z</dcterms:created>
  <dcterms:modified xsi:type="dcterms:W3CDTF">2019-12-10T14:48:56Z</dcterms:modified>
</cp:coreProperties>
</file>