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May 2017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001-14014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CREDICORP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4180"/>
        <w:spacing w:after="0" w:line="207" w:lineRule="exact"/>
        <w:tabs>
          <w:tab w:leader="none" w:pos="6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Form 40-F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334645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472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2058035" cy="5746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57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10</w:t>
      </w:r>
      <w:r>
        <w:rPr>
          <w:rFonts w:ascii="Arial" w:cs="Arial" w:eastAsia="Arial" w:hAnsi="Arial"/>
          <w:sz w:val="30"/>
          <w:szCs w:val="30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>, 2017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SUPERINTENDENCIA DEL MERCADO DE VALORES – SMV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2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 accordance with article 28 of the Capital Markets Law approved by Law N° 093-2002-EF and SMV Resolution for Material Events and Reserved Information and Other Communications N° 005-2014-SMV-01, Credicorp Ltd. complies with notifying you of the following Material Event.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340" w:right="20" w:hanging="332"/>
        <w:spacing w:after="0" w:line="341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weighted exchange rate registered by the Superintendence of Banking, Insurance and AFP (</w:t>
      </w: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Superintendencia de Banca, Seguros y AFP</w:t>
      </w:r>
      <w:r>
        <w:rPr>
          <w:rFonts w:ascii="Arial" w:cs="Arial" w:eastAsia="Arial" w:hAnsi="Arial"/>
          <w:sz w:val="16"/>
          <w:szCs w:val="16"/>
          <w:color w:val="auto"/>
        </w:rPr>
        <w:t>) at the close of business on May 10</w:t>
      </w:r>
      <w:r>
        <w:rPr>
          <w:rFonts w:ascii="Arial" w:cs="Arial" w:eastAsia="Arial" w:hAnsi="Arial"/>
          <w:sz w:val="26"/>
          <w:szCs w:val="26"/>
          <w:color w:val="auto"/>
          <w:vertAlign w:val="superscript"/>
        </w:rPr>
        <w:t>th</w:t>
      </w:r>
      <w:r>
        <w:rPr>
          <w:rFonts w:ascii="Arial" w:cs="Arial" w:eastAsia="Arial" w:hAnsi="Arial"/>
          <w:sz w:val="16"/>
          <w:szCs w:val="16"/>
          <w:color w:val="auto"/>
        </w:rPr>
        <w:t>, 2017, to be used for the calculation of the dividends to be paid by the Company on May 12</w:t>
      </w:r>
      <w:r>
        <w:rPr>
          <w:rFonts w:ascii="Arial" w:cs="Arial" w:eastAsia="Arial" w:hAnsi="Arial"/>
          <w:sz w:val="26"/>
          <w:szCs w:val="26"/>
          <w:color w:val="auto"/>
          <w:vertAlign w:val="superscript"/>
        </w:rPr>
        <w:t>th</w:t>
      </w:r>
      <w:r>
        <w:rPr>
          <w:rFonts w:ascii="Arial" w:cs="Arial" w:eastAsia="Arial" w:hAnsi="Arial"/>
          <w:sz w:val="16"/>
          <w:szCs w:val="16"/>
          <w:color w:val="auto"/>
        </w:rPr>
        <w:t>, 2017 is S/3.2873 per US Dollar.</w:t>
      </w:r>
    </w:p>
    <w:p>
      <w:pPr>
        <w:spacing w:after="0" w:line="2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this regard, the dividend to be paid per share shall be US$3.7376, equivalent to S/12.2865 per share.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1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communication is related to the Material Event filled on February 22</w:t>
      </w:r>
      <w:r>
        <w:rPr>
          <w:rFonts w:ascii="Arial" w:cs="Arial" w:eastAsia="Arial" w:hAnsi="Arial"/>
          <w:sz w:val="30"/>
          <w:szCs w:val="30"/>
          <w:color w:val="auto"/>
          <w:vertAlign w:val="superscript"/>
        </w:rPr>
        <w:t>nd</w:t>
      </w:r>
      <w:r>
        <w:rPr>
          <w:rFonts w:ascii="Arial" w:cs="Arial" w:eastAsia="Arial" w:hAnsi="Arial"/>
          <w:sz w:val="18"/>
          <w:szCs w:val="18"/>
          <w:color w:val="auto"/>
        </w:rPr>
        <w:t>, 2017, through which the Company informed the dividend distribution agreement adopted by the Board of Directors at its meeting held on the same date.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/s/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Jose Luis Muñoz</w:t>
      </w:r>
      <w:r>
        <w:rPr>
          <w:rFonts w:ascii="Arial" w:cs="Arial" w:eastAsia="Arial" w:hAnsi="Arial"/>
          <w:sz w:val="18"/>
          <w:szCs w:val="18"/>
          <w:color w:val="auto"/>
        </w:rPr>
        <w:t>_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Stock Exchange Agent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297180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2" w:name="page3"/>
    <w:bookmarkEnd w:id="2"/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53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10</w:t>
      </w:r>
      <w:r>
        <w:rPr>
          <w:rFonts w:ascii="Arial" w:cs="Arial" w:eastAsia="Arial" w:hAnsi="Arial"/>
          <w:sz w:val="30"/>
          <w:szCs w:val="30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>, 2017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Jose Luis Muñoz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Jose Luis Muñoz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4721860</wp:posOffset>
            </wp:positionH>
            <wp:positionV relativeFrom="paragraph">
              <wp:posOffset>-130810</wp:posOffset>
            </wp:positionV>
            <wp:extent cx="21697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297180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820"/>
      </w:cols>
      <w:pgMar w:left="240" w:top="688" w:right="8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2019-12-06T03:18:46Z</dcterms:created>
  <dcterms:modified xsi:type="dcterms:W3CDTF">2019-12-06T03:18:46Z</dcterms:modified>
</cp:coreProperties>
</file>