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April 2024</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12,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342900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437515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574675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68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68600" cy="351790"/>
                    </a:xfrm>
                    <a:prstGeom prst="rect">
                      <a:avLst/>
                    </a:prstGeom>
                    <a:noFill/>
                  </pic:spPr>
                </pic:pic>
              </a:graphicData>
            </a:graphic>
          </wp:anchor>
        </w:drawing>
        <w:t>April 10,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hereby notify you as a Material Event that Fitch Ratings has updated the credit rating report of Credicorp Ltd. (Credicorp) dated April 21, 2023 (updated on January 18, 2024). The new report only represents an update of figures as of December 2023.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Form 6-K regarding the rating of Fitch Ratings has been disclosed in Peru in conformity with Peruvian law (Article 30 of the Capital Markets Law, approved by Supreme Decree 020-2023-EF, and by the Regulation of the Disclosure of Material Events and Reserved Information approved by Resolution 005-2014-SMV/01 of the Peruvian Capital Markets Superintendency). The ratings of Fitch Ratings do not necessarily represent the opinion of Credicorp, nor should they be seen as a recommendation to buy shares or any other securities of Credicorp. Credicorp accepts no liability for the completeness, timeliness, accuracy or selection of such information.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April 10, 2024</w:t>
      </w:r>
    </w:p>
    <w:p>
      <w:pPr>
        <w:spacing w:after="0" w:line="2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2024-04-11T05:12:23Z</dcterms:created>
  <dcterms:modified xsi:type="dcterms:W3CDTF">2024-04-11T05:12:23Z</dcterms:modified>
</cp:coreProperties>
</file>