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September 2017</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accordance with article 28 of the Capital Markets Law approved by Law N° 093-2002-EF and SMV Resolution for Material Events and Reserved Information and Other Communications N° 005-2014-SMV-01, Credicorp Ltd. complies by notifying you of the following Material Event.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of our subsidiary, Banco de Crédito del Perú (BCP), at its meeting held on Wednesday, September 27, 2017,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24 of its By-Laws, unanimously resolved as follows:</w:t>
      </w:r>
    </w:p>
    <w:p>
      <w:pPr>
        <w:spacing w:after="0" w:line="21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create the position of Deputy Chief Executive Officer, appointing to such position Mr. Gianfranco Ferrari de las Casas.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Percy Urteaga Crovetto as Head of Retail Banking and Wealth Management. Mr. Urteaga shall report directly to the Deputy Chief Executive Officer, Mr. Ferrari.</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above mentioned resolutions shall be effective as from October 1,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2019-12-06T03:13:16Z</dcterms:created>
  <dcterms:modified xsi:type="dcterms:W3CDTF">2019-12-06T03:13:16Z</dcterms:modified>
</cp:coreProperties>
</file>