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media/image1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ef20038699_6k.htm"/>
      <w:bookmarkStart w:id="1" w:name="ksef20038699_6k"/>
      <w:bookmarkStart w:id="2" w:name="ef20038699_6k.htm"/>
      <w:bookmarkStart w:id="3" w:name="ksef20038699_6k"/>
      <w:bookmarkEnd w:id="2"/>
      <w:bookmarkEnd w:id="3"/>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spacing w:before="0" w:after="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0" w:after="0"/>
        <w:jc w:val="center"/>
        <w:rPr>
          <w:sz w:val="20"/>
        </w:rPr>
      </w:pPr>
      <w:r>
        <w:rPr>
          <w:sz w:val="20"/>
        </w:rPr>
      </w:r>
    </w:p>
    <w:p>
      <w:pPr>
        <w:pStyle w:val="TextBody"/>
        <w:bidi w:val="0"/>
        <w:spacing w:before="0" w:after="0"/>
        <w:jc w:val="center"/>
        <w:rPr>
          <w:rFonts w:ascii="Times New Roman" w:hAnsi="Times New Roman"/>
          <w:b/>
          <w:color w:val="000000"/>
          <w:sz w:val="36"/>
        </w:rPr>
      </w:pPr>
      <w:r>
        <w:rPr>
          <w:rFonts w:ascii="Times New Roman" w:hAnsi="Times New Roman"/>
          <w:b/>
          <w:color w:val="000000"/>
          <w:sz w:val="36"/>
        </w:rPr>
        <w:t>FORM 6-K</w:t>
      </w:r>
    </w:p>
    <w:p>
      <w:pPr>
        <w:pStyle w:val="TextBody"/>
        <w:bidi w:val="0"/>
        <w:spacing w:before="0" w:after="0"/>
        <w:jc w:val="center"/>
        <w:rPr>
          <w:sz w:val="20"/>
        </w:rPr>
      </w:pPr>
      <w:r>
        <w:rPr>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Report of Foreign Private Issuer</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Pursuant to Rule 13a-16 or 15d-16 under the</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Securities Exchange Act of 1934</w:t>
      </w:r>
    </w:p>
    <w:p>
      <w:pPr>
        <w:pStyle w:val="TextBody"/>
        <w:bidi w:val="0"/>
        <w:spacing w:before="0" w:after="0"/>
        <w:jc w:val="center"/>
        <w:rPr>
          <w:sz w:val="20"/>
        </w:rPr>
      </w:pPr>
      <w:r>
        <w:rPr>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For the month of November 2024</w:t>
      </w:r>
    </w:p>
    <w:p>
      <w:pPr>
        <w:pStyle w:val="TextBody"/>
        <w:bidi w:val="0"/>
        <w:spacing w:before="0" w:after="0"/>
        <w:jc w:val="center"/>
        <w:rPr>
          <w:sz w:val="20"/>
        </w:rPr>
      </w:pPr>
      <w:r>
        <w:rPr>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Commission File Number: 001-14014</w:t>
      </w:r>
    </w:p>
    <w:p>
      <w:pPr>
        <w:pStyle w:val="TextBody"/>
        <w:bidi w:val="0"/>
        <w:spacing w:before="0" w:after="0"/>
        <w:jc w:val="center"/>
        <w:rPr>
          <w:sz w:val="20"/>
        </w:rPr>
      </w:pPr>
      <w:r>
        <w:rPr>
          <w:sz w:val="20"/>
        </w:rPr>
      </w:r>
    </w:p>
    <w:p>
      <w:pPr>
        <w:pStyle w:val="TextBody"/>
        <w:bidi w:val="0"/>
        <w:spacing w:before="0" w:after="0"/>
        <w:jc w:val="center"/>
        <w:rPr>
          <w:rFonts w:ascii="Times New Roman" w:hAnsi="Times New Roman"/>
          <w:b/>
          <w:color w:val="000000"/>
          <w:sz w:val="48"/>
        </w:rPr>
      </w:pPr>
      <w:r>
        <w:rPr>
          <w:rFonts w:ascii="Times New Roman" w:hAnsi="Times New Roman"/>
          <w:b/>
          <w:color w:val="000000"/>
          <w:sz w:val="48"/>
        </w:rPr>
        <w:t>CREDICORP LTD.</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(Translation of registrant’s name into English)</w:t>
      </w:r>
    </w:p>
    <w:p>
      <w:pPr>
        <w:pStyle w:val="TextBody"/>
        <w:bidi w:val="0"/>
        <w:spacing w:before="0" w:after="0"/>
        <w:jc w:val="center"/>
        <w:rPr>
          <w:sz w:val="20"/>
        </w:rPr>
      </w:pPr>
      <w:r>
        <w:rPr>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Of our subsidiary</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Banco de Credito del Peru:</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Calle Centenario 156</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La Molina 15026</w:t>
      </w:r>
    </w:p>
    <w:p>
      <w:pPr>
        <w:pStyle w:val="TextBody"/>
        <w:bidi w:val="0"/>
        <w:spacing w:before="0" w:after="0"/>
        <w:jc w:val="center"/>
        <w:rPr>
          <w:rFonts w:ascii="Times New Roman" w:hAnsi="Times New Roman"/>
          <w:color w:val="000000"/>
          <w:sz w:val="20"/>
        </w:rPr>
      </w:pPr>
      <w:r>
        <w:rPr>
          <w:rFonts w:ascii="Times New Roman" w:hAnsi="Times New Roman"/>
          <w:b/>
          <w:color w:val="000000"/>
          <w:sz w:val="20"/>
        </w:rPr>
        <w:t xml:space="preserve">Lima, Peru </w:t>
      </w:r>
      <w:r>
        <w:rPr>
          <w:rFonts w:ascii="Times New Roman" w:hAnsi="Times New Roman"/>
          <w:color w:val="000000"/>
          <w:sz w:val="20"/>
        </w:rPr>
        <w:t>(Address of principal executive office)</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Indicate by check mark whether the registrant files or will file annual reports under cover of Form 20-F or Form 40-F.</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Form 20-F ☒ Form 40-F ☐</w:t>
      </w:r>
    </w:p>
    <w:p>
      <w:pPr>
        <w:pStyle w:val="TextBody"/>
        <w:bidi w:val="0"/>
        <w:spacing w:before="0" w:after="0"/>
        <w:jc w:val="left"/>
        <w:rPr>
          <w:sz w:val="20"/>
        </w:rPr>
      </w:pPr>
      <w:r>
        <w:rPr>
          <w:sz w:val="20"/>
        </w:rPr>
      </w:r>
    </w:p>
    <w:p>
      <w:pPr>
        <w:pStyle w:val="TextBody"/>
        <w:bidi w:val="0"/>
        <w:spacing w:before="0" w:after="0"/>
        <w:jc w:val="left"/>
        <w:rPr>
          <w:color w:val="000000"/>
        </w:rPr>
      </w:pPr>
      <w:r>
        <w:rPr>
          <w:color w:val="000000"/>
        </w:rPr>
        <w:t> </w:t>
      </w:r>
      <w:r>
        <w:rPr>
          <w:rFonts w:ascii="Times New Roman" w:hAnsi="Times New Roman"/>
          <w:color w:val="000000"/>
          <w:sz w:val="20"/>
        </w:rPr>
        <w:t>Indicate by check mark if the registrant is submitting the Form 6-K in paper as permitted by Regulation S-T Rule 101(b)(1): ____</w:t>
      </w:r>
    </w:p>
    <w:p>
      <w:pPr>
        <w:pStyle w:val="TextBody"/>
        <w:bidi w:val="0"/>
        <w:spacing w:before="0" w:after="0"/>
        <w:jc w:val="left"/>
        <w:rPr>
          <w:sz w:val="20"/>
        </w:rPr>
      </w:pPr>
      <w:r>
        <w:rPr>
          <w:sz w:val="20"/>
        </w:rPr>
      </w:r>
    </w:p>
    <w:p>
      <w:pPr>
        <w:pStyle w:val="TextBody"/>
        <w:bidi w:val="0"/>
        <w:spacing w:before="0" w:after="0"/>
        <w:jc w:val="left"/>
        <w:rPr>
          <w:color w:val="000000"/>
        </w:rPr>
      </w:pPr>
      <w:r>
        <w:rPr>
          <w:color w:val="000000"/>
        </w:rPr>
        <w:t> </w:t>
      </w:r>
      <w:r>
        <w:rPr>
          <w:rFonts w:ascii="Times New Roman" w:hAnsi="Times New Roman"/>
          <w:color w:val="000000"/>
          <w:sz w:val="20"/>
        </w:rPr>
        <w:t>Indicate by check mark if the registrant is submitting the Form 6-K in paper as permitted by Regulation S-T Rule 101(b)(7): ____</w:t>
      </w:r>
    </w:p>
    <w:p>
      <w:pPr>
        <w:pStyle w:val="TextBody"/>
        <w:bidi w:val="0"/>
        <w:spacing w:before="0" w:after="0"/>
        <w:jc w:val="left"/>
        <w:rPr>
          <w:sz w:val="20"/>
        </w:rPr>
      </w:pPr>
      <w:r>
        <w:rPr>
          <w:sz w:val="20"/>
        </w:rPr>
      </w:r>
    </w:p>
    <w:p>
      <w:pPr>
        <w:pStyle w:val="HorizontalLine"/>
        <w:bidi w:val="0"/>
        <w:jc w:val="left"/>
        <w:rPr/>
      </w:pPr>
      <w:r>
        <w:rPr/>
      </w:r>
    </w:p>
    <w:p>
      <w:pPr>
        <w:pStyle w:val="HorizontalLine"/>
        <w:pBdr>
          <w:bottom w:val="single" w:sz="12" w:space="0" w:color="808080"/>
        </w:pBdr>
        <w:bidi w:val="0"/>
        <w:spacing w:before="180" w:after="180"/>
        <w:jc w:val="left"/>
        <w:rPr/>
      </w:pPr>
      <w:r>
        <w:rPr/>
      </w:r>
    </w:p>
    <w:p>
      <w:pPr>
        <w:pStyle w:val="TextBody"/>
        <w:bidi w:val="0"/>
        <w:spacing w:before="0" w:after="0"/>
        <w:jc w:val="left"/>
        <w:rPr>
          <w:color w:val="000000"/>
        </w:rPr>
      </w:pPr>
      <w:r>
        <w:rPr>
          <w:color w:val="000000"/>
        </w:rPr>
        <w:drawing>
          <wp:inline distT="0" distB="0" distL="0" distR="0">
            <wp:extent cx="3076575" cy="504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076575" cy="504825"/>
                    </a:xfrm>
                    <a:prstGeom prst="rect">
                      <a:avLst/>
                    </a:prstGeom>
                  </pic:spPr>
                </pic:pic>
              </a:graphicData>
            </a:graphic>
          </wp:inline>
        </w:drawing>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November 14, 2024</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Securities and Exchange Commission - SEC</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Re.: MATERIAL EVENT</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Dear Sirs:</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We hereby notify you as a Material Event that on November 13, 2024, Fitch Ratings released an update of Credicorp Ltd.’s (Credicorp) credit rating report that changed the outlook from negative to stable and maintained the credit rating of Credicorp at ‘BBB’.</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information in this Form 6-K regarding the rating of Fitch Ratings has been disclosed in Peru in conformity with Peruvian law (Article 30 of the Capital Markets Law, approved by Supreme Decree 020-2023-EF, and by the Regulation of the Disclosure of Material Events and Reserved Information approved by Resolution 005-2014-SMV/01 of the Peruvian Capital Markets Superintendency). The ratings of Fitch Ratings do not necessarily represent the opinion of Credicorp, nor should they be seen as a recommendation to buy shares or any other securities of Credicorp. Credicorp accepts no liability for the completeness, timeliness, accuracy or selection of such information.</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Sincerely,</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/s/ </w:t>
      </w:r>
      <w:r>
        <w:rPr>
          <w:rFonts w:ascii="Times New Roman" w:hAnsi="Times New Roman"/>
          <w:color w:val="000000"/>
          <w:sz w:val="20"/>
          <w:u w:val="single"/>
        </w:rPr>
        <w:t>Guillermo Morales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Authorized Representative</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Credicorp Ltd.</w:t>
      </w:r>
    </w:p>
    <w:p>
      <w:pPr>
        <w:pStyle w:val="TextBody"/>
        <w:bidi w:val="0"/>
        <w:spacing w:before="0" w:after="0"/>
        <w:jc w:val="both"/>
        <w:rPr>
          <w:sz w:val="20"/>
        </w:rPr>
      </w:pPr>
      <w:r>
        <w:rPr>
          <w:sz w:val="20"/>
        </w:rPr>
      </w:r>
    </w:p>
    <w:p>
      <w:pPr>
        <w:pStyle w:val="HorizontalLine"/>
        <w:pBdr>
          <w:bottom w:val="single" w:sz="12" w:space="0" w:color="808080"/>
        </w:pBdr>
        <w:bidi w:val="0"/>
        <w:spacing w:before="180" w:after="18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SIGNATURE</w:t>
      </w:r>
    </w:p>
    <w:p>
      <w:pPr>
        <w:pStyle w:val="TextBody"/>
        <w:bidi w:val="0"/>
        <w:spacing w:before="0" w:after="0"/>
        <w:jc w:val="left"/>
        <w:rPr>
          <w:sz w:val="20"/>
        </w:rPr>
      </w:pPr>
      <w:r>
        <w:rPr>
          <w:sz w:val="20"/>
        </w:rPr>
      </w:r>
    </w:p>
    <w:p>
      <w:pPr>
        <w:pStyle w:val="TextBody"/>
        <w:bidi w:val="0"/>
        <w:spacing w:before="0" w:after="0"/>
        <w:ind w:left="0" w:right="0" w:firstLine="594"/>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4" w:name="zf2817d0cb9c44d53b0237921f9768264"/>
      <w:bookmarkStart w:id="5" w:name="zf2817d0cb9c44d53b0237921f9768264"/>
      <w:bookmarkEnd w:id="5"/>
    </w:p>
    <w:tbl>
      <w:tblPr>
        <w:tblW w:w="4845" w:type="dxa"/>
        <w:jc w:val="left"/>
        <w:tblInd w:w="0" w:type="dxa"/>
        <w:tblLayout w:type="fixed"/>
        <w:tblCellMar>
          <w:top w:w="0" w:type="dxa"/>
          <w:left w:w="0" w:type="dxa"/>
          <w:bottom w:w="0" w:type="dxa"/>
          <w:right w:w="0" w:type="dxa"/>
        </w:tblCellMar>
      </w:tblPr>
      <w:tblGrid>
        <w:gridCol w:w="75"/>
        <w:gridCol w:w="2105"/>
        <w:gridCol w:w="320"/>
        <w:gridCol w:w="2270"/>
        <w:gridCol w:w="75"/>
      </w:tblGrid>
      <w:tr>
        <w:trPr/>
        <w:tc>
          <w:tcPr>
            <w:tcW w:w="75"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0"/>
              <w:jc w:val="left"/>
              <w:rPr>
                <w:color w:val="000000"/>
                <w:sz w:val="20"/>
              </w:rPr>
            </w:pPr>
            <w:r>
              <w:rPr>
                <w:color w:val="000000"/>
                <w:sz w:val="20"/>
              </w:rPr>
              <w:t>Date: November 14, 2024</w:t>
            </w:r>
          </w:p>
        </w:tc>
        <w:tc>
          <w:tcPr>
            <w:tcW w:w="259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pPr>
            <w:r>
              <w:rPr/>
              <w:t> </w:t>
            </w:r>
          </w:p>
        </w:tc>
        <w:tc>
          <w:tcPr>
            <w:tcW w:w="259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pPr>
            <w:r>
              <w:rPr/>
              <w:t> </w:t>
            </w:r>
          </w:p>
        </w:tc>
        <w:tc>
          <w:tcPr>
            <w:tcW w:w="2590" w:type="dxa"/>
            <w:gridSpan w:val="2"/>
            <w:tcBorders/>
            <w:vAlign w:val="center"/>
          </w:tcPr>
          <w:p>
            <w:pPr>
              <w:pStyle w:val="TableContents"/>
              <w:bidi w:val="0"/>
              <w:spacing w:before="0" w:after="0"/>
              <w:jc w:val="left"/>
              <w:rPr>
                <w:color w:val="000000"/>
                <w:sz w:val="20"/>
              </w:rPr>
            </w:pPr>
            <w:r>
              <w:rPr>
                <w:color w:val="000000"/>
                <w:sz w:val="20"/>
              </w:rPr>
              <w:t>CREDICORP LTD.</w:t>
            </w:r>
          </w:p>
          <w:p>
            <w:pPr>
              <w:pStyle w:val="TableContents"/>
              <w:bidi w:val="0"/>
              <w:spacing w:before="0" w:after="0"/>
              <w:jc w:val="left"/>
              <w:rPr>
                <w:color w:val="000000"/>
                <w:sz w:val="20"/>
              </w:rPr>
            </w:pPr>
            <w:r>
              <w:rPr>
                <w:color w:val="000000"/>
                <w:sz w:val="20"/>
              </w:rPr>
              <w:t>(Registrant)</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pPr>
            <w:r>
              <w:rPr/>
              <w:t> </w:t>
            </w:r>
          </w:p>
        </w:tc>
        <w:tc>
          <w:tcPr>
            <w:tcW w:w="259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jc w:val="left"/>
              <w:rPr>
                <w:color w:val="000000"/>
                <w:sz w:val="20"/>
              </w:rPr>
            </w:pPr>
            <w:r>
              <w:rPr>
                <w:color w:val="000000"/>
                <w:sz w:val="20"/>
              </w:rPr>
              <w:t>By:</w:t>
            </w:r>
          </w:p>
        </w:tc>
        <w:tc>
          <w:tcPr>
            <w:tcW w:w="2270" w:type="dxa"/>
            <w:tcBorders>
              <w:bottom w:val="single" w:sz="12" w:space="0" w:color="000000"/>
            </w:tcBorders>
            <w:tcMar>
              <w:bottom w:w="28" w:type="dxa"/>
            </w:tcMar>
            <w:vAlign w:val="center"/>
          </w:tcPr>
          <w:p>
            <w:pPr>
              <w:pStyle w:val="TableContents"/>
              <w:bidi w:val="0"/>
              <w:spacing w:before="0" w:after="0"/>
              <w:jc w:val="left"/>
              <w:rPr>
                <w:color w:val="000000"/>
                <w:sz w:val="20"/>
              </w:rPr>
            </w:pPr>
            <w:r>
              <w:rPr>
                <w:color w:val="000000"/>
                <w:sz w:val="20"/>
              </w:rPr>
              <w:t>/s/ Guillermo Morales</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0"/>
              <w:jc w:val="left"/>
              <w:rPr>
                <w:b/>
                <w:color w:val="000000"/>
                <w:sz w:val="20"/>
              </w:rPr>
            </w:pPr>
            <w:r>
              <w:rPr>
                <w:b/>
                <w:color w:val="000000"/>
                <w:sz w:val="20"/>
              </w:rPr>
              <w:t>Guillermo Morales</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0"/>
              <w:jc w:val="left"/>
              <w:rPr>
                <w:b/>
                <w:color w:val="000000"/>
                <w:sz w:val="20"/>
              </w:rPr>
            </w:pPr>
            <w:r>
              <w:rPr>
                <w:b/>
                <w:color w:val="000000"/>
                <w:sz w:val="20"/>
              </w:rPr>
              <w:t>Authorized Representative</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6" w:name="ef20038699_ex99-1.htm"/>
      <w:bookmarkStart w:id="7" w:name="ksef20038699_ex991"/>
      <w:bookmarkStart w:id="8" w:name="ef20038699_ex99-1.htm"/>
      <w:bookmarkStart w:id="9" w:name="ksef20038699_ex991"/>
      <w:bookmarkEnd w:id="8"/>
      <w:bookmarkEnd w:id="9"/>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99.1</w:t>
      </w:r>
    </w:p>
    <w:p>
      <w:pPr>
        <w:pStyle w:val="TextBody"/>
        <w:bidi w:val="0"/>
        <w:spacing w:before="0" w:after="0"/>
        <w:jc w:val="left"/>
        <w:rPr>
          <w:color w:val="000000"/>
          <w:sz w:val="20"/>
        </w:rPr>
      </w:pPr>
      <w:r>
        <w:rPr>
          <w:color w:val="000000"/>
          <w:sz w:val="20"/>
        </w:rPr>
      </w:r>
    </w:p>
    <w:p>
      <w:pPr>
        <w:pStyle w:val="TextBody"/>
        <w:bidi w:val="0"/>
        <w:spacing w:before="0" w:after="0"/>
        <w:jc w:val="right"/>
        <w:rPr>
          <w:color w:val="000000"/>
        </w:rPr>
      </w:pPr>
      <w:r>
        <w:rPr>
          <w:color w:val="000000"/>
        </w:rPr>
        <w:drawing>
          <wp:inline distT="0" distB="0" distL="0" distR="0">
            <wp:extent cx="1476375" cy="3524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476375" cy="352425"/>
                    </a:xfrm>
                    <a:prstGeom prst="rect">
                      <a:avLst/>
                    </a:prstGeom>
                  </pic:spPr>
                </pic:pic>
              </a:graphicData>
            </a:graphic>
          </wp:inline>
        </w:drawing>
      </w:r>
    </w:p>
    <w:p>
      <w:pPr>
        <w:pStyle w:val="TextBody"/>
        <w:bidi w:val="0"/>
        <w:spacing w:before="48" w:after="283"/>
        <w:jc w:val="left"/>
        <w:rPr>
          <w:color w:val="000000"/>
          <w:sz w:val="20"/>
        </w:rPr>
      </w:pPr>
      <w:r>
        <w:rPr>
          <w:color w:val="000000"/>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13 NOV 2024</w:t>
      </w:r>
    </w:p>
    <w:p>
      <w:pPr>
        <w:pStyle w:val="TextBody"/>
        <w:bidi w:val="0"/>
        <w:spacing w:before="0" w:after="0"/>
        <w:jc w:val="left"/>
        <w:rPr>
          <w:color w:val="000000"/>
          <w:sz w:val="20"/>
        </w:rPr>
      </w:pPr>
      <w:r>
        <w:rPr>
          <w:color w:val="000000"/>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Fitch Takes Actions on Peruvian FIs following OE Outlook Revision to Stable</w:t>
      </w:r>
    </w:p>
    <w:p>
      <w:pPr>
        <w:pStyle w:val="TextBody"/>
        <w:bidi w:val="0"/>
        <w:spacing w:before="0" w:after="0"/>
        <w:jc w:val="left"/>
        <w:rPr>
          <w:b/>
          <w:color w:val="000000"/>
          <w:sz w:val="20"/>
        </w:rPr>
      </w:pPr>
      <w:r>
        <w:rPr>
          <w:b/>
          <w:color w:val="000000"/>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Fitch Ratings - Monterrey - 13 Nov 2024: Fitch Ratings has conducted a portfolio review of nine Peruvian Financial Institutions following Fitch's Rating Outlook revision to Stable from Negative of its assessment of Peru's banking system operating environment (OE) and affirmation of the score at 'bbb- '.</w:t>
      </w:r>
    </w:p>
    <w:p>
      <w:pPr>
        <w:pStyle w:val="TextBody"/>
        <w:bidi w:val="0"/>
        <w:spacing w:before="239" w:after="283"/>
        <w:jc w:val="left"/>
        <w:rPr>
          <w:rFonts w:ascii="Times New Roman" w:hAnsi="Times New Roman"/>
          <w:color w:val="000000"/>
          <w:sz w:val="20"/>
        </w:rPr>
      </w:pPr>
      <w:r>
        <w:rPr>
          <w:rFonts w:ascii="Times New Roman" w:hAnsi="Times New Roman"/>
          <w:color w:val="000000"/>
          <w:sz w:val="20"/>
        </w:rPr>
        <w:t>Fitch's Outlook revision of the OE score follows the review on the sovereign Outlook (see, "Fitch Revises Peru's Outlook to Stable; Affirms at 'BBB'", dated Nov. 5, 2024. available at www.fitchratings.com) and reflects the banking system resilience through the cycles, despite the economic slowdown and political instability. While Fitch expects limited credit growth and some additional asset quality deterioration, the banking system performance remains solid and stable. Sound bank capitalization and liquidity should absorb any downside risks in 2025. Additionally, GDP growth is projected to reach around 2.4% in 2025, following an upward revision to 3.0% for 2024.</w:t>
      </w:r>
    </w:p>
    <w:p>
      <w:pPr>
        <w:pStyle w:val="TextBody"/>
        <w:bidi w:val="0"/>
        <w:spacing w:before="241" w:after="283"/>
        <w:jc w:val="left"/>
        <w:rPr>
          <w:rFonts w:ascii="Times New Roman" w:hAnsi="Times New Roman"/>
          <w:color w:val="000000"/>
          <w:sz w:val="20"/>
        </w:rPr>
      </w:pPr>
      <w:r>
        <w:rPr>
          <w:rFonts w:ascii="Times New Roman" w:hAnsi="Times New Roman"/>
          <w:color w:val="000000"/>
          <w:sz w:val="20"/>
        </w:rPr>
        <w:t>Fitch's core metrics for the OE assessment, the Operational Risk Index (ORI) and GDP per capita are expected to remain stable and pressures on business conditions for banks will be lower than in 2024. The latest ORI data available for 2024 was 41.1% compared to 41.3% in 2023, while the GDP per capita was USD8,500 compared to USD7,500 in 2023.</w:t>
      </w:r>
    </w:p>
    <w:p>
      <w:pPr>
        <w:pStyle w:val="TextBody"/>
        <w:bidi w:val="0"/>
        <w:spacing w:before="176" w:after="283"/>
        <w:jc w:val="left"/>
        <w:rPr>
          <w:rFonts w:ascii="Times New Roman" w:hAnsi="Times New Roman"/>
          <w:b/>
          <w:color w:val="000000"/>
          <w:sz w:val="20"/>
        </w:rPr>
      </w:pPr>
      <w:r>
        <w:rPr>
          <w:rFonts w:ascii="Times New Roman" w:hAnsi="Times New Roman"/>
          <w:b/>
          <w:color w:val="000000"/>
          <w:sz w:val="20"/>
        </w:rPr>
        <w:t>Key Rating Drivers</w:t>
      </w:r>
    </w:p>
    <w:p>
      <w:pPr>
        <w:pStyle w:val="TextBody"/>
        <w:bidi w:val="0"/>
        <w:spacing w:before="220" w:after="283"/>
        <w:jc w:val="left"/>
        <w:rPr>
          <w:rFonts w:ascii="Times New Roman" w:hAnsi="Times New Roman"/>
          <w:b/>
          <w:color w:val="000000"/>
          <w:sz w:val="20"/>
        </w:rPr>
      </w:pPr>
      <w:r>
        <w:rPr>
          <w:rFonts w:ascii="Times New Roman" w:hAnsi="Times New Roman"/>
          <w:b/>
          <w:color w:val="000000"/>
          <w:sz w:val="20"/>
        </w:rPr>
        <w:t>State-Owned Development Agencies</w:t>
      </w:r>
    </w:p>
    <w:p>
      <w:pPr>
        <w:pStyle w:val="TextBody"/>
        <w:bidi w:val="0"/>
        <w:spacing w:before="220" w:after="283"/>
        <w:jc w:val="left"/>
        <w:rPr>
          <w:rFonts w:ascii="Times New Roman" w:hAnsi="Times New Roman"/>
          <w:b/>
          <w:color w:val="000000"/>
          <w:sz w:val="20"/>
        </w:rPr>
      </w:pPr>
      <w:r>
        <w:rPr>
          <w:rFonts w:ascii="Times New Roman" w:hAnsi="Times New Roman"/>
          <w:b/>
          <w:color w:val="000000"/>
          <w:sz w:val="20"/>
        </w:rPr>
        <w:t>Fondo Mivivienda S.A. (FMV)</w:t>
      </w:r>
    </w:p>
    <w:p>
      <w:pPr>
        <w:pStyle w:val="TextBody"/>
        <w:bidi w:val="0"/>
        <w:spacing w:before="0" w:after="0"/>
        <w:jc w:val="left"/>
        <w:rPr>
          <w:b/>
          <w:color w:val="000000"/>
          <w:sz w:val="20"/>
        </w:rPr>
      </w:pPr>
      <w:r>
        <w:rPr>
          <w:b/>
          <w:color w:val="000000"/>
          <w:sz w:val="20"/>
        </w:rPr>
      </w:r>
    </w:p>
    <w:p>
      <w:pPr>
        <w:pStyle w:val="TextBody"/>
        <w:bidi w:val="0"/>
        <w:spacing w:before="26" w:after="283"/>
        <w:jc w:val="left"/>
        <w:rPr>
          <w:rFonts w:ascii="Times New Roman" w:hAnsi="Times New Roman"/>
          <w:color w:val="000000"/>
          <w:sz w:val="20"/>
        </w:rPr>
      </w:pPr>
      <w:r>
        <w:rPr>
          <w:rFonts w:ascii="Times New Roman" w:hAnsi="Times New Roman"/>
          <w:color w:val="000000"/>
          <w:sz w:val="20"/>
        </w:rPr>
        <w:t>Fitch revised FMV's Outlook to Stable from Negative mirroring the same Outlook revision from the Peruvian government. Fitch additionally affirmed the Long- and Short-Term Local and Foreign Currency Issuer Default Ratings (IDRs) at 'BBB' and 'F2', respectively. Fitch has also affirmed FMV's Government Support Rating (GSR) at 'bbb'. FMV's IDRs are driven by its GSR, which is equalized with Peru's 'BBB'/Stable Long-Term IDRs. The ratings reflect Fitch's assessment of the Peruvian government's high propensity and ability to provide timely support to FMV, if needed.</w:t>
      </w:r>
    </w:p>
    <w:p>
      <w:pPr>
        <w:pStyle w:val="TextBody"/>
        <w:bidi w:val="0"/>
        <w:spacing w:before="241" w:after="283"/>
        <w:jc w:val="left"/>
        <w:rPr>
          <w:rFonts w:ascii="Times New Roman" w:hAnsi="Times New Roman"/>
          <w:color w:val="000000"/>
          <w:sz w:val="20"/>
        </w:rPr>
      </w:pPr>
      <w:r>
        <w:rPr>
          <w:rFonts w:ascii="Times New Roman" w:hAnsi="Times New Roman"/>
          <w:color w:val="000000"/>
          <w:sz w:val="20"/>
        </w:rPr>
        <w:t>Fitch's support assessment considers with high importance that FMV is a government sponsored enterprise fully owned by the state and its many operational and financial synergies with the public administration. The ratings also consider with high importance FMV's relevance in promoting and financing housing solutions in Peru, especially for low- and middle-income segments, and its critical role in the government's public policies to reduce the country's still-elevated housing shortage.</w:t>
      </w:r>
    </w:p>
    <w:p>
      <w:pPr>
        <w:pStyle w:val="TextBody"/>
        <w:bidi w:val="0"/>
        <w:spacing w:before="0" w:after="0"/>
        <w:ind w:left="100" w:right="251" w:hanging="0"/>
        <w:jc w:val="left"/>
        <w:rPr>
          <w:color w:val="000000"/>
          <w:sz w:val="20"/>
        </w:rPr>
      </w:pPr>
      <w:r>
        <w:rPr>
          <w:color w:val="000000"/>
          <w:sz w:val="20"/>
        </w:rPr>
      </w:r>
    </w:p>
    <w:p>
      <w:pPr>
        <w:pStyle w:val="HorizontalLine"/>
        <w:pBdr>
          <w:bottom w:val="single" w:sz="12" w:space="0" w:color="808080"/>
        </w:pBdr>
        <w:bidi w:val="0"/>
        <w:spacing w:before="180" w:after="180"/>
        <w:jc w:val="left"/>
        <w:rPr/>
      </w:pPr>
      <w:r>
        <w:rPr/>
      </w:r>
    </w:p>
    <w:p>
      <w:pPr>
        <w:pStyle w:val="TextBody"/>
        <w:bidi w:val="0"/>
        <w:spacing w:before="68" w:after="283"/>
        <w:jc w:val="left"/>
        <w:rPr>
          <w:rFonts w:ascii="Times New Roman" w:hAnsi="Times New Roman"/>
          <w:b/>
          <w:color w:val="000000"/>
          <w:sz w:val="20"/>
        </w:rPr>
      </w:pPr>
      <w:r>
        <w:rPr>
          <w:rFonts w:ascii="Times New Roman" w:hAnsi="Times New Roman"/>
          <w:b/>
          <w:color w:val="000000"/>
          <w:sz w:val="20"/>
        </w:rPr>
        <w:t>Corporacion Financiera de Desarrollo S.A. (COFIDE)</w:t>
      </w:r>
    </w:p>
    <w:p>
      <w:pPr>
        <w:pStyle w:val="TextBody"/>
        <w:bidi w:val="0"/>
        <w:spacing w:before="282" w:after="283"/>
        <w:jc w:val="left"/>
        <w:rPr>
          <w:rFonts w:ascii="Times New Roman" w:hAnsi="Times New Roman"/>
          <w:color w:val="000000"/>
          <w:sz w:val="20"/>
        </w:rPr>
      </w:pPr>
      <w:r>
        <w:rPr>
          <w:rFonts w:ascii="Times New Roman" w:hAnsi="Times New Roman"/>
          <w:color w:val="000000"/>
          <w:sz w:val="20"/>
        </w:rPr>
        <w:t>Fitch revised COFIDE's Outlook to Stable from Negative, mirroring a recent similar action on Peru's ratings. Fitch also affirmed COFIDE's Long-Term and Short-Term Local and Foreign Currency and IDRs at 'BBB' and 'F2', respectively, as these are driven by its affirmed 'bbb' GSR. The ratings reflect Fitch's assessment of the Peruvian government's high propensity and ability to provide timely support to COFIDE, if needed.</w:t>
      </w:r>
    </w:p>
    <w:p>
      <w:pPr>
        <w:pStyle w:val="TextBody"/>
        <w:bidi w:val="0"/>
        <w:spacing w:before="239" w:after="283"/>
        <w:jc w:val="left"/>
        <w:rPr>
          <w:rFonts w:ascii="Times New Roman" w:hAnsi="Times New Roman"/>
          <w:color w:val="000000"/>
          <w:sz w:val="20"/>
        </w:rPr>
      </w:pPr>
      <w:r>
        <w:rPr>
          <w:rFonts w:ascii="Times New Roman" w:hAnsi="Times New Roman"/>
          <w:color w:val="000000"/>
          <w:sz w:val="20"/>
        </w:rPr>
        <w:t>Fitch's support assessment and ratings equalization considers with high importance that the state is the majority shareholder and its policy role focused on the country's infrastructure, economic and social welfare and plays a critical role in implementing policies directed at sectors with limited funding access or projects underserved by commercial banks.</w:t>
      </w:r>
    </w:p>
    <w:p>
      <w:pPr>
        <w:pStyle w:val="TextBody"/>
        <w:bidi w:val="0"/>
        <w:spacing w:before="211" w:after="283"/>
        <w:jc w:val="left"/>
        <w:rPr>
          <w:rFonts w:ascii="Times New Roman" w:hAnsi="Times New Roman"/>
          <w:b/>
          <w:color w:val="000000"/>
          <w:sz w:val="20"/>
        </w:rPr>
      </w:pPr>
      <w:r>
        <w:rPr>
          <w:rFonts w:ascii="Times New Roman" w:hAnsi="Times New Roman"/>
          <w:b/>
          <w:color w:val="000000"/>
          <w:sz w:val="20"/>
        </w:rPr>
        <w:t>Private Banks and Related Entities</w:t>
      </w:r>
    </w:p>
    <w:p>
      <w:pPr>
        <w:pStyle w:val="TextBody"/>
        <w:bidi w:val="0"/>
        <w:spacing w:before="211" w:after="283"/>
        <w:jc w:val="left"/>
        <w:rPr>
          <w:rFonts w:ascii="Times New Roman" w:hAnsi="Times New Roman"/>
          <w:b/>
          <w:color w:val="000000"/>
          <w:sz w:val="20"/>
        </w:rPr>
      </w:pPr>
      <w:r>
        <w:rPr>
          <w:rFonts w:ascii="Times New Roman" w:hAnsi="Times New Roman"/>
          <w:b/>
          <w:color w:val="000000"/>
          <w:sz w:val="20"/>
        </w:rPr>
        <w:t>SCOTIABANK PERU S.A.A. (SBP)</w:t>
      </w:r>
    </w:p>
    <w:p>
      <w:pPr>
        <w:pStyle w:val="TextBody"/>
        <w:bidi w:val="0"/>
        <w:spacing w:before="0" w:after="0"/>
        <w:ind w:left="100" w:right="5767" w:hanging="0"/>
        <w:jc w:val="left"/>
        <w:rPr>
          <w:b/>
          <w:color w:val="000000"/>
          <w:sz w:val="20"/>
        </w:rPr>
      </w:pPr>
      <w:r>
        <w:rPr>
          <w:b/>
          <w:color w:val="000000"/>
          <w:sz w:val="20"/>
        </w:rPr>
      </w:r>
    </w:p>
    <w:p>
      <w:pPr>
        <w:pStyle w:val="TextBody"/>
        <w:bidi w:val="0"/>
        <w:spacing w:before="27" w:after="283"/>
        <w:jc w:val="left"/>
        <w:rPr>
          <w:rFonts w:ascii="Times New Roman" w:hAnsi="Times New Roman"/>
          <w:color w:val="000000"/>
          <w:sz w:val="20"/>
        </w:rPr>
      </w:pPr>
      <w:r>
        <w:rPr>
          <w:rFonts w:ascii="Times New Roman" w:hAnsi="Times New Roman"/>
          <w:color w:val="000000"/>
          <w:sz w:val="20"/>
        </w:rPr>
        <w:t>Fitch has revised SBP's Outlook to Stable from Negative to reflect that a potential downgrade on the country ceiling of the Peruvian sovereign rating is not a concern with the revision of the Outlook of Peru. Fitch additionally affirmed the Long-Term Foreign and Local Currency IDRs at 'A-', Shareholder Support Rating (SSR) at 'a-'. Fitch has also affirmed the SBP's Short-Term Foreign and Local Currency IDRs at 'F1'. SBP's IDRs and SSR are based on expected support it would receive from its parent (The Bank of Nova Scotia [BNS; AA-/Stable]), if needed. Fitch believes the parent's propensity to support SBP is high given the strategic role that this subsidiary play in its regional goals, as well as the significant management and operational integration.</w:t>
      </w:r>
    </w:p>
    <w:p>
      <w:pPr>
        <w:pStyle w:val="TextBody"/>
        <w:bidi w:val="0"/>
        <w:spacing w:before="242" w:after="283"/>
        <w:jc w:val="left"/>
        <w:rPr>
          <w:rFonts w:ascii="Times New Roman" w:hAnsi="Times New Roman"/>
          <w:color w:val="000000"/>
          <w:sz w:val="20"/>
        </w:rPr>
      </w:pPr>
      <w:r>
        <w:rPr>
          <w:rFonts w:ascii="Times New Roman" w:hAnsi="Times New Roman"/>
          <w:color w:val="000000"/>
          <w:sz w:val="20"/>
        </w:rPr>
        <w:t>SBP's 'A-' Local Currency IDR is two notches above Peru's 'BBB' Local Currency IDR, and at the same level of Peru's 'A-' Country Ceiling, consistent with Fitch's criteria. SBP's 'A-' Long-Term Foreign Currency IDR is capped by the Country Ceiling due to transfer and convertibility risks.</w:t>
      </w:r>
    </w:p>
    <w:p>
      <w:pPr>
        <w:pStyle w:val="TextBody"/>
        <w:bidi w:val="0"/>
        <w:spacing w:before="238" w:after="283"/>
        <w:jc w:val="left"/>
        <w:rPr>
          <w:rFonts w:ascii="Times New Roman" w:hAnsi="Times New Roman"/>
          <w:color w:val="000000"/>
          <w:sz w:val="20"/>
        </w:rPr>
      </w:pPr>
      <w:r>
        <w:rPr>
          <w:rFonts w:ascii="Times New Roman" w:hAnsi="Times New Roman"/>
          <w:color w:val="000000"/>
          <w:sz w:val="20"/>
        </w:rPr>
        <w:t>Fitch affirmed SBP's Viability Rating (VR) at 'bbb', in line with the implied VR. This rating is underpinned by its solid business profile, sound market position, and adequate capitalization and considering ordinary support. SBP's asset quality and profitability remain pressured due to the systemic deterioration of the consumer portfolio and the gross portfolio reduction. The bank's non-performing loan (NPL) ratio increased to 4.0% in June 2024 from 3.8% at YE 2023, while its operating profit to risk- weighted asset (RWA) ratio reached 0.5% in June 2024. This was impacted by consistent regulatory and voluntary loan impairment charges, as well as goodwill impairments related to the announcement to divest the Crediscotia Financiera operation.</w:t>
      </w:r>
    </w:p>
    <w:p>
      <w:pPr>
        <w:pStyle w:val="TextBody"/>
        <w:bidi w:val="0"/>
        <w:spacing w:before="215" w:after="283"/>
        <w:jc w:val="left"/>
        <w:rPr>
          <w:rFonts w:ascii="Times New Roman" w:hAnsi="Times New Roman"/>
          <w:b/>
          <w:color w:val="000000"/>
          <w:sz w:val="20"/>
        </w:rPr>
      </w:pPr>
      <w:r>
        <w:rPr>
          <w:rFonts w:ascii="Times New Roman" w:hAnsi="Times New Roman"/>
          <w:b/>
          <w:color w:val="000000"/>
          <w:sz w:val="20"/>
        </w:rPr>
        <w:t>BANCO DE CREDITO DEL PERU (BCP)</w:t>
      </w:r>
    </w:p>
    <w:p>
      <w:pPr>
        <w:pStyle w:val="TextBody"/>
        <w:bidi w:val="0"/>
        <w:spacing w:before="282" w:after="283"/>
        <w:jc w:val="left"/>
        <w:rPr>
          <w:rFonts w:ascii="Times New Roman" w:hAnsi="Times New Roman"/>
          <w:color w:val="000000"/>
          <w:sz w:val="20"/>
        </w:rPr>
      </w:pPr>
      <w:r>
        <w:rPr>
          <w:rFonts w:ascii="Times New Roman" w:hAnsi="Times New Roman"/>
          <w:color w:val="000000"/>
          <w:sz w:val="20"/>
        </w:rPr>
        <w:t>Fitch revised Banco de Credito del Peru S.A.'s (BCP) Outlook to Stable from Negative after the OE revision following the sovereign rating action. Fitch has also affirmed BCP's Long-Term Foreign and Local Currency IDRs at 'BBB', Short-Term Foreign and Local Currency IDRs at 'F2', and GSR at 'bbb-'. BCP's IDRs are driven by its VR of 'bbb', which is in line with the implied VR. The bank's strong and</w:t>
      </w:r>
    </w:p>
    <w:p>
      <w:pPr>
        <w:pStyle w:val="TextBody"/>
        <w:bidi w:val="0"/>
        <w:spacing w:before="0" w:after="0"/>
        <w:jc w:val="left"/>
        <w:rPr>
          <w:color w:val="000000"/>
          <w:sz w:val="20"/>
        </w:rPr>
      </w:pPr>
      <w:r>
        <w:rPr>
          <w:color w:val="000000"/>
          <w:sz w:val="20"/>
        </w:rPr>
      </w:r>
    </w:p>
    <w:p>
      <w:pPr>
        <w:pStyle w:val="HorizontalLine"/>
        <w:pBdr>
          <w:bottom w:val="single" w:sz="12" w:space="0" w:color="808080"/>
        </w:pBdr>
        <w:bidi w:val="0"/>
        <w:spacing w:before="180" w:after="180"/>
        <w:jc w:val="left"/>
        <w:rPr/>
      </w:pPr>
      <w:r>
        <w:rPr/>
      </w:r>
    </w:p>
    <w:p>
      <w:pPr>
        <w:pStyle w:val="TextBody"/>
        <w:bidi w:val="0"/>
        <w:spacing w:before="96" w:after="283"/>
        <w:jc w:val="left"/>
        <w:rPr>
          <w:rFonts w:ascii="Times New Roman" w:hAnsi="Times New Roman"/>
          <w:color w:val="000000"/>
          <w:sz w:val="20"/>
        </w:rPr>
      </w:pPr>
      <w:r>
        <w:rPr>
          <w:rFonts w:ascii="Times New Roman" w:hAnsi="Times New Roman"/>
          <w:color w:val="000000"/>
          <w:sz w:val="20"/>
        </w:rPr>
        <w:t>leading franchise in Peru, well-diversified business profile and funding base, and sound and improving financial profile underpin the ratings.</w:t>
      </w:r>
    </w:p>
    <w:p>
      <w:pPr>
        <w:pStyle w:val="TextBody"/>
        <w:bidi w:val="0"/>
        <w:spacing w:before="237" w:after="283"/>
        <w:jc w:val="left"/>
        <w:rPr>
          <w:rFonts w:ascii="Times New Roman" w:hAnsi="Times New Roman"/>
          <w:color w:val="000000"/>
          <w:sz w:val="20"/>
        </w:rPr>
      </w:pPr>
      <w:r>
        <w:rPr>
          <w:rFonts w:ascii="Times New Roman" w:hAnsi="Times New Roman"/>
          <w:color w:val="000000"/>
          <w:sz w:val="20"/>
        </w:rPr>
        <w:t>BCP is the largest bank in Peru and the main subsidiary of Credicorp Ltd. (BBB/Stable), the country's largest financial holding company. BCP's consolidated numbers show a market share of 33.7% by loans and 35.3% by deposits, as of 2Q24.</w:t>
      </w:r>
    </w:p>
    <w:p>
      <w:pPr>
        <w:pStyle w:val="TextBody"/>
        <w:bidi w:val="0"/>
        <w:spacing w:before="238" w:after="283"/>
        <w:jc w:val="left"/>
        <w:rPr>
          <w:rFonts w:ascii="Times New Roman" w:hAnsi="Times New Roman"/>
          <w:color w:val="000000"/>
          <w:sz w:val="20"/>
        </w:rPr>
      </w:pPr>
      <w:r>
        <w:rPr>
          <w:rFonts w:ascii="Times New Roman" w:hAnsi="Times New Roman"/>
          <w:color w:val="000000"/>
          <w:sz w:val="20"/>
        </w:rPr>
        <w:t>BCP would be likely to receive support from the Peruvian government, given its size and systemic importance, should it be required, underpinning its GSR. The ability of the sovereign to provide support is reflected in its 'BBB'/Stable IDR and underpinned by its sound financial position, ample international reserves and low debt. Regulators have a clear mandate to protect and preserve the banking system through conservative regulation and capable supervision.</w:t>
      </w:r>
    </w:p>
    <w:p>
      <w:pPr>
        <w:pStyle w:val="TextBody"/>
        <w:bidi w:val="0"/>
        <w:spacing w:before="211" w:after="283"/>
        <w:jc w:val="left"/>
        <w:rPr>
          <w:rFonts w:ascii="Times New Roman" w:hAnsi="Times New Roman"/>
          <w:b/>
          <w:color w:val="000000"/>
          <w:sz w:val="20"/>
        </w:rPr>
      </w:pPr>
      <w:r>
        <w:rPr>
          <w:rFonts w:ascii="Times New Roman" w:hAnsi="Times New Roman"/>
          <w:b/>
          <w:color w:val="000000"/>
          <w:sz w:val="20"/>
        </w:rPr>
        <w:t>BBVA PERU</w:t>
      </w:r>
    </w:p>
    <w:p>
      <w:pPr>
        <w:pStyle w:val="TextBody"/>
        <w:bidi w:val="0"/>
        <w:spacing w:before="282" w:after="283"/>
        <w:jc w:val="both"/>
        <w:rPr>
          <w:rFonts w:ascii="Times New Roman" w:hAnsi="Times New Roman"/>
          <w:color w:val="000000"/>
          <w:sz w:val="20"/>
        </w:rPr>
      </w:pPr>
      <w:r>
        <w:rPr>
          <w:rFonts w:ascii="Times New Roman" w:hAnsi="Times New Roman"/>
          <w:color w:val="000000"/>
          <w:sz w:val="20"/>
        </w:rPr>
        <w:t>Fitch has affirmed Banco BBVA Peru's (BBVA Peru) Long-Term Foreign and Local Currency IDRs at 'BBB' and the VR at 'bbb'. Fitch has also affirmed the ST FC and LC IDRs at 'F2'. The Outlook for the LT IDRs is Stable. In addition, Fitch has affirmed the SSR at 'bbb'.</w:t>
      </w:r>
    </w:p>
    <w:p>
      <w:pPr>
        <w:pStyle w:val="TextBody"/>
        <w:bidi w:val="0"/>
        <w:spacing w:before="238" w:after="283"/>
        <w:jc w:val="left"/>
        <w:rPr>
          <w:rFonts w:ascii="Times New Roman" w:hAnsi="Times New Roman"/>
          <w:color w:val="000000"/>
          <w:sz w:val="20"/>
        </w:rPr>
      </w:pPr>
      <w:r>
        <w:rPr>
          <w:rFonts w:ascii="Times New Roman" w:hAnsi="Times New Roman"/>
          <w:color w:val="000000"/>
          <w:sz w:val="20"/>
        </w:rPr>
        <w:t>BBVA Peru's IDRs are driven by the support it would receive from its parent, Spain's Banco Bilbao Vizcaya Argentaria, S.A. (BBVA S.A.; BBB+/Stable), should it be required. Fitch believes the parent's propensity to support BBVA Peru is high - given the strategic role this subsidiary plays in its regional goals.</w:t>
      </w:r>
    </w:p>
    <w:p>
      <w:pPr>
        <w:pStyle w:val="TextBody"/>
        <w:bidi w:val="0"/>
        <w:spacing w:before="239" w:after="283"/>
        <w:jc w:val="left"/>
        <w:rPr>
          <w:rFonts w:ascii="Times New Roman" w:hAnsi="Times New Roman"/>
          <w:color w:val="000000"/>
          <w:sz w:val="20"/>
        </w:rPr>
      </w:pPr>
      <w:r>
        <w:rPr>
          <w:rFonts w:ascii="Times New Roman" w:hAnsi="Times New Roman"/>
          <w:color w:val="000000"/>
          <w:sz w:val="20"/>
        </w:rPr>
        <w:t>The 'bbb' VR reflects a strong business profile underpinned by its franchise and substantial market share as BBVA Peru remains the country's second-largest bank. The VR also takes into consideration moderate profitability metrics despite persistent challenges deriving from asset-quality deterioration, and reasonable capital metrics that could be enhanced by the parent, if needed.</w:t>
      </w:r>
    </w:p>
    <w:p>
      <w:pPr>
        <w:pStyle w:val="TextBody"/>
        <w:bidi w:val="0"/>
        <w:spacing w:before="211" w:after="283"/>
        <w:jc w:val="left"/>
        <w:rPr>
          <w:rFonts w:ascii="Times New Roman" w:hAnsi="Times New Roman"/>
          <w:b/>
          <w:color w:val="000000"/>
          <w:sz w:val="20"/>
        </w:rPr>
      </w:pPr>
      <w:r>
        <w:rPr>
          <w:rFonts w:ascii="Times New Roman" w:hAnsi="Times New Roman"/>
          <w:b/>
          <w:color w:val="000000"/>
          <w:sz w:val="20"/>
        </w:rPr>
        <w:t>INTERBANK</w:t>
      </w:r>
    </w:p>
    <w:p>
      <w:pPr>
        <w:pStyle w:val="TextBody"/>
        <w:bidi w:val="0"/>
        <w:spacing w:before="282" w:after="283"/>
        <w:jc w:val="left"/>
        <w:rPr>
          <w:rFonts w:ascii="Times New Roman" w:hAnsi="Times New Roman"/>
          <w:color w:val="000000"/>
          <w:sz w:val="20"/>
        </w:rPr>
      </w:pPr>
      <w:r>
        <w:rPr>
          <w:rFonts w:ascii="Times New Roman" w:hAnsi="Times New Roman"/>
          <w:color w:val="000000"/>
          <w:sz w:val="20"/>
        </w:rPr>
        <w:t>Fitch revised Banco Internacional del Peru S.A.A.'s (Interbank) Outlook to Stable from Negative after the OE revision following the sovereign rating action. Fitch has also affirmed Interbank's Long-Term Foreign and Local Currency IDRs at 'BBB', and its VR at 'bbb'. Fitch has additionally affirmed the GSR at 'bbb-'. Interbank's VR drives its IDR and it incorporates the institution's robust positioning as Peru's fourth-largest universal commercial bank, underscored by its significant retail banking footprint. This is evidenced by the bank's market shares of 21.8% in consumer loans and 15.0% in retail deposits as of June 2024, positioning the bank among the largest Peruvian banks in market share.</w:t>
      </w:r>
    </w:p>
    <w:p>
      <w:pPr>
        <w:pStyle w:val="TextBody"/>
        <w:bidi w:val="0"/>
        <w:spacing w:before="241" w:after="283"/>
        <w:jc w:val="left"/>
        <w:rPr>
          <w:rFonts w:ascii="Times New Roman" w:hAnsi="Times New Roman"/>
          <w:color w:val="000000"/>
          <w:sz w:val="20"/>
        </w:rPr>
      </w:pPr>
      <w:r>
        <w:rPr>
          <w:rFonts w:ascii="Times New Roman" w:hAnsi="Times New Roman"/>
          <w:color w:val="000000"/>
          <w:sz w:val="20"/>
        </w:rPr>
        <w:t>The 'bbb-' GSR reflects high probability of support is forthcoming. The Peruvian government has a high propensity to provide Interbank support given its moderate systemic importance. The sovereign's ability to provide support is reflected in its 'BBB'/Stable IDR, which is underpinned by its sound financial position, ample international reserves and low debt levels.</w:t>
      </w:r>
    </w:p>
    <w:p>
      <w:pPr>
        <w:pStyle w:val="TextBody"/>
        <w:bidi w:val="0"/>
        <w:spacing w:before="211" w:after="283"/>
        <w:jc w:val="left"/>
        <w:rPr>
          <w:rFonts w:ascii="Times New Roman" w:hAnsi="Times New Roman"/>
          <w:b/>
          <w:color w:val="000000"/>
          <w:sz w:val="20"/>
        </w:rPr>
      </w:pPr>
      <w:r>
        <w:rPr>
          <w:rFonts w:ascii="Times New Roman" w:hAnsi="Times New Roman"/>
          <w:b/>
          <w:color w:val="000000"/>
          <w:sz w:val="20"/>
        </w:rPr>
        <w:t>BANBIF</w:t>
      </w:r>
    </w:p>
    <w:p>
      <w:pPr>
        <w:pStyle w:val="TextBody"/>
        <w:bidi w:val="0"/>
        <w:spacing w:before="0" w:after="0"/>
        <w:jc w:val="left"/>
        <w:rPr>
          <w:color w:val="000000"/>
          <w:sz w:val="20"/>
        </w:rPr>
      </w:pPr>
      <w:r>
        <w:rPr>
          <w:color w:val="000000"/>
          <w:sz w:val="20"/>
        </w:rPr>
      </w:r>
    </w:p>
    <w:p>
      <w:pPr>
        <w:pStyle w:val="HorizontalLine"/>
        <w:pBdr>
          <w:bottom w:val="single" w:sz="12" w:space="0" w:color="808080"/>
        </w:pBdr>
        <w:bidi w:val="0"/>
        <w:spacing w:before="180" w:after="180"/>
        <w:jc w:val="left"/>
        <w:rPr/>
      </w:pPr>
      <w:r>
        <w:rPr/>
      </w:r>
    </w:p>
    <w:p>
      <w:pPr>
        <w:pStyle w:val="TextBody"/>
        <w:bidi w:val="0"/>
        <w:spacing w:before="96" w:after="283"/>
        <w:jc w:val="left"/>
        <w:rPr>
          <w:rFonts w:ascii="Times New Roman" w:hAnsi="Times New Roman"/>
          <w:color w:val="000000"/>
          <w:sz w:val="20"/>
        </w:rPr>
      </w:pPr>
      <w:r>
        <w:rPr>
          <w:rFonts w:ascii="Times New Roman" w:hAnsi="Times New Roman"/>
          <w:color w:val="000000"/>
          <w:sz w:val="20"/>
        </w:rPr>
        <w:t>Fitch revised Banco Interamericano de Finanzas S.A.'s (BanBif) Outlook to Stable from Negative, and affirmed its Long-Term Foreign and Local Currency IDRs at 'BB+' and Local and Foreign Currency Short- Term IDRs at 'B', respectively. Fitch has also affirmed its VR at 'bb+' and GSR at 'bb-'.</w:t>
      </w:r>
    </w:p>
    <w:p>
      <w:pPr>
        <w:pStyle w:val="TextBody"/>
        <w:bidi w:val="0"/>
        <w:spacing w:before="238" w:after="283"/>
        <w:jc w:val="left"/>
        <w:rPr>
          <w:rFonts w:ascii="Times New Roman" w:hAnsi="Times New Roman"/>
          <w:color w:val="000000"/>
          <w:sz w:val="20"/>
        </w:rPr>
      </w:pPr>
      <w:r>
        <w:rPr>
          <w:rFonts w:ascii="Times New Roman" w:hAnsi="Times New Roman"/>
          <w:color w:val="000000"/>
          <w:sz w:val="20"/>
        </w:rPr>
        <w:t>The Stable Outlook on the Long-Term IDRs reflects the stabilization of the operating environment, given the lessened downside risks from the sovereign rating. BanBif's IDR are driven by its 'bb+' VR, which considers the bank's modest franchise and a business model that yields limited profitability and tight capital metrics.</w:t>
      </w:r>
    </w:p>
    <w:p>
      <w:pPr>
        <w:pStyle w:val="TextBody"/>
        <w:bidi w:val="0"/>
        <w:spacing w:before="210" w:after="283"/>
        <w:jc w:val="left"/>
        <w:rPr>
          <w:rFonts w:ascii="Times New Roman" w:hAnsi="Times New Roman"/>
          <w:b/>
          <w:color w:val="000000"/>
          <w:sz w:val="20"/>
        </w:rPr>
      </w:pPr>
      <w:r>
        <w:rPr>
          <w:rFonts w:ascii="Times New Roman" w:hAnsi="Times New Roman"/>
          <w:b/>
          <w:color w:val="000000"/>
          <w:sz w:val="20"/>
        </w:rPr>
        <w:t>CREDICORP LTD.</w:t>
      </w:r>
    </w:p>
    <w:p>
      <w:pPr>
        <w:pStyle w:val="TextBody"/>
        <w:bidi w:val="0"/>
        <w:spacing w:before="282" w:after="283"/>
        <w:jc w:val="left"/>
        <w:rPr>
          <w:rFonts w:ascii="Times New Roman" w:hAnsi="Times New Roman"/>
          <w:color w:val="000000"/>
          <w:sz w:val="20"/>
        </w:rPr>
      </w:pPr>
      <w:r>
        <w:rPr>
          <w:rFonts w:ascii="Times New Roman" w:hAnsi="Times New Roman"/>
          <w:color w:val="000000"/>
          <w:sz w:val="20"/>
        </w:rPr>
        <w:t>Fitch revised Credicorp Ltd.'s Outlook to Stable from Negative following the Outlook revision on its main subsidiary, BCP. Fitch has also affirmed Credicorp Ltd.'s Long-Term IDR at 'BBB' which are driven primarily by BCP.</w:t>
      </w:r>
    </w:p>
    <w:p>
      <w:pPr>
        <w:pStyle w:val="TextBody"/>
        <w:bidi w:val="0"/>
        <w:spacing w:before="238" w:after="283"/>
        <w:jc w:val="left"/>
        <w:rPr>
          <w:rFonts w:ascii="Times New Roman" w:hAnsi="Times New Roman"/>
          <w:color w:val="000000"/>
          <w:sz w:val="20"/>
        </w:rPr>
      </w:pPr>
      <w:r>
        <w:rPr>
          <w:rFonts w:ascii="Times New Roman" w:hAnsi="Times New Roman"/>
          <w:color w:val="000000"/>
          <w:sz w:val="20"/>
        </w:rPr>
        <w:t>The equalization is driven mainly by Credicorp's low double leverage, which improved to 99.1% at June 2024, and strong liquidity management. Credicorp, a non-operating holding company, has a long record of significant dividend flows, especially from BCP, that comprise the bulk of its liquidity.</w:t>
      </w:r>
    </w:p>
    <w:p>
      <w:pPr>
        <w:pStyle w:val="TextBody"/>
        <w:bidi w:val="0"/>
        <w:spacing w:before="210" w:after="283"/>
        <w:jc w:val="left"/>
        <w:rPr>
          <w:rFonts w:ascii="Times New Roman" w:hAnsi="Times New Roman"/>
          <w:b/>
          <w:color w:val="000000"/>
          <w:sz w:val="20"/>
        </w:rPr>
      </w:pPr>
      <w:r>
        <w:rPr>
          <w:rFonts w:ascii="Times New Roman" w:hAnsi="Times New Roman"/>
          <w:b/>
          <w:color w:val="000000"/>
          <w:sz w:val="20"/>
        </w:rPr>
        <w:t>INTERCORP FINANCIAL SERVICES INC (IFS)</w:t>
      </w:r>
    </w:p>
    <w:p>
      <w:pPr>
        <w:pStyle w:val="TextBody"/>
        <w:bidi w:val="0"/>
        <w:spacing w:before="282" w:after="283"/>
        <w:jc w:val="left"/>
        <w:rPr>
          <w:rFonts w:ascii="Times New Roman" w:hAnsi="Times New Roman"/>
          <w:color w:val="000000"/>
          <w:sz w:val="20"/>
        </w:rPr>
      </w:pPr>
      <w:r>
        <w:rPr>
          <w:rFonts w:ascii="Times New Roman" w:hAnsi="Times New Roman"/>
          <w:color w:val="000000"/>
          <w:sz w:val="20"/>
        </w:rPr>
        <w:t>Fitch revised IFS's Outlook to Stable from Negative following the Outlook revision on its main subsidiary, Interbank. Fitch has also affirmed IFS's Long-Term Foreign and Local Currency IDRs at 'BBB-' which are one notch below those of Interbank, reflecting IFS' separate jurisdiction (Panama), the lack of regulatory focus on IFS on a consolidated basis, and the potential for regulatory restriction of liquidity upstreaming to IFS in the event of solvency pressures at Interbank. The rating also considers IFS' low double leverage at 106.5% at June 2024.</w:t>
      </w:r>
    </w:p>
    <w:p>
      <w:pPr>
        <w:pStyle w:val="TextBody"/>
        <w:bidi w:val="0"/>
        <w:spacing w:before="178" w:after="283"/>
        <w:jc w:val="left"/>
        <w:rPr>
          <w:rFonts w:ascii="Times New Roman" w:hAnsi="Times New Roman"/>
          <w:b/>
          <w:color w:val="000000"/>
          <w:sz w:val="20"/>
        </w:rPr>
      </w:pPr>
      <w:r>
        <w:rPr>
          <w:rFonts w:ascii="Times New Roman" w:hAnsi="Times New Roman"/>
          <w:b/>
          <w:color w:val="000000"/>
          <w:sz w:val="20"/>
        </w:rPr>
        <w:t>Rating Sensitivities</w:t>
      </w:r>
    </w:p>
    <w:p>
      <w:pPr>
        <w:pStyle w:val="TextBody"/>
        <w:bidi w:val="0"/>
        <w:spacing w:before="224" w:after="283"/>
        <w:jc w:val="left"/>
        <w:rPr>
          <w:rFonts w:ascii="Times New Roman" w:hAnsi="Times New Roman"/>
          <w:b/>
          <w:color w:val="000000"/>
          <w:sz w:val="20"/>
        </w:rPr>
      </w:pPr>
      <w:r>
        <w:rPr>
          <w:rFonts w:ascii="Times New Roman" w:hAnsi="Times New Roman"/>
          <w:b/>
          <w:color w:val="000000"/>
          <w:sz w:val="20"/>
        </w:rPr>
        <w:t>Factors that Could, Individually or Collectively, Lead to Negative Rating Action/ Downgrade</w:t>
      </w:r>
    </w:p>
    <w:p>
      <w:pPr>
        <w:pStyle w:val="TextBody"/>
        <w:bidi w:val="0"/>
        <w:spacing w:before="259" w:after="283"/>
        <w:jc w:val="left"/>
        <w:rPr>
          <w:rFonts w:ascii="Times New Roman" w:hAnsi="Times New Roman"/>
          <w:b/>
          <w:color w:val="000000"/>
          <w:sz w:val="20"/>
        </w:rPr>
      </w:pPr>
      <w:r>
        <w:rPr>
          <w:rFonts w:ascii="Times New Roman" w:hAnsi="Times New Roman"/>
          <w:b/>
          <w:color w:val="000000"/>
          <w:sz w:val="20"/>
        </w:rPr>
        <w:t>Fondo Mivivienda</w:t>
      </w:r>
    </w:p>
    <w:p>
      <w:pPr>
        <w:pStyle w:val="TextBody"/>
        <w:bidi w:val="0"/>
        <w:spacing w:before="56" w:after="283"/>
        <w:jc w:val="left"/>
        <w:rPr>
          <w:color w:val="000000"/>
          <w:sz w:val="20"/>
        </w:rPr>
      </w:pPr>
      <w:r>
        <w:rPr>
          <w:color w:val="000000"/>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--FMV's ratings will mirror any potential negative change in Peru's sovereign ratings;</w:t>
      </w:r>
    </w:p>
    <w:p>
      <w:pPr>
        <w:pStyle w:val="TextBody"/>
        <w:bidi w:val="0"/>
        <w:spacing w:before="55" w:after="283"/>
        <w:jc w:val="left"/>
        <w:rPr>
          <w:color w:val="000000"/>
          <w:sz w:val="20"/>
        </w:rPr>
      </w:pPr>
      <w:r>
        <w:rPr>
          <w:color w:val="000000"/>
          <w:sz w:val="20"/>
        </w:rPr>
      </w:r>
    </w:p>
    <w:p>
      <w:pPr>
        <w:pStyle w:val="TextBody"/>
        <w:bidi w:val="0"/>
        <w:spacing w:before="1" w:after="283"/>
        <w:jc w:val="both"/>
        <w:rPr>
          <w:rFonts w:ascii="Times New Roman" w:hAnsi="Times New Roman"/>
          <w:color w:val="000000"/>
          <w:sz w:val="20"/>
        </w:rPr>
      </w:pPr>
      <w:r>
        <w:rPr>
          <w:rFonts w:ascii="Times New Roman" w:hAnsi="Times New Roman"/>
          <w:color w:val="000000"/>
          <w:sz w:val="20"/>
        </w:rPr>
        <w:t>--Although not a baseline scenario, FMV's IDRs and GSR could change if Fitch perceives a decrease in the entity's strategic importance to government public policies, particularly through housing finance negative changes or meaningfully reducing the amounts of government subsidies.</w:t>
      </w:r>
    </w:p>
    <w:p>
      <w:pPr>
        <w:pStyle w:val="TextBody"/>
        <w:bidi w:val="0"/>
        <w:spacing w:before="237" w:after="283"/>
        <w:jc w:val="left"/>
        <w:rPr>
          <w:rFonts w:ascii="Times New Roman" w:hAnsi="Times New Roman"/>
          <w:color w:val="000000"/>
          <w:sz w:val="20"/>
        </w:rPr>
      </w:pPr>
      <w:r>
        <w:rPr>
          <w:rFonts w:ascii="Times New Roman" w:hAnsi="Times New Roman"/>
          <w:color w:val="000000"/>
          <w:sz w:val="20"/>
        </w:rPr>
        <w:t>COFIDE</w:t>
      </w:r>
    </w:p>
    <w:p>
      <w:pPr>
        <w:pStyle w:val="TextBody"/>
        <w:bidi w:val="0"/>
        <w:spacing w:before="56" w:after="283"/>
        <w:jc w:val="left"/>
        <w:rPr>
          <w:color w:val="000000"/>
          <w:sz w:val="20"/>
        </w:rPr>
      </w:pPr>
      <w:r>
        <w:rPr>
          <w:color w:val="000000"/>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--COFIDE's ratings will mirror any potential negative change in Peru's sovereign ratings;</w:t>
      </w:r>
    </w:p>
    <w:p>
      <w:pPr>
        <w:pStyle w:val="TextBody"/>
        <w:bidi w:val="0"/>
        <w:spacing w:before="55" w:after="283"/>
        <w:jc w:val="left"/>
        <w:rPr>
          <w:color w:val="000000"/>
          <w:sz w:val="20"/>
        </w:rPr>
      </w:pPr>
      <w:r>
        <w:rPr>
          <w:color w:val="000000"/>
          <w:sz w:val="20"/>
        </w:rPr>
      </w:r>
    </w:p>
    <w:p>
      <w:pPr>
        <w:pStyle w:val="TextBody"/>
        <w:bidi w:val="0"/>
        <w:spacing w:before="1" w:after="283"/>
        <w:jc w:val="left"/>
        <w:rPr>
          <w:rFonts w:ascii="Times New Roman" w:hAnsi="Times New Roman"/>
          <w:color w:val="000000"/>
          <w:sz w:val="20"/>
        </w:rPr>
      </w:pPr>
      <w:r>
        <w:rPr>
          <w:rFonts w:ascii="Times New Roman" w:hAnsi="Times New Roman"/>
          <w:color w:val="000000"/>
          <w:sz w:val="20"/>
        </w:rPr>
        <w:t>--Although not a baseline scenario, COFIDE's IDRs and GSR could change if Fitch perceives a decrease in the company's strategic importance to the government's public policies, such as the shift away from</w:t>
      </w:r>
    </w:p>
    <w:p>
      <w:pPr>
        <w:pStyle w:val="TextBody"/>
        <w:bidi w:val="0"/>
        <w:spacing w:before="0" w:after="0"/>
        <w:jc w:val="left"/>
        <w:rPr>
          <w:color w:val="000000"/>
          <w:sz w:val="20"/>
        </w:rPr>
      </w:pPr>
      <w:r>
        <w:rPr>
          <w:color w:val="000000"/>
          <w:sz w:val="20"/>
        </w:rPr>
      </w:r>
    </w:p>
    <w:p>
      <w:pPr>
        <w:pStyle w:val="HorizontalLine"/>
        <w:pBdr>
          <w:bottom w:val="single" w:sz="12" w:space="0" w:color="808080"/>
        </w:pBdr>
        <w:bidi w:val="0"/>
        <w:spacing w:before="180" w:after="180"/>
        <w:jc w:val="left"/>
        <w:rPr/>
      </w:pPr>
      <w:r>
        <w:rPr/>
      </w:r>
    </w:p>
    <w:p>
      <w:pPr>
        <w:pStyle w:val="TextBody"/>
        <w:bidi w:val="0"/>
        <w:spacing w:before="96" w:after="283"/>
        <w:jc w:val="left"/>
        <w:rPr>
          <w:rFonts w:ascii="Times New Roman" w:hAnsi="Times New Roman"/>
          <w:color w:val="000000"/>
          <w:sz w:val="20"/>
        </w:rPr>
      </w:pPr>
      <w:r>
        <w:rPr>
          <w:rFonts w:ascii="Times New Roman" w:hAnsi="Times New Roman"/>
          <w:color w:val="000000"/>
          <w:sz w:val="20"/>
        </w:rPr>
        <w:t>supporting commercial companies, particularly SMEs, either directly or through funds managed by COFIDE.</w:t>
      </w:r>
    </w:p>
    <w:p>
      <w:pPr>
        <w:pStyle w:val="TextBody"/>
        <w:bidi w:val="0"/>
        <w:spacing w:before="237" w:after="283"/>
        <w:jc w:val="left"/>
        <w:rPr>
          <w:rFonts w:ascii="Times New Roman" w:hAnsi="Times New Roman"/>
          <w:color w:val="000000"/>
          <w:sz w:val="20"/>
        </w:rPr>
      </w:pPr>
      <w:r>
        <w:rPr>
          <w:rFonts w:ascii="Times New Roman" w:hAnsi="Times New Roman"/>
          <w:color w:val="000000"/>
          <w:sz w:val="20"/>
        </w:rPr>
        <w:t>Scotiabank Peru</w:t>
      </w:r>
    </w:p>
    <w:p>
      <w:pPr>
        <w:pStyle w:val="TextBody"/>
        <w:bidi w:val="0"/>
        <w:spacing w:before="55" w:after="283"/>
        <w:jc w:val="left"/>
        <w:rPr>
          <w:color w:val="000000"/>
          <w:sz w:val="20"/>
        </w:rPr>
      </w:pPr>
      <w:r>
        <w:rPr>
          <w:color w:val="000000"/>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 sovereign downgrade would result in similar rating actions on SBP's SSR, VR, and Foreign and Local Currency IDRs, as Fitch rarely rates VRs above the sovereign or SSRs and Foreign Currency IDRs above the Country Ceiling.</w:t>
      </w:r>
    </w:p>
    <w:p>
      <w:pPr>
        <w:pStyle w:val="TextBody"/>
        <w:bidi w:val="0"/>
        <w:spacing w:before="238" w:after="283"/>
        <w:jc w:val="left"/>
        <w:rPr>
          <w:rFonts w:ascii="Times New Roman" w:hAnsi="Times New Roman"/>
          <w:color w:val="000000"/>
          <w:sz w:val="20"/>
        </w:rPr>
      </w:pPr>
      <w:r>
        <w:rPr>
          <w:rFonts w:ascii="Times New Roman" w:hAnsi="Times New Roman"/>
          <w:color w:val="000000"/>
          <w:sz w:val="20"/>
        </w:rPr>
        <w:t>--Although not likely over its parent's rating horizon (given its Stable Outlook), and absent of a sovereign downgrade, a downgrade of BNS (from AA-/Stable) by three or more notches would trigger a downgrade of SBP. However, in the event of a downgrade of BNS's IDRs to the level of Peru current sovereign (BBB/Stable) or below, SBP's ratings would remain at the level determined by its own VR (currently at bbb).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--Pressure on SBP's VR could arise from a downgrade in the OE or a significant asset quality and profitability deterioration that erodes SBP's reserve and capital cushion, specifically operating profit/ RWA sustained below its historical average of 2.0% and common equity Tier 1 (CET1) ratio below 13%.</w:t>
      </w:r>
    </w:p>
    <w:p>
      <w:pPr>
        <w:pStyle w:val="TextBody"/>
        <w:bidi w:val="0"/>
        <w:spacing w:before="238" w:after="283"/>
        <w:jc w:val="left"/>
        <w:rPr>
          <w:rFonts w:ascii="Times New Roman" w:hAnsi="Times New Roman"/>
          <w:color w:val="000000"/>
          <w:sz w:val="20"/>
        </w:rPr>
      </w:pPr>
      <w:r>
        <w:rPr>
          <w:rFonts w:ascii="Times New Roman" w:hAnsi="Times New Roman"/>
          <w:color w:val="000000"/>
          <w:sz w:val="20"/>
        </w:rPr>
        <w:t>BCP</w:t>
      </w:r>
    </w:p>
    <w:p>
      <w:pPr>
        <w:pStyle w:val="TextBody"/>
        <w:bidi w:val="0"/>
        <w:spacing w:before="55" w:after="283"/>
        <w:jc w:val="left"/>
        <w:rPr>
          <w:color w:val="000000"/>
          <w:sz w:val="20"/>
        </w:rPr>
      </w:pPr>
      <w:r>
        <w:rPr>
          <w:color w:val="000000"/>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--BCP's IDRs are sensitive to material deterioration in the local OE or a negative sovereign rating action;</w:t>
      </w:r>
    </w:p>
    <w:p>
      <w:pPr>
        <w:pStyle w:val="TextBody"/>
        <w:bidi w:val="0"/>
        <w:spacing w:before="56" w:after="283"/>
        <w:jc w:val="left"/>
        <w:rPr>
          <w:color w:val="000000"/>
          <w:sz w:val="20"/>
        </w:rPr>
      </w:pPr>
      <w:r>
        <w:rPr>
          <w:color w:val="000000"/>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--BCP's VR could be affected if asset quality deteriorates significantly and causes a sustained decline in operating profits to RWAs below 2.5%, and if the bank's CET1 ratio falls below 10%, assuming maintenance of excess reserves and noncore loss absorbing capital, for more than four consecutive quarters.</w:t>
      </w:r>
    </w:p>
    <w:p>
      <w:pPr>
        <w:pStyle w:val="TextBody"/>
        <w:bidi w:val="0"/>
        <w:spacing w:before="239" w:after="283"/>
        <w:jc w:val="left"/>
        <w:rPr>
          <w:rFonts w:ascii="Times New Roman" w:hAnsi="Times New Roman"/>
          <w:color w:val="000000"/>
          <w:sz w:val="20"/>
        </w:rPr>
      </w:pPr>
      <w:r>
        <w:rPr>
          <w:rFonts w:ascii="Times New Roman" w:hAnsi="Times New Roman"/>
          <w:color w:val="000000"/>
          <w:sz w:val="20"/>
        </w:rPr>
        <w:t>BBVA PERU</w:t>
      </w:r>
    </w:p>
    <w:p>
      <w:pPr>
        <w:pStyle w:val="TextBody"/>
        <w:bidi w:val="0"/>
        <w:spacing w:before="55" w:after="283"/>
        <w:jc w:val="left"/>
        <w:rPr>
          <w:color w:val="000000"/>
          <w:sz w:val="20"/>
        </w:rPr>
      </w:pPr>
      <w:r>
        <w:rPr>
          <w:color w:val="000000"/>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--Fitch's IDRs and Outlook on BBVA Peru are driven by its SSR. A negative rating action on BBVA S.A. would result in a similar action on the SSR; however, BBVA Peru's IDRs would only be downgraded if its VR were also downgraded, given Fitch's "higher of" approach;</w:t>
      </w:r>
    </w:p>
    <w:p>
      <w:pPr>
        <w:pStyle w:val="TextBody"/>
        <w:bidi w:val="0"/>
        <w:spacing w:before="238" w:after="283"/>
        <w:jc w:val="left"/>
        <w:rPr>
          <w:rFonts w:ascii="Times New Roman" w:hAnsi="Times New Roman"/>
          <w:color w:val="000000"/>
          <w:sz w:val="20"/>
        </w:rPr>
      </w:pPr>
      <w:r>
        <w:rPr>
          <w:rFonts w:ascii="Times New Roman" w:hAnsi="Times New Roman"/>
          <w:color w:val="000000"/>
          <w:sz w:val="20"/>
        </w:rPr>
        <w:t>--The SSR would be affected by a negative change in BBVA's ability or willingness to support the bank;</w:t>
      </w:r>
    </w:p>
    <w:p>
      <w:pPr>
        <w:pStyle w:val="TextBody"/>
        <w:bidi w:val="0"/>
        <w:spacing w:before="55" w:after="283"/>
        <w:jc w:val="left"/>
        <w:rPr>
          <w:color w:val="000000"/>
          <w:sz w:val="20"/>
        </w:rPr>
      </w:pPr>
      <w:r>
        <w:rPr>
          <w:color w:val="000000"/>
          <w:sz w:val="20"/>
        </w:rPr>
      </w:r>
    </w:p>
    <w:p>
      <w:pPr>
        <w:pStyle w:val="TextBody"/>
        <w:bidi w:val="0"/>
        <w:spacing w:before="1" w:after="283"/>
        <w:jc w:val="left"/>
        <w:rPr>
          <w:rFonts w:ascii="Times New Roman" w:hAnsi="Times New Roman"/>
          <w:color w:val="000000"/>
          <w:sz w:val="20"/>
        </w:rPr>
      </w:pPr>
      <w:r>
        <w:rPr>
          <w:rFonts w:ascii="Times New Roman" w:hAnsi="Times New Roman"/>
          <w:color w:val="000000"/>
          <w:sz w:val="20"/>
        </w:rPr>
        <w:t>--Any negative rating action on the sovereign or in Fitch's OE assessment would lead to a similar action on BBVA Peru's VR;</w:t>
      </w:r>
    </w:p>
    <w:p>
      <w:pPr>
        <w:pStyle w:val="TextBody"/>
        <w:bidi w:val="0"/>
        <w:spacing w:before="237" w:after="283"/>
        <w:jc w:val="left"/>
        <w:rPr>
          <w:rFonts w:ascii="Times New Roman" w:hAnsi="Times New Roman"/>
          <w:color w:val="000000"/>
          <w:sz w:val="20"/>
        </w:rPr>
      </w:pPr>
      <w:r>
        <w:rPr>
          <w:rFonts w:ascii="Times New Roman" w:hAnsi="Times New Roman"/>
          <w:color w:val="000000"/>
          <w:sz w:val="20"/>
        </w:rPr>
        <w:t>--The VR could be affected if asset quality deteriorates significantly, leading to a sustained decline in operating performance and capital cushion - particularly a sustained decline in the CET1 ratio to under 9%, assuming maintenance of excess reserves and non-core loss-absorbing capital.</w:t>
      </w:r>
    </w:p>
    <w:p>
      <w:pPr>
        <w:pStyle w:val="TextBody"/>
        <w:bidi w:val="0"/>
        <w:spacing w:before="237" w:after="283"/>
        <w:jc w:val="left"/>
        <w:rPr>
          <w:rFonts w:ascii="Times New Roman" w:hAnsi="Times New Roman"/>
          <w:color w:val="000000"/>
          <w:sz w:val="20"/>
        </w:rPr>
      </w:pPr>
      <w:r>
        <w:rPr>
          <w:rFonts w:ascii="Times New Roman" w:hAnsi="Times New Roman"/>
          <w:color w:val="000000"/>
          <w:sz w:val="20"/>
        </w:rPr>
        <w:t>INTERBANK</w:t>
      </w:r>
    </w:p>
    <w:p>
      <w:pPr>
        <w:pStyle w:val="TextBody"/>
        <w:bidi w:val="0"/>
        <w:spacing w:before="56" w:after="283"/>
        <w:jc w:val="left"/>
        <w:rPr>
          <w:color w:val="000000"/>
          <w:sz w:val="20"/>
        </w:rPr>
      </w:pPr>
      <w:r>
        <w:rPr>
          <w:color w:val="000000"/>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--Interbank's VR could be downgraded if asset quality deterioration causes a sustained decline in the</w:t>
      </w:r>
    </w:p>
    <w:p>
      <w:pPr>
        <w:pStyle w:val="TextBody"/>
        <w:bidi w:val="0"/>
        <w:spacing w:before="0" w:after="0"/>
        <w:jc w:val="left"/>
        <w:rPr>
          <w:color w:val="000000"/>
          <w:sz w:val="20"/>
        </w:rPr>
      </w:pPr>
      <w:r>
        <w:rPr>
          <w:color w:val="000000"/>
          <w:sz w:val="20"/>
        </w:rPr>
      </w:r>
    </w:p>
    <w:p>
      <w:pPr>
        <w:pStyle w:val="HorizontalLine"/>
        <w:pBdr>
          <w:bottom w:val="single" w:sz="12" w:space="0" w:color="808080"/>
        </w:pBdr>
        <w:bidi w:val="0"/>
        <w:spacing w:before="180" w:after="180"/>
        <w:jc w:val="left"/>
        <w:rPr/>
      </w:pPr>
      <w:r>
        <w:rPr/>
      </w:r>
    </w:p>
    <w:p>
      <w:pPr>
        <w:pStyle w:val="TextBody"/>
        <w:bidi w:val="0"/>
        <w:spacing w:before="96" w:after="283"/>
        <w:jc w:val="left"/>
        <w:rPr>
          <w:rFonts w:ascii="Times New Roman" w:hAnsi="Times New Roman"/>
          <w:color w:val="000000"/>
          <w:sz w:val="20"/>
        </w:rPr>
      </w:pPr>
      <w:r>
        <w:rPr>
          <w:rFonts w:ascii="Times New Roman" w:hAnsi="Times New Roman"/>
          <w:color w:val="000000"/>
          <w:sz w:val="20"/>
        </w:rPr>
        <w:t>bank's operating profit to RWAs ratio to less than 2.0%, and loss absorption capacity, in the form of a CET1 ratio below 10% or a relevant decline in reserve coverage for more than four consecutive quarters;</w:t>
      </w:r>
    </w:p>
    <w:p>
      <w:pPr>
        <w:pStyle w:val="TextBody"/>
        <w:bidi w:val="0"/>
        <w:spacing w:before="238" w:after="283"/>
        <w:jc w:val="left"/>
        <w:rPr>
          <w:rFonts w:ascii="Times New Roman" w:hAnsi="Times New Roman"/>
          <w:color w:val="000000"/>
          <w:sz w:val="20"/>
        </w:rPr>
      </w:pPr>
      <w:r>
        <w:rPr>
          <w:rFonts w:ascii="Times New Roman" w:hAnsi="Times New Roman"/>
          <w:color w:val="000000"/>
          <w:sz w:val="20"/>
        </w:rPr>
        <w:t>--The IDRs are sensitive to a negative rating action on the sovereign or any deterioration of Fitch's assessment on the OE score.</w:t>
      </w:r>
    </w:p>
    <w:p>
      <w:pPr>
        <w:pStyle w:val="TextBody"/>
        <w:bidi w:val="0"/>
        <w:spacing w:before="237" w:after="283"/>
        <w:jc w:val="left"/>
        <w:rPr>
          <w:rFonts w:ascii="Times New Roman" w:hAnsi="Times New Roman"/>
          <w:color w:val="000000"/>
          <w:sz w:val="20"/>
        </w:rPr>
      </w:pPr>
      <w:r>
        <w:rPr>
          <w:rFonts w:ascii="Times New Roman" w:hAnsi="Times New Roman"/>
          <w:color w:val="000000"/>
          <w:sz w:val="20"/>
        </w:rPr>
        <w:t>BANBIF</w:t>
      </w:r>
    </w:p>
    <w:p>
      <w:pPr>
        <w:pStyle w:val="TextBody"/>
        <w:bidi w:val="0"/>
        <w:spacing w:before="55" w:after="283"/>
        <w:jc w:val="left"/>
        <w:rPr>
          <w:color w:val="000000"/>
          <w:sz w:val="20"/>
        </w:rPr>
      </w:pPr>
      <w:r>
        <w:rPr>
          <w:color w:val="000000"/>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--BanBif's IDRs are sensitive to a material deterioration in the local OE or a negative sovereign rating action;</w:t>
      </w:r>
    </w:p>
    <w:p>
      <w:pPr>
        <w:pStyle w:val="TextBody"/>
        <w:bidi w:val="0"/>
        <w:spacing w:before="237" w:after="283"/>
        <w:jc w:val="left"/>
        <w:rPr>
          <w:rFonts w:ascii="Times New Roman" w:hAnsi="Times New Roman"/>
          <w:color w:val="000000"/>
          <w:sz w:val="20"/>
        </w:rPr>
      </w:pPr>
      <w:r>
        <w:rPr>
          <w:rFonts w:ascii="Times New Roman" w:hAnsi="Times New Roman"/>
          <w:color w:val="000000"/>
          <w:sz w:val="20"/>
        </w:rPr>
        <w:t>--The ratings could be downgraded if the CET1 to RWA ratio falls consistently below 9% and an increased and sustained NPL ratio over 4%.</w:t>
      </w:r>
    </w:p>
    <w:p>
      <w:pPr>
        <w:pStyle w:val="TextBody"/>
        <w:bidi w:val="0"/>
        <w:spacing w:before="237" w:after="283"/>
        <w:jc w:val="left"/>
        <w:rPr>
          <w:rFonts w:ascii="Times New Roman" w:hAnsi="Times New Roman"/>
          <w:color w:val="000000"/>
          <w:sz w:val="20"/>
        </w:rPr>
      </w:pPr>
      <w:r>
        <w:rPr>
          <w:rFonts w:ascii="Times New Roman" w:hAnsi="Times New Roman"/>
          <w:color w:val="000000"/>
          <w:sz w:val="20"/>
        </w:rPr>
        <w:t>CREDICORP LTD</w:t>
      </w:r>
    </w:p>
    <w:p>
      <w:pPr>
        <w:pStyle w:val="TextBody"/>
        <w:bidi w:val="0"/>
        <w:spacing w:before="55" w:after="283"/>
        <w:jc w:val="left"/>
        <w:rPr>
          <w:color w:val="000000"/>
          <w:sz w:val="20"/>
        </w:rPr>
      </w:pPr>
      <w:r>
        <w:rPr>
          <w:color w:val="000000"/>
          <w:sz w:val="20"/>
        </w:rPr>
      </w:r>
    </w:p>
    <w:p>
      <w:pPr>
        <w:pStyle w:val="TextBody"/>
        <w:bidi w:val="0"/>
        <w:spacing w:before="1" w:after="283"/>
        <w:jc w:val="left"/>
        <w:rPr>
          <w:rFonts w:ascii="Times New Roman" w:hAnsi="Times New Roman"/>
          <w:color w:val="000000"/>
          <w:sz w:val="20"/>
        </w:rPr>
      </w:pPr>
      <w:r>
        <w:rPr>
          <w:rFonts w:ascii="Times New Roman" w:hAnsi="Times New Roman"/>
          <w:color w:val="000000"/>
          <w:sz w:val="20"/>
        </w:rPr>
        <w:t>--Credicorp's IDRs would remain at the same level as those of BCP, and would move in tandem with any rating action on its main operating subsidiary. However, the relativity between these two entities' ratings could also be affected - and the holding company downgraded - in the event of a material and sustained increase in Credicorp's double-leverage metrics (above 1.2x), and if Fitch perceives a material weakening of the holding company's liquidity position and its management;</w:t>
      </w:r>
    </w:p>
    <w:p>
      <w:pPr>
        <w:pStyle w:val="TextBody"/>
        <w:bidi w:val="0"/>
        <w:spacing w:before="239" w:after="283"/>
        <w:jc w:val="left"/>
        <w:rPr>
          <w:rFonts w:ascii="Times New Roman" w:hAnsi="Times New Roman"/>
          <w:color w:val="000000"/>
          <w:sz w:val="20"/>
        </w:rPr>
      </w:pPr>
      <w:r>
        <w:rPr>
          <w:rFonts w:ascii="Times New Roman" w:hAnsi="Times New Roman"/>
          <w:color w:val="000000"/>
          <w:sz w:val="20"/>
        </w:rPr>
        <w:t>--A change in the dividend flows from the operating companies or debt levels at the holding company that affects its debt coverage ratios could also be detrimental to Credicorp's ratings.</w:t>
      </w:r>
    </w:p>
    <w:p>
      <w:pPr>
        <w:pStyle w:val="TextBody"/>
        <w:bidi w:val="0"/>
        <w:spacing w:before="237" w:after="283"/>
        <w:jc w:val="left"/>
        <w:rPr>
          <w:rFonts w:ascii="Times New Roman" w:hAnsi="Times New Roman"/>
          <w:color w:val="000000"/>
          <w:sz w:val="20"/>
        </w:rPr>
      </w:pPr>
      <w:r>
        <w:rPr>
          <w:rFonts w:ascii="Times New Roman" w:hAnsi="Times New Roman"/>
          <w:color w:val="000000"/>
          <w:sz w:val="20"/>
        </w:rPr>
        <w:t>INTERCORP FINANCIAL SERVICES (IFS)</w:t>
      </w:r>
    </w:p>
    <w:p>
      <w:pPr>
        <w:pStyle w:val="TextBody"/>
        <w:bidi w:val="0"/>
        <w:spacing w:before="56" w:after="283"/>
        <w:jc w:val="left"/>
        <w:rPr>
          <w:color w:val="000000"/>
          <w:sz w:val="20"/>
        </w:rPr>
      </w:pPr>
      <w:r>
        <w:rPr>
          <w:color w:val="000000"/>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--IFS's ratings are sensitive to a change in Interbank's ratings;</w:t>
      </w:r>
    </w:p>
    <w:p>
      <w:pPr>
        <w:pStyle w:val="TextBody"/>
        <w:bidi w:val="0"/>
        <w:spacing w:before="55" w:after="283"/>
        <w:jc w:val="left"/>
        <w:rPr>
          <w:color w:val="000000"/>
          <w:sz w:val="20"/>
        </w:rPr>
      </w:pPr>
      <w:r>
        <w:rPr>
          <w:color w:val="000000"/>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 reduction on the importance of Interbank's role in the group or increase in the complexity of the group's structure;</w:t>
      </w:r>
    </w:p>
    <w:p>
      <w:pPr>
        <w:pStyle w:val="TextBody"/>
        <w:bidi w:val="0"/>
        <w:spacing w:before="237" w:after="283"/>
        <w:jc w:val="left"/>
        <w:rPr>
          <w:rFonts w:ascii="Times New Roman" w:hAnsi="Times New Roman"/>
          <w:color w:val="000000"/>
          <w:sz w:val="20"/>
        </w:rPr>
      </w:pPr>
      <w:r>
        <w:rPr>
          <w:rFonts w:ascii="Times New Roman" w:hAnsi="Times New Roman"/>
          <w:color w:val="000000"/>
          <w:sz w:val="20"/>
        </w:rPr>
        <w:t>--A material and consistent increase in IFS's common equity double leverage above 120% or deterioration in its standalone liquidity profile.</w:t>
      </w:r>
    </w:p>
    <w:p>
      <w:pPr>
        <w:pStyle w:val="TextBody"/>
        <w:bidi w:val="0"/>
        <w:spacing w:before="174" w:after="283"/>
        <w:jc w:val="left"/>
        <w:rPr>
          <w:rFonts w:ascii="Times New Roman" w:hAnsi="Times New Roman"/>
          <w:b/>
          <w:color w:val="000000"/>
          <w:sz w:val="20"/>
        </w:rPr>
      </w:pPr>
      <w:r>
        <w:rPr>
          <w:rFonts w:ascii="Times New Roman" w:hAnsi="Times New Roman"/>
          <w:b/>
          <w:color w:val="000000"/>
          <w:sz w:val="20"/>
        </w:rPr>
        <w:t>Factors that Could, Individually or Collectively, Lead to Positive Rating Action/Upgrade</w:t>
      </w:r>
    </w:p>
    <w:p>
      <w:pPr>
        <w:pStyle w:val="TextBody"/>
        <w:bidi w:val="0"/>
        <w:spacing w:before="248" w:after="283"/>
        <w:jc w:val="left"/>
        <w:rPr>
          <w:rFonts w:ascii="Times New Roman" w:hAnsi="Times New Roman"/>
          <w:color w:val="000000"/>
          <w:sz w:val="20"/>
        </w:rPr>
      </w:pPr>
      <w:r>
        <w:rPr>
          <w:rFonts w:ascii="Times New Roman" w:hAnsi="Times New Roman"/>
          <w:color w:val="000000"/>
          <w:sz w:val="20"/>
        </w:rPr>
        <w:t>Fondo Mivivienda</w:t>
      </w:r>
    </w:p>
    <w:p>
      <w:pPr>
        <w:pStyle w:val="TextBody"/>
        <w:bidi w:val="0"/>
        <w:spacing w:before="56" w:after="283"/>
        <w:jc w:val="left"/>
        <w:rPr>
          <w:color w:val="000000"/>
          <w:sz w:val="20"/>
        </w:rPr>
      </w:pPr>
      <w:r>
        <w:rPr>
          <w:color w:val="000000"/>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--Positive rating actions on FMV will mirror any potential positive change in Peru's sovereign rating. </w:t>
      </w:r>
    </w:p>
    <w:p>
      <w:pPr>
        <w:pStyle w:val="TextBody"/>
        <w:bidi w:val="0"/>
        <w:spacing w:before="0" w:after="0"/>
        <w:jc w:val="left"/>
        <w:rPr>
          <w:color w:val="000000"/>
          <w:sz w:val="20"/>
        </w:rPr>
      </w:pPr>
      <w:r>
        <w:rPr>
          <w:color w:val="000000"/>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COFIDE</w:t>
      </w:r>
    </w:p>
    <w:p>
      <w:pPr>
        <w:pStyle w:val="TextBody"/>
        <w:bidi w:val="0"/>
        <w:spacing w:before="0" w:after="0"/>
        <w:jc w:val="left"/>
        <w:rPr>
          <w:color w:val="000000"/>
          <w:sz w:val="20"/>
        </w:rPr>
      </w:pPr>
      <w:r>
        <w:rPr>
          <w:color w:val="000000"/>
          <w:sz w:val="20"/>
        </w:rPr>
      </w:r>
    </w:p>
    <w:p>
      <w:pPr>
        <w:pStyle w:val="TextBody"/>
        <w:bidi w:val="0"/>
        <w:spacing w:before="2" w:after="283"/>
        <w:jc w:val="left"/>
        <w:rPr>
          <w:rFonts w:ascii="Times New Roman" w:hAnsi="Times New Roman"/>
          <w:color w:val="000000"/>
          <w:sz w:val="20"/>
        </w:rPr>
      </w:pPr>
      <w:r>
        <w:rPr>
          <w:rFonts w:ascii="Times New Roman" w:hAnsi="Times New Roman"/>
          <w:color w:val="000000"/>
          <w:sz w:val="20"/>
        </w:rPr>
        <w:t xml:space="preserve">--Positive rating actions will mirror any potential positive change in Peru's sovereign rating. </w:t>
      </w:r>
    </w:p>
    <w:p>
      <w:pPr>
        <w:pStyle w:val="TextBody"/>
        <w:bidi w:val="0"/>
        <w:spacing w:before="2" w:after="283"/>
        <w:jc w:val="left"/>
        <w:rPr>
          <w:color w:val="000000"/>
          <w:sz w:val="20"/>
        </w:rPr>
      </w:pPr>
      <w:r>
        <w:rPr>
          <w:color w:val="000000"/>
          <w:sz w:val="20"/>
        </w:rPr>
      </w:r>
    </w:p>
    <w:p>
      <w:pPr>
        <w:pStyle w:val="TextBody"/>
        <w:bidi w:val="0"/>
        <w:spacing w:before="2" w:after="283"/>
        <w:jc w:val="left"/>
        <w:rPr>
          <w:rFonts w:ascii="Times New Roman" w:hAnsi="Times New Roman"/>
          <w:color w:val="000000"/>
          <w:sz w:val="20"/>
        </w:rPr>
      </w:pPr>
      <w:r>
        <w:rPr>
          <w:rFonts w:ascii="Times New Roman" w:hAnsi="Times New Roman"/>
          <w:color w:val="000000"/>
          <w:sz w:val="20"/>
        </w:rPr>
        <w:t>Scotiabank Peru</w:t>
      </w:r>
    </w:p>
    <w:p>
      <w:pPr>
        <w:pStyle w:val="TextBody"/>
        <w:bidi w:val="0"/>
        <w:spacing w:before="2" w:after="283"/>
        <w:jc w:val="left"/>
        <w:rPr>
          <w:color w:val="000000"/>
          <w:sz w:val="20"/>
        </w:rPr>
      </w:pPr>
      <w:r>
        <w:rPr>
          <w:color w:val="000000"/>
          <w:sz w:val="20"/>
        </w:rPr>
      </w:r>
    </w:p>
    <w:p>
      <w:pPr>
        <w:pStyle w:val="HorizontalLine"/>
        <w:pBdr>
          <w:bottom w:val="single" w:sz="12" w:space="0" w:color="808080"/>
        </w:pBdr>
        <w:bidi w:val="0"/>
        <w:spacing w:before="180" w:after="180"/>
        <w:jc w:val="left"/>
        <w:rPr/>
      </w:pPr>
      <w:r>
        <w:rPr/>
      </w:r>
    </w:p>
    <w:p>
      <w:pPr>
        <w:pStyle w:val="TextBody"/>
        <w:bidi w:val="0"/>
        <w:spacing w:before="96" w:after="283"/>
        <w:jc w:val="left"/>
        <w:rPr>
          <w:rFonts w:ascii="Times New Roman" w:hAnsi="Times New Roman"/>
          <w:color w:val="000000"/>
          <w:sz w:val="20"/>
        </w:rPr>
      </w:pPr>
      <w:r>
        <w:rPr>
          <w:rFonts w:ascii="Times New Roman" w:hAnsi="Times New Roman"/>
          <w:color w:val="000000"/>
          <w:sz w:val="20"/>
        </w:rPr>
        <w:t>--Over the medium term, these ratings could be upgraded if the sovereign's ratings and Country Ceiling are upgraded;</w:t>
      </w:r>
    </w:p>
    <w:p>
      <w:pPr>
        <w:pStyle w:val="TextBody"/>
        <w:bidi w:val="0"/>
        <w:spacing w:before="237" w:after="283"/>
        <w:jc w:val="left"/>
        <w:rPr>
          <w:rFonts w:ascii="Times New Roman" w:hAnsi="Times New Roman"/>
          <w:color w:val="000000"/>
          <w:sz w:val="20"/>
        </w:rPr>
      </w:pPr>
      <w:r>
        <w:rPr>
          <w:rFonts w:ascii="Times New Roman" w:hAnsi="Times New Roman"/>
          <w:color w:val="000000"/>
          <w:sz w:val="20"/>
        </w:rPr>
        <w:t>--SBP's VR could be upgraded by a combination of positive improvement in the OE and a strengthening of the financial profile.</w:t>
      </w:r>
    </w:p>
    <w:p>
      <w:pPr>
        <w:pStyle w:val="TextBody"/>
        <w:bidi w:val="0"/>
        <w:spacing w:before="237" w:after="283"/>
        <w:jc w:val="left"/>
        <w:rPr>
          <w:rFonts w:ascii="Times New Roman" w:hAnsi="Times New Roman"/>
          <w:color w:val="000000"/>
          <w:sz w:val="20"/>
        </w:rPr>
      </w:pPr>
      <w:r>
        <w:rPr>
          <w:rFonts w:ascii="Times New Roman" w:hAnsi="Times New Roman"/>
          <w:color w:val="000000"/>
          <w:sz w:val="20"/>
        </w:rPr>
        <w:t>BCP</w:t>
      </w:r>
    </w:p>
    <w:p>
      <w:pPr>
        <w:pStyle w:val="TextBody"/>
        <w:bidi w:val="0"/>
        <w:spacing w:before="55" w:after="283"/>
        <w:jc w:val="left"/>
        <w:rPr>
          <w:color w:val="000000"/>
          <w:sz w:val="20"/>
        </w:rPr>
      </w:pPr>
      <w:r>
        <w:rPr>
          <w:color w:val="000000"/>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--Over the medium term, BCP's VR could be upgraded by the confluence of improvement in the OE and the bank's financial profile.</w:t>
      </w:r>
    </w:p>
    <w:p>
      <w:pPr>
        <w:pStyle w:val="TextBody"/>
        <w:bidi w:val="0"/>
        <w:spacing w:before="237" w:after="283"/>
        <w:jc w:val="left"/>
        <w:rPr>
          <w:rFonts w:ascii="Times New Roman" w:hAnsi="Times New Roman"/>
          <w:color w:val="000000"/>
          <w:sz w:val="20"/>
        </w:rPr>
      </w:pPr>
      <w:r>
        <w:rPr>
          <w:rFonts w:ascii="Times New Roman" w:hAnsi="Times New Roman"/>
          <w:color w:val="000000"/>
          <w:sz w:val="20"/>
        </w:rPr>
        <w:t>BBVA PERU</w:t>
      </w:r>
    </w:p>
    <w:p>
      <w:pPr>
        <w:pStyle w:val="TextBody"/>
        <w:bidi w:val="0"/>
        <w:spacing w:before="56" w:after="283"/>
        <w:jc w:val="left"/>
        <w:rPr>
          <w:color w:val="000000"/>
          <w:sz w:val="20"/>
        </w:rPr>
      </w:pPr>
      <w:r>
        <w:rPr>
          <w:color w:val="000000"/>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IDRs could benefit from any significant improvement in the parent's ability to provide support, as evident from BBVA's IDR, although subject to sovereign rating and Country Ceiling considerations.</w:t>
      </w:r>
    </w:p>
    <w:p>
      <w:pPr>
        <w:pStyle w:val="TextBody"/>
        <w:bidi w:val="0"/>
        <w:spacing w:before="237" w:after="283"/>
        <w:jc w:val="left"/>
        <w:rPr>
          <w:rFonts w:ascii="Times New Roman" w:hAnsi="Times New Roman"/>
          <w:color w:val="000000"/>
          <w:sz w:val="20"/>
        </w:rPr>
      </w:pPr>
      <w:r>
        <w:rPr>
          <w:rFonts w:ascii="Times New Roman" w:hAnsi="Times New Roman"/>
          <w:color w:val="000000"/>
          <w:sz w:val="20"/>
        </w:rPr>
        <w:t>--The SSR would be affected by a positive change in BBVA's ability or willingness to support the bank;</w:t>
      </w:r>
    </w:p>
    <w:p>
      <w:pPr>
        <w:pStyle w:val="TextBody"/>
        <w:bidi w:val="0"/>
        <w:spacing w:before="55" w:after="283"/>
        <w:jc w:val="left"/>
        <w:rPr>
          <w:color w:val="000000"/>
          <w:sz w:val="20"/>
        </w:rPr>
      </w:pPr>
      <w:r>
        <w:rPr>
          <w:color w:val="000000"/>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--There is limited upside potential for the VR, given the sovereign's current rating;</w:t>
      </w:r>
    </w:p>
    <w:p>
      <w:pPr>
        <w:pStyle w:val="TextBody"/>
        <w:bidi w:val="0"/>
        <w:spacing w:before="56" w:after="283"/>
        <w:jc w:val="left"/>
        <w:rPr>
          <w:color w:val="000000"/>
          <w:sz w:val="20"/>
        </w:rPr>
      </w:pPr>
      <w:r>
        <w:rPr>
          <w:color w:val="000000"/>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--Rating upgrades are possible over the medium term via a confluence of material improvement in the OE and the bank's financial profile, within the context of a sovereign rating upgrade, as Fitch rarely rates bank VRs above the sovereign.</w:t>
      </w:r>
    </w:p>
    <w:p>
      <w:pPr>
        <w:pStyle w:val="TextBody"/>
        <w:bidi w:val="0"/>
        <w:spacing w:before="238" w:after="283"/>
        <w:jc w:val="left"/>
        <w:rPr>
          <w:rFonts w:ascii="Times New Roman" w:hAnsi="Times New Roman"/>
          <w:color w:val="000000"/>
          <w:sz w:val="20"/>
        </w:rPr>
      </w:pPr>
      <w:r>
        <w:rPr>
          <w:rFonts w:ascii="Times New Roman" w:hAnsi="Times New Roman"/>
          <w:color w:val="000000"/>
          <w:sz w:val="20"/>
        </w:rPr>
        <w:t>INTERBANK</w:t>
      </w:r>
    </w:p>
    <w:p>
      <w:pPr>
        <w:pStyle w:val="TextBody"/>
        <w:bidi w:val="0"/>
        <w:spacing w:before="55" w:after="283"/>
        <w:jc w:val="left"/>
        <w:rPr>
          <w:color w:val="000000"/>
          <w:sz w:val="20"/>
        </w:rPr>
      </w:pPr>
      <w:r>
        <w:rPr>
          <w:color w:val="000000"/>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--Interbank's IDRs are constrained by the sovereign's ratings; over the medium term, Interbank's ratings could be upgraded by the confluence of an improvement of the OE and the banks' financial profiles in the context of a sovereign upgrade.</w:t>
      </w:r>
    </w:p>
    <w:p>
      <w:pPr>
        <w:pStyle w:val="TextBody"/>
        <w:bidi w:val="0"/>
        <w:spacing w:before="238" w:after="283"/>
        <w:jc w:val="left"/>
        <w:rPr>
          <w:rFonts w:ascii="Times New Roman" w:hAnsi="Times New Roman"/>
          <w:color w:val="000000"/>
          <w:sz w:val="20"/>
        </w:rPr>
      </w:pPr>
      <w:r>
        <w:rPr>
          <w:rFonts w:ascii="Times New Roman" w:hAnsi="Times New Roman"/>
          <w:color w:val="000000"/>
          <w:sz w:val="20"/>
        </w:rPr>
        <w:t>BANBIF</w:t>
      </w:r>
    </w:p>
    <w:p>
      <w:pPr>
        <w:pStyle w:val="TextBody"/>
        <w:bidi w:val="0"/>
        <w:spacing w:before="56" w:after="283"/>
        <w:jc w:val="left"/>
        <w:rPr>
          <w:color w:val="000000"/>
          <w:sz w:val="20"/>
        </w:rPr>
      </w:pPr>
      <w:r>
        <w:rPr>
          <w:color w:val="000000"/>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The VR could be upgraded if the bank manages to improve and sustain its operating profit to RWA ratio over 1.5% and CET1 to RWA ratio over 11%.</w:t>
      </w:r>
    </w:p>
    <w:p>
      <w:pPr>
        <w:pStyle w:val="TextBody"/>
        <w:bidi w:val="0"/>
        <w:spacing w:before="237" w:after="283"/>
        <w:jc w:val="left"/>
        <w:rPr>
          <w:rFonts w:ascii="Times New Roman" w:hAnsi="Times New Roman"/>
          <w:color w:val="000000"/>
          <w:sz w:val="20"/>
        </w:rPr>
      </w:pPr>
      <w:r>
        <w:rPr>
          <w:rFonts w:ascii="Times New Roman" w:hAnsi="Times New Roman"/>
          <w:color w:val="000000"/>
          <w:sz w:val="20"/>
        </w:rPr>
        <w:t>CREDICORP LTD</w:t>
      </w:r>
    </w:p>
    <w:p>
      <w:pPr>
        <w:pStyle w:val="TextBody"/>
        <w:bidi w:val="0"/>
        <w:spacing w:before="55" w:after="283"/>
        <w:jc w:val="left"/>
        <w:rPr>
          <w:color w:val="000000"/>
          <w:sz w:val="20"/>
        </w:rPr>
      </w:pPr>
      <w:r>
        <w:rPr>
          <w:color w:val="000000"/>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--Credicorp's ratings would move in tandem with positive rating actions on its main operating subsidiary, BCP.</w:t>
      </w:r>
    </w:p>
    <w:p>
      <w:pPr>
        <w:pStyle w:val="TextBody"/>
        <w:bidi w:val="0"/>
        <w:spacing w:before="237" w:after="283"/>
        <w:jc w:val="left"/>
        <w:rPr>
          <w:rFonts w:ascii="Times New Roman" w:hAnsi="Times New Roman"/>
          <w:color w:val="000000"/>
          <w:sz w:val="20"/>
        </w:rPr>
      </w:pPr>
      <w:r>
        <w:rPr>
          <w:rFonts w:ascii="Times New Roman" w:hAnsi="Times New Roman"/>
          <w:color w:val="000000"/>
          <w:sz w:val="20"/>
        </w:rPr>
        <w:t>INTERCORP FINANCIAL SERVICES (IFS)</w:t>
      </w:r>
    </w:p>
    <w:p>
      <w:pPr>
        <w:pStyle w:val="TextBody"/>
        <w:bidi w:val="0"/>
        <w:spacing w:before="56" w:after="283"/>
        <w:jc w:val="left"/>
        <w:rPr>
          <w:color w:val="000000"/>
          <w:sz w:val="20"/>
        </w:rPr>
      </w:pPr>
      <w:r>
        <w:rPr>
          <w:color w:val="000000"/>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--IFS's ratings are sensitive to a positive rating action on Interbank's ratings.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OTHER DEBT AND ISSUER RATINGS: KEY RATING DRIVERS</w:t>
      </w:r>
    </w:p>
    <w:p>
      <w:pPr>
        <w:pStyle w:val="TextBody"/>
        <w:bidi w:val="0"/>
        <w:spacing w:before="247" w:after="283"/>
        <w:jc w:val="left"/>
        <w:rPr>
          <w:rFonts w:ascii="Times New Roman" w:hAnsi="Times New Roman"/>
          <w:color w:val="000000"/>
          <w:sz w:val="20"/>
        </w:rPr>
      </w:pPr>
      <w:r>
        <w:rPr>
          <w:rFonts w:ascii="Times New Roman" w:hAnsi="Times New Roman"/>
          <w:color w:val="000000"/>
          <w:sz w:val="20"/>
        </w:rPr>
        <w:t>Cofide, Mivivienda, BCP and Credicorp</w:t>
      </w:r>
    </w:p>
    <w:p>
      <w:pPr>
        <w:pStyle w:val="TextBody"/>
        <w:bidi w:val="0"/>
        <w:spacing w:before="0" w:after="0"/>
        <w:jc w:val="left"/>
        <w:rPr>
          <w:color w:val="000000"/>
          <w:sz w:val="20"/>
        </w:rPr>
      </w:pPr>
      <w:r>
        <w:rPr>
          <w:color w:val="000000"/>
          <w:sz w:val="20"/>
        </w:rPr>
      </w:r>
    </w:p>
    <w:p>
      <w:pPr>
        <w:pStyle w:val="HorizontalLine"/>
        <w:pBdr>
          <w:bottom w:val="single" w:sz="12" w:space="0" w:color="808080"/>
        </w:pBdr>
        <w:bidi w:val="0"/>
        <w:spacing w:before="180" w:after="180"/>
        <w:jc w:val="left"/>
        <w:rPr/>
      </w:pPr>
      <w:r>
        <w:rPr/>
      </w:r>
    </w:p>
    <w:p>
      <w:pPr>
        <w:pStyle w:val="TextBody"/>
        <w:bidi w:val="0"/>
        <w:spacing w:before="96" w:after="283"/>
        <w:jc w:val="left"/>
        <w:rPr>
          <w:rFonts w:ascii="Times New Roman" w:hAnsi="Times New Roman"/>
          <w:color w:val="000000"/>
          <w:sz w:val="20"/>
        </w:rPr>
      </w:pPr>
      <w:r>
        <w:rPr>
          <w:rFonts w:ascii="Times New Roman" w:hAnsi="Times New Roman"/>
          <w:color w:val="000000"/>
          <w:sz w:val="20"/>
        </w:rPr>
        <w:t>The senior unsecured bonds are rated at the same level as the entities' IDRs, considering the absence of credit enhancement or any subordination feature.</w:t>
      </w:r>
    </w:p>
    <w:p>
      <w:pPr>
        <w:pStyle w:val="TextBody"/>
        <w:bidi w:val="0"/>
        <w:spacing w:before="174" w:after="283"/>
        <w:jc w:val="left"/>
        <w:rPr>
          <w:rFonts w:ascii="Times New Roman" w:hAnsi="Times New Roman"/>
          <w:b/>
          <w:color w:val="000000"/>
          <w:sz w:val="20"/>
        </w:rPr>
      </w:pPr>
      <w:r>
        <w:rPr>
          <w:rFonts w:ascii="Times New Roman" w:hAnsi="Times New Roman"/>
          <w:b/>
          <w:color w:val="000000"/>
          <w:sz w:val="20"/>
        </w:rPr>
        <w:t>OTHER DEBT AND ISSUER RATINGS: RATING SENSITIVITIES</w:t>
      </w:r>
    </w:p>
    <w:p>
      <w:pPr>
        <w:pStyle w:val="TextBody"/>
        <w:bidi w:val="0"/>
        <w:spacing w:before="247" w:after="283"/>
        <w:jc w:val="left"/>
        <w:rPr>
          <w:rFonts w:ascii="Times New Roman" w:hAnsi="Times New Roman"/>
          <w:color w:val="000000"/>
          <w:sz w:val="20"/>
        </w:rPr>
      </w:pPr>
      <w:r>
        <w:rPr>
          <w:rFonts w:ascii="Times New Roman" w:hAnsi="Times New Roman"/>
          <w:color w:val="000000"/>
          <w:sz w:val="20"/>
        </w:rPr>
        <w:t>Cofide, Mivivienda, BCP and Credicorp</w:t>
      </w:r>
    </w:p>
    <w:p>
      <w:pPr>
        <w:pStyle w:val="TextBody"/>
        <w:bidi w:val="0"/>
        <w:spacing w:before="56" w:after="283"/>
        <w:jc w:val="left"/>
        <w:rPr>
          <w:color w:val="000000"/>
          <w:sz w:val="20"/>
        </w:rPr>
      </w:pPr>
      <w:r>
        <w:rPr>
          <w:color w:val="000000"/>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Factors That Could, Individually or Collectively, Lead to Negative Rating Action/Downgrade</w:t>
      </w:r>
    </w:p>
    <w:p>
      <w:pPr>
        <w:pStyle w:val="TextBody"/>
        <w:bidi w:val="0"/>
        <w:spacing w:before="55" w:after="283"/>
        <w:jc w:val="left"/>
        <w:rPr>
          <w:color w:val="000000"/>
          <w:sz w:val="20"/>
        </w:rPr>
      </w:pPr>
      <w:r>
        <w:rPr>
          <w:color w:val="000000"/>
          <w:sz w:val="20"/>
        </w:rPr>
      </w:r>
    </w:p>
    <w:p>
      <w:pPr>
        <w:pStyle w:val="TextBody"/>
        <w:bidi w:val="0"/>
        <w:spacing w:before="1" w:after="283"/>
        <w:jc w:val="left"/>
        <w:rPr>
          <w:rFonts w:ascii="Times New Roman" w:hAnsi="Times New Roman"/>
          <w:color w:val="000000"/>
          <w:sz w:val="20"/>
        </w:rPr>
      </w:pPr>
      <w:r>
        <w:rPr>
          <w:rFonts w:ascii="Times New Roman" w:hAnsi="Times New Roman"/>
          <w:color w:val="000000"/>
          <w:sz w:val="20"/>
        </w:rPr>
        <w:t xml:space="preserve">--Senior unsecured debt would be downgraded if the entities' Long-Term IDR is downgraded. </w:t>
      </w:r>
    </w:p>
    <w:p>
      <w:pPr>
        <w:pStyle w:val="TextBody"/>
        <w:bidi w:val="0"/>
        <w:spacing w:before="1" w:after="283"/>
        <w:jc w:val="left"/>
        <w:rPr>
          <w:color w:val="000000"/>
          <w:sz w:val="20"/>
        </w:rPr>
      </w:pPr>
      <w:r>
        <w:rPr>
          <w:color w:val="000000"/>
          <w:sz w:val="20"/>
        </w:rPr>
      </w:r>
    </w:p>
    <w:p>
      <w:pPr>
        <w:pStyle w:val="TextBody"/>
        <w:bidi w:val="0"/>
        <w:spacing w:before="1" w:after="283"/>
        <w:jc w:val="left"/>
        <w:rPr>
          <w:rFonts w:ascii="Times New Roman" w:hAnsi="Times New Roman"/>
          <w:color w:val="000000"/>
          <w:sz w:val="20"/>
        </w:rPr>
      </w:pPr>
      <w:r>
        <w:rPr>
          <w:rFonts w:ascii="Times New Roman" w:hAnsi="Times New Roman"/>
          <w:color w:val="000000"/>
          <w:sz w:val="20"/>
        </w:rPr>
        <w:t>Factors That Could, Individually or Collectively, Lead to Positive Rating Action/Upgrade</w:t>
      </w:r>
    </w:p>
    <w:p>
      <w:pPr>
        <w:pStyle w:val="TextBody"/>
        <w:bidi w:val="0"/>
        <w:spacing w:before="1" w:after="283"/>
        <w:jc w:val="left"/>
        <w:rPr>
          <w:color w:val="000000"/>
          <w:sz w:val="20"/>
        </w:rPr>
      </w:pPr>
      <w:r>
        <w:rPr>
          <w:color w:val="000000"/>
          <w:sz w:val="20"/>
        </w:rPr>
      </w:r>
    </w:p>
    <w:p>
      <w:pPr>
        <w:pStyle w:val="TextBody"/>
        <w:bidi w:val="0"/>
        <w:spacing w:before="2" w:after="283"/>
        <w:jc w:val="left"/>
        <w:rPr>
          <w:rFonts w:ascii="Times New Roman" w:hAnsi="Times New Roman"/>
          <w:color w:val="000000"/>
          <w:sz w:val="20"/>
        </w:rPr>
      </w:pPr>
      <w:r>
        <w:rPr>
          <w:rFonts w:ascii="Times New Roman" w:hAnsi="Times New Roman"/>
          <w:color w:val="000000"/>
          <w:sz w:val="20"/>
        </w:rPr>
        <w:t xml:space="preserve">--Senior unsecured debt would be upgraded if the entities' Long-Term IDR is upgraded; </w:t>
      </w:r>
    </w:p>
    <w:p>
      <w:pPr>
        <w:pStyle w:val="TextBody"/>
        <w:bidi w:val="0"/>
        <w:spacing w:before="2" w:after="283"/>
        <w:jc w:val="left"/>
        <w:rPr>
          <w:color w:val="000000"/>
          <w:sz w:val="20"/>
        </w:rPr>
      </w:pPr>
      <w:r>
        <w:rPr>
          <w:color w:val="000000"/>
          <w:sz w:val="20"/>
        </w:rPr>
      </w:r>
    </w:p>
    <w:p>
      <w:pPr>
        <w:pStyle w:val="TextBody"/>
        <w:bidi w:val="0"/>
        <w:spacing w:before="2" w:after="283"/>
        <w:jc w:val="left"/>
        <w:rPr>
          <w:rFonts w:ascii="Times New Roman" w:hAnsi="Times New Roman"/>
          <w:color w:val="000000"/>
          <w:sz w:val="20"/>
        </w:rPr>
      </w:pPr>
      <w:r>
        <w:rPr>
          <w:rFonts w:ascii="Times New Roman" w:hAnsi="Times New Roman"/>
          <w:color w:val="000000"/>
          <w:sz w:val="20"/>
        </w:rPr>
        <w:t>GOVERNMENT SUPPORT RATING</w:t>
      </w:r>
    </w:p>
    <w:p>
      <w:pPr>
        <w:pStyle w:val="TextBody"/>
        <w:bidi w:val="0"/>
        <w:spacing w:before="2" w:after="283"/>
        <w:jc w:val="left"/>
        <w:rPr>
          <w:color w:val="000000"/>
          <w:sz w:val="20"/>
        </w:rPr>
      </w:pPr>
      <w:r>
        <w:rPr>
          <w:color w:val="000000"/>
          <w:sz w:val="20"/>
        </w:rPr>
      </w:r>
    </w:p>
    <w:p>
      <w:pPr>
        <w:pStyle w:val="TextBody"/>
        <w:bidi w:val="0"/>
        <w:spacing w:before="2" w:after="283"/>
        <w:jc w:val="left"/>
        <w:rPr>
          <w:rFonts w:ascii="Times New Roman" w:hAnsi="Times New Roman"/>
          <w:color w:val="000000"/>
          <w:sz w:val="20"/>
        </w:rPr>
      </w:pPr>
      <w:r>
        <w:rPr>
          <w:rFonts w:ascii="Times New Roman" w:hAnsi="Times New Roman"/>
          <w:color w:val="000000"/>
          <w:sz w:val="20"/>
        </w:rPr>
        <w:t>BCP, INTERBANK, BANBIF</w:t>
      </w:r>
    </w:p>
    <w:p>
      <w:pPr>
        <w:pStyle w:val="TextBody"/>
        <w:bidi w:val="0"/>
        <w:spacing w:before="55" w:after="283"/>
        <w:jc w:val="left"/>
        <w:rPr>
          <w:color w:val="000000"/>
          <w:sz w:val="20"/>
        </w:rPr>
      </w:pPr>
      <w:r>
        <w:rPr>
          <w:color w:val="000000"/>
          <w:sz w:val="20"/>
        </w:rPr>
      </w:r>
    </w:p>
    <w:p>
      <w:pPr>
        <w:pStyle w:val="TextBody"/>
        <w:bidi w:val="0"/>
        <w:spacing w:before="1" w:after="283"/>
        <w:jc w:val="left"/>
        <w:rPr>
          <w:rFonts w:ascii="Times New Roman" w:hAnsi="Times New Roman"/>
          <w:color w:val="000000"/>
          <w:sz w:val="20"/>
        </w:rPr>
      </w:pPr>
      <w:r>
        <w:rPr>
          <w:rFonts w:ascii="Times New Roman" w:hAnsi="Times New Roman"/>
          <w:color w:val="000000"/>
          <w:sz w:val="20"/>
        </w:rPr>
        <w:t>Factors That Could, Individually or Collectively, Lead to Negative Rating Action/Downgrade</w:t>
      </w:r>
    </w:p>
    <w:p>
      <w:pPr>
        <w:pStyle w:val="TextBody"/>
        <w:bidi w:val="0"/>
        <w:spacing w:before="55" w:after="283"/>
        <w:jc w:val="left"/>
        <w:rPr>
          <w:color w:val="000000"/>
          <w:sz w:val="20"/>
        </w:rPr>
      </w:pPr>
      <w:r>
        <w:rPr>
          <w:color w:val="000000"/>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--BCP's, Interbank's and Banbif's Government Support Ratings (GSRs) would be affected if Fitch negatively changes its assessment of the government's ability and/or willingness to support the banks;</w:t>
      </w:r>
    </w:p>
    <w:p>
      <w:pPr>
        <w:pStyle w:val="TextBody"/>
        <w:bidi w:val="0"/>
        <w:spacing w:before="237" w:after="283"/>
        <w:jc w:val="left"/>
        <w:rPr>
          <w:rFonts w:ascii="Times New Roman" w:hAnsi="Times New Roman"/>
          <w:color w:val="000000"/>
          <w:sz w:val="20"/>
        </w:rPr>
      </w:pPr>
      <w:r>
        <w:rPr>
          <w:rFonts w:ascii="Times New Roman" w:hAnsi="Times New Roman"/>
          <w:color w:val="000000"/>
          <w:sz w:val="20"/>
        </w:rPr>
        <w:t>--Banbif's GSR could also be downgraded if the bank loses material market share in terms of loans and customer deposits.</w:t>
      </w:r>
    </w:p>
    <w:p>
      <w:pPr>
        <w:pStyle w:val="TextBody"/>
        <w:bidi w:val="0"/>
        <w:spacing w:before="237" w:after="283"/>
        <w:jc w:val="left"/>
        <w:rPr>
          <w:rFonts w:ascii="Times New Roman" w:hAnsi="Times New Roman"/>
          <w:color w:val="000000"/>
          <w:sz w:val="20"/>
        </w:rPr>
      </w:pPr>
      <w:r>
        <w:rPr>
          <w:rFonts w:ascii="Times New Roman" w:hAnsi="Times New Roman"/>
          <w:color w:val="000000"/>
          <w:sz w:val="20"/>
        </w:rPr>
        <w:t xml:space="preserve">Factors That Could, Individually or Collectively, Lead to Positive Rating Action/Upgrade </w:t>
      </w:r>
    </w:p>
    <w:p>
      <w:pPr>
        <w:pStyle w:val="TextBody"/>
        <w:bidi w:val="0"/>
        <w:spacing w:before="237" w:after="283"/>
        <w:jc w:val="left"/>
        <w:rPr>
          <w:rFonts w:ascii="Times New Roman" w:hAnsi="Times New Roman"/>
          <w:color w:val="000000"/>
          <w:sz w:val="20"/>
        </w:rPr>
      </w:pPr>
      <w:r>
        <w:rPr>
          <w:rFonts w:ascii="Times New Roman" w:hAnsi="Times New Roman"/>
          <w:color w:val="000000"/>
          <w:sz w:val="20"/>
        </w:rPr>
        <w:t>BCP, INTERBANK, BANBIF</w:t>
      </w:r>
    </w:p>
    <w:p>
      <w:pPr>
        <w:pStyle w:val="TextBody"/>
        <w:bidi w:val="0"/>
        <w:spacing w:before="237" w:after="0"/>
        <w:ind w:left="0" w:right="0" w:hanging="0"/>
        <w:jc w:val="left"/>
        <w:rPr>
          <w:rFonts w:ascii="Times New Roman" w:hAnsi="Times New Roman"/>
          <w:color w:val="000000"/>
          <w:sz w:val="20"/>
        </w:rPr>
      </w:pPr>
      <w:r>
        <w:rPr>
          <w:rFonts w:ascii="Times New Roman" w:hAnsi="Times New Roman"/>
          <w:color w:val="000000"/>
          <w:sz w:val="20"/>
        </w:rPr>
        <w:t>--BCP's and Interbank's GSRs would be affected if Fitch positively changes its assessment of the government's ability and/or willingness to support the banks;</w:t>
      </w:r>
    </w:p>
    <w:p>
      <w:pPr>
        <w:pStyle w:val="TextBody"/>
        <w:bidi w:val="0"/>
        <w:spacing w:before="237" w:after="283"/>
        <w:jc w:val="left"/>
        <w:rPr>
          <w:rFonts w:ascii="Times New Roman" w:hAnsi="Times New Roman"/>
          <w:color w:val="000000"/>
          <w:sz w:val="20"/>
        </w:rPr>
      </w:pPr>
      <w:r>
        <w:rPr>
          <w:rFonts w:ascii="Times New Roman" w:hAnsi="Times New Roman"/>
          <w:color w:val="000000"/>
          <w:sz w:val="20"/>
        </w:rPr>
        <w:t>--Upside potential for Banbif's GSR is limited and can only occur over time with material growth of the bank's systemic importance.</w:t>
      </w:r>
    </w:p>
    <w:p>
      <w:pPr>
        <w:pStyle w:val="TextBody"/>
        <w:bidi w:val="0"/>
        <w:spacing w:before="174" w:after="283"/>
        <w:jc w:val="left"/>
        <w:rPr>
          <w:rFonts w:ascii="Times New Roman" w:hAnsi="Times New Roman"/>
          <w:b/>
          <w:color w:val="000000"/>
          <w:sz w:val="20"/>
        </w:rPr>
      </w:pPr>
      <w:r>
        <w:rPr>
          <w:rFonts w:ascii="Times New Roman" w:hAnsi="Times New Roman"/>
          <w:b/>
          <w:color w:val="000000"/>
          <w:sz w:val="20"/>
        </w:rPr>
        <w:t>VR ADJUSTMENTS</w:t>
      </w:r>
    </w:p>
    <w:p>
      <w:pPr>
        <w:pStyle w:val="TextBody"/>
        <w:bidi w:val="0"/>
        <w:spacing w:before="220" w:after="283"/>
        <w:jc w:val="left"/>
        <w:rPr>
          <w:rFonts w:ascii="Times New Roman" w:hAnsi="Times New Roman"/>
          <w:b/>
          <w:color w:val="000000"/>
          <w:sz w:val="20"/>
        </w:rPr>
      </w:pPr>
      <w:r>
        <w:rPr>
          <w:rFonts w:ascii="Times New Roman" w:hAnsi="Times New Roman"/>
          <w:b/>
          <w:color w:val="000000"/>
          <w:sz w:val="20"/>
        </w:rPr>
        <w:t>BCP, BBVA Peru, Scotiabank Peru, Interbank, Banbif</w:t>
      </w:r>
    </w:p>
    <w:p>
      <w:pPr>
        <w:pStyle w:val="TextBody"/>
        <w:bidi w:val="0"/>
        <w:spacing w:before="282" w:after="283"/>
        <w:jc w:val="left"/>
        <w:rPr>
          <w:rFonts w:ascii="Times New Roman" w:hAnsi="Times New Roman"/>
          <w:color w:val="000000"/>
          <w:sz w:val="20"/>
        </w:rPr>
      </w:pPr>
      <w:r>
        <w:rPr>
          <w:rFonts w:ascii="Times New Roman" w:hAnsi="Times New Roman"/>
          <w:color w:val="000000"/>
          <w:sz w:val="20"/>
        </w:rPr>
        <w:t>--The OE score has been assigned above the implied score due to the following adjustment reasons: sovereign rating (positive).</w:t>
      </w:r>
    </w:p>
    <w:p>
      <w:pPr>
        <w:pStyle w:val="TextBody"/>
        <w:bidi w:val="0"/>
        <w:spacing w:before="237" w:after="283"/>
        <w:jc w:val="left"/>
        <w:rPr>
          <w:rFonts w:ascii="Times New Roman" w:hAnsi="Times New Roman"/>
          <w:color w:val="000000"/>
          <w:sz w:val="20"/>
        </w:rPr>
      </w:pPr>
      <w:r>
        <w:rPr>
          <w:rFonts w:ascii="Times New Roman" w:hAnsi="Times New Roman"/>
          <w:color w:val="000000"/>
          <w:sz w:val="20"/>
        </w:rPr>
        <w:t>Interbank</w:t>
      </w:r>
    </w:p>
    <w:p>
      <w:pPr>
        <w:pStyle w:val="TextBody"/>
        <w:bidi w:val="0"/>
        <w:spacing w:before="56" w:after="283"/>
        <w:jc w:val="left"/>
        <w:rPr>
          <w:color w:val="000000"/>
          <w:sz w:val="20"/>
        </w:rPr>
      </w:pPr>
      <w:r>
        <w:rPr>
          <w:color w:val="000000"/>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Capitalization and Leverage score has been assigned above the implied score due to the following adjustment reason: Reserve Coverage and Asset Valuation (positive).</w:t>
      </w:r>
    </w:p>
    <w:p>
      <w:pPr>
        <w:pStyle w:val="TextBody"/>
        <w:bidi w:val="0"/>
        <w:spacing w:before="0" w:after="0"/>
        <w:jc w:val="left"/>
        <w:rPr>
          <w:color w:val="000000"/>
          <w:sz w:val="20"/>
        </w:rPr>
      </w:pPr>
      <w:r>
        <w:rPr>
          <w:color w:val="000000"/>
          <w:sz w:val="20"/>
        </w:rPr>
      </w:r>
    </w:p>
    <w:p>
      <w:pPr>
        <w:pStyle w:val="HorizontalLine"/>
        <w:pBdr>
          <w:bottom w:val="single" w:sz="12" w:space="0" w:color="808080"/>
        </w:pBdr>
        <w:bidi w:val="0"/>
        <w:spacing w:before="180" w:after="180"/>
        <w:jc w:val="left"/>
        <w:rPr/>
      </w:pPr>
      <w:r>
        <w:rPr/>
      </w:r>
    </w:p>
    <w:p>
      <w:pPr>
        <w:pStyle w:val="TextBody"/>
        <w:bidi w:val="0"/>
        <w:spacing w:before="96" w:after="283"/>
        <w:jc w:val="left"/>
        <w:rPr>
          <w:rFonts w:ascii="Times New Roman" w:hAnsi="Times New Roman"/>
          <w:color w:val="000000"/>
          <w:sz w:val="20"/>
        </w:rPr>
      </w:pPr>
      <w:r>
        <w:rPr>
          <w:rFonts w:ascii="Times New Roman" w:hAnsi="Times New Roman"/>
          <w:color w:val="000000"/>
          <w:sz w:val="20"/>
        </w:rPr>
        <w:t>BBVA Peru</w:t>
      </w:r>
    </w:p>
    <w:p>
      <w:pPr>
        <w:pStyle w:val="TextBody"/>
        <w:bidi w:val="0"/>
        <w:spacing w:before="55" w:after="283"/>
        <w:jc w:val="left"/>
        <w:rPr>
          <w:color w:val="000000"/>
          <w:sz w:val="20"/>
        </w:rPr>
      </w:pPr>
      <w:r>
        <w:rPr>
          <w:color w:val="000000"/>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Capitalization and Leverage score has been assigned above the implied score due to the following adjustment reason: Capital Flexibility and Ordinary Support (positive).</w:t>
      </w:r>
    </w:p>
    <w:p>
      <w:pPr>
        <w:pStyle w:val="TextBody"/>
        <w:bidi w:val="0"/>
        <w:spacing w:before="237" w:after="283"/>
        <w:jc w:val="left"/>
        <w:rPr>
          <w:rFonts w:ascii="Times New Roman" w:hAnsi="Times New Roman"/>
          <w:color w:val="000000"/>
          <w:sz w:val="20"/>
        </w:rPr>
      </w:pPr>
      <w:r>
        <w:rPr>
          <w:rFonts w:ascii="Times New Roman" w:hAnsi="Times New Roman"/>
          <w:color w:val="000000"/>
          <w:sz w:val="20"/>
        </w:rPr>
        <w:t>Scotiabank Peru</w:t>
      </w:r>
    </w:p>
    <w:p>
      <w:pPr>
        <w:pStyle w:val="TextBody"/>
        <w:bidi w:val="0"/>
        <w:spacing w:before="56" w:after="283"/>
        <w:jc w:val="left"/>
        <w:rPr>
          <w:color w:val="000000"/>
          <w:sz w:val="20"/>
        </w:rPr>
      </w:pPr>
      <w:r>
        <w:rPr>
          <w:color w:val="000000"/>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Asset Quality Score has been assigned below the implied score due the following adjustment reasons: concentrations (negative).</w:t>
      </w:r>
    </w:p>
    <w:p>
      <w:pPr>
        <w:pStyle w:val="TextBody"/>
        <w:bidi w:val="0"/>
        <w:spacing w:before="174" w:after="283"/>
        <w:jc w:val="left"/>
        <w:rPr>
          <w:rFonts w:ascii="Times New Roman" w:hAnsi="Times New Roman"/>
          <w:b/>
          <w:color w:val="000000"/>
          <w:sz w:val="20"/>
        </w:rPr>
      </w:pPr>
      <w:r>
        <w:rPr>
          <w:rFonts w:ascii="Times New Roman" w:hAnsi="Times New Roman"/>
          <w:b/>
          <w:color w:val="000000"/>
          <w:sz w:val="20"/>
        </w:rPr>
        <w:t>REFERENCES FOR SUBSTANTIALLY MATERIAL SOURCE CITED AS KEY DRIVER OF RATING</w:t>
      </w:r>
    </w:p>
    <w:p>
      <w:pPr>
        <w:pStyle w:val="TextBody"/>
        <w:bidi w:val="0"/>
        <w:spacing w:before="247" w:after="283"/>
        <w:jc w:val="left"/>
        <w:rPr>
          <w:rFonts w:ascii="Times New Roman" w:hAnsi="Times New Roman"/>
          <w:color w:val="000000"/>
          <w:sz w:val="20"/>
        </w:rPr>
      </w:pPr>
      <w:r>
        <w:rPr>
          <w:rFonts w:ascii="Times New Roman" w:hAnsi="Times New Roman"/>
          <w:color w:val="000000"/>
          <w:sz w:val="20"/>
        </w:rPr>
        <w:t>The principal sources of information used in the analysis are described in the Applicable Criteria.</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Public Ratings with Credit Linkage to other ratings</w:t>
      </w:r>
    </w:p>
    <w:p>
      <w:pPr>
        <w:pStyle w:val="TextBody"/>
        <w:bidi w:val="0"/>
        <w:spacing w:before="248" w:after="283"/>
        <w:jc w:val="left"/>
        <w:rPr>
          <w:rFonts w:ascii="Times New Roman" w:hAnsi="Times New Roman"/>
          <w:color w:val="000000"/>
          <w:sz w:val="20"/>
        </w:rPr>
      </w:pPr>
      <w:r>
        <w:rPr>
          <w:rFonts w:ascii="Times New Roman" w:hAnsi="Times New Roman"/>
          <w:color w:val="000000"/>
          <w:sz w:val="20"/>
        </w:rPr>
        <w:t>--BBVA Peru ratings are support driven by Banco Bilbao Vizcaya Argentaria S.A.;</w:t>
      </w:r>
    </w:p>
    <w:p>
      <w:pPr>
        <w:pStyle w:val="TextBody"/>
        <w:bidi w:val="0"/>
        <w:spacing w:before="55" w:after="283"/>
        <w:jc w:val="left"/>
        <w:rPr>
          <w:color w:val="000000"/>
          <w:sz w:val="20"/>
        </w:rPr>
      </w:pPr>
      <w:r>
        <w:rPr>
          <w:color w:val="000000"/>
          <w:sz w:val="20"/>
        </w:rPr>
      </w:r>
    </w:p>
    <w:p>
      <w:pPr>
        <w:pStyle w:val="TextBody"/>
        <w:bidi w:val="0"/>
        <w:spacing w:before="1" w:after="283"/>
        <w:jc w:val="left"/>
        <w:rPr>
          <w:rFonts w:ascii="Times New Roman" w:hAnsi="Times New Roman"/>
          <w:color w:val="000000"/>
          <w:sz w:val="20"/>
        </w:rPr>
      </w:pPr>
      <w:r>
        <w:rPr>
          <w:rFonts w:ascii="Times New Roman" w:hAnsi="Times New Roman"/>
          <w:color w:val="000000"/>
          <w:sz w:val="20"/>
        </w:rPr>
        <w:t>--Scotiabank Peru ratings are support by BNS;</w:t>
      </w:r>
    </w:p>
    <w:p>
      <w:pPr>
        <w:pStyle w:val="TextBody"/>
        <w:bidi w:val="0"/>
        <w:spacing w:before="55" w:after="283"/>
        <w:jc w:val="left"/>
        <w:rPr>
          <w:color w:val="000000"/>
          <w:sz w:val="20"/>
        </w:rPr>
      </w:pPr>
      <w:r>
        <w:rPr>
          <w:color w:val="000000"/>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--Cofide's ratings are support driven by Peru;</w:t>
      </w:r>
    </w:p>
    <w:p>
      <w:pPr>
        <w:pStyle w:val="TextBody"/>
        <w:bidi w:val="0"/>
        <w:spacing w:before="56" w:after="283"/>
        <w:jc w:val="left"/>
        <w:rPr>
          <w:color w:val="000000"/>
          <w:sz w:val="20"/>
        </w:rPr>
      </w:pPr>
      <w:r>
        <w:rPr>
          <w:color w:val="000000"/>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--Mivivienda's ratings are support driven. by Peru;</w:t>
      </w:r>
    </w:p>
    <w:p>
      <w:pPr>
        <w:pStyle w:val="TextBody"/>
        <w:bidi w:val="0"/>
        <w:spacing w:before="55" w:after="283"/>
        <w:jc w:val="left"/>
        <w:rPr>
          <w:color w:val="000000"/>
          <w:sz w:val="20"/>
        </w:rPr>
      </w:pPr>
      <w:r>
        <w:rPr>
          <w:color w:val="000000"/>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--Credicorp Ltd ratings are support driven by Banco de Credito del Peru;</w:t>
      </w:r>
    </w:p>
    <w:p>
      <w:pPr>
        <w:pStyle w:val="TextBody"/>
        <w:bidi w:val="0"/>
        <w:spacing w:before="56" w:after="283"/>
        <w:jc w:val="left"/>
        <w:rPr>
          <w:color w:val="000000"/>
          <w:sz w:val="20"/>
        </w:rPr>
      </w:pPr>
      <w:r>
        <w:rPr>
          <w:color w:val="000000"/>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--Intercorp Financial Services Inc are support driven by Interbank.</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ESG Considerations</w:t>
      </w:r>
    </w:p>
    <w:p>
      <w:pPr>
        <w:pStyle w:val="TextBody"/>
        <w:bidi w:val="0"/>
        <w:spacing w:before="248" w:after="283"/>
        <w:jc w:val="left"/>
        <w:rPr>
          <w:rFonts w:ascii="Times New Roman" w:hAnsi="Times New Roman"/>
          <w:color w:val="000000"/>
          <w:sz w:val="20"/>
        </w:rPr>
      </w:pPr>
      <w:r>
        <w:rPr>
          <w:rFonts w:ascii="Times New Roman" w:hAnsi="Times New Roman"/>
          <w:color w:val="000000"/>
          <w:sz w:val="20"/>
        </w:rPr>
        <w:t>FMV has an ESG Relevance Score of '4'[+] for Human Rights, Community Relations, Access &amp; Affordability. This reflects its essential policy role in supporting government policies to ensure low- income individuals have access to low-cost housing. FMV's key social role forms part of our support assessment. These considerations have a moderately positive impact on FMV's credit profile and are relevant to its ratings in conjunction with other factors.</w:t>
      </w:r>
    </w:p>
    <w:p>
      <w:pPr>
        <w:pStyle w:val="TextBody"/>
        <w:bidi w:val="0"/>
        <w:spacing w:before="239" w:after="283"/>
        <w:jc w:val="left"/>
        <w:rPr>
          <w:rFonts w:ascii="Times New Roman" w:hAnsi="Times New Roman"/>
          <w:color w:val="000000"/>
          <w:sz w:val="20"/>
        </w:rPr>
      </w:pPr>
      <w:r>
        <w:rPr>
          <w:rFonts w:ascii="Times New Roman" w:hAnsi="Times New Roman"/>
          <w:color w:val="000000"/>
          <w:sz w:val="20"/>
        </w:rPr>
        <w:t>The highest level of ESG credit relevance is a score of '3', unless otherwise disclosed in this section. A score of '3' means ESG issues are credit-neutral or have only a minimal credit impact on the entity, either due to their nature or the way in which they are being managed by the entity. Fitch's ESG Relevance Scores are not inputs in the rating process; they are an observation on the relevance and materiality of ESG factors in the rating decision. For more information on Fitch's ESG Relevance Scores, visit https://www.fitchratings.com/topics/esg/products#esg-relevance-scores.</w:t>
      </w:r>
    </w:p>
    <w:p>
      <w:pPr>
        <w:pStyle w:val="TextBody"/>
        <w:bidi w:val="0"/>
        <w:spacing w:before="178" w:after="283"/>
        <w:jc w:val="left"/>
        <w:rPr>
          <w:rFonts w:ascii="Times New Roman" w:hAnsi="Times New Roman"/>
          <w:b/>
          <w:color w:val="000000"/>
          <w:sz w:val="20"/>
        </w:rPr>
      </w:pPr>
      <w:r>
        <w:rPr>
          <w:rFonts w:ascii="Times New Roman" w:hAnsi="Times New Roman"/>
          <w:b/>
          <w:color w:val="000000"/>
          <w:sz w:val="20"/>
        </w:rPr>
        <w:t>Fitch Ratings Analysts</w:t>
      </w:r>
    </w:p>
    <w:p>
      <w:pPr>
        <w:pStyle w:val="TextBody"/>
        <w:bidi w:val="0"/>
        <w:spacing w:before="219" w:after="283"/>
        <w:jc w:val="left"/>
        <w:rPr>
          <w:rFonts w:ascii="Times New Roman" w:hAnsi="Times New Roman"/>
          <w:b/>
          <w:color w:val="000000"/>
          <w:sz w:val="20"/>
        </w:rPr>
      </w:pPr>
      <w:r>
        <w:rPr>
          <w:rFonts w:ascii="Times New Roman" w:hAnsi="Times New Roman"/>
          <w:b/>
          <w:color w:val="000000"/>
          <w:sz w:val="20"/>
        </w:rPr>
        <w:t>Ricardo Aguilar</w:t>
      </w:r>
    </w:p>
    <w:p>
      <w:pPr>
        <w:pStyle w:val="TextBody"/>
        <w:bidi w:val="0"/>
        <w:spacing w:before="47" w:after="283"/>
        <w:jc w:val="left"/>
        <w:rPr>
          <w:rFonts w:ascii="Times New Roman" w:hAnsi="Times New Roman"/>
          <w:color w:val="000000"/>
          <w:sz w:val="20"/>
        </w:rPr>
      </w:pPr>
      <w:r>
        <w:rPr>
          <w:rFonts w:ascii="Times New Roman" w:hAnsi="Times New Roman"/>
          <w:color w:val="000000"/>
          <w:sz w:val="20"/>
        </w:rPr>
        <w:t>Director</w:t>
      </w:r>
    </w:p>
    <w:p>
      <w:pPr>
        <w:pStyle w:val="TextBody"/>
        <w:bidi w:val="0"/>
        <w:spacing w:before="68" w:after="283"/>
        <w:jc w:val="left"/>
        <w:rPr>
          <w:rFonts w:ascii="Times New Roman" w:hAnsi="Times New Roman"/>
          <w:color w:val="000000"/>
          <w:sz w:val="20"/>
        </w:rPr>
      </w:pPr>
      <w:r>
        <w:rPr>
          <w:rFonts w:ascii="Times New Roman" w:hAnsi="Times New Roman"/>
          <w:color w:val="000000"/>
          <w:sz w:val="20"/>
        </w:rPr>
        <w:t>Primary Rating Analyst</w:t>
      </w:r>
    </w:p>
    <w:p>
      <w:pPr>
        <w:pStyle w:val="TextBody"/>
        <w:bidi w:val="0"/>
        <w:spacing w:before="68" w:after="283"/>
        <w:jc w:val="left"/>
        <w:rPr>
          <w:color w:val="000000"/>
          <w:sz w:val="20"/>
        </w:rPr>
      </w:pPr>
      <w:r>
        <w:rPr>
          <w:color w:val="000000"/>
          <w:sz w:val="20"/>
        </w:rPr>
      </w:r>
    </w:p>
    <w:p>
      <w:pPr>
        <w:pStyle w:val="HorizontalLine"/>
        <w:pBdr>
          <w:bottom w:val="single" w:sz="12" w:space="0" w:color="808080"/>
        </w:pBdr>
        <w:bidi w:val="0"/>
        <w:spacing w:before="180" w:after="180"/>
        <w:jc w:val="left"/>
        <w:rPr/>
      </w:pPr>
      <w:r>
        <w:rPr/>
      </w:r>
    </w:p>
    <w:p>
      <w:pPr>
        <w:pStyle w:val="TextBody"/>
        <w:bidi w:val="0"/>
        <w:spacing w:before="96" w:after="283"/>
        <w:jc w:val="left"/>
        <w:rPr>
          <w:rFonts w:ascii="Times New Roman" w:hAnsi="Times New Roman"/>
          <w:color w:val="000000"/>
          <w:sz w:val="20"/>
        </w:rPr>
      </w:pPr>
      <w:r>
        <w:rPr>
          <w:rFonts w:ascii="Times New Roman" w:hAnsi="Times New Roman"/>
          <w:color w:val="000000"/>
          <w:sz w:val="20"/>
        </w:rPr>
        <w:t>+52 81 4161 7086</w:t>
      </w:r>
    </w:p>
    <w:p>
      <w:pPr>
        <w:pStyle w:val="TextBody"/>
        <w:bidi w:val="0"/>
        <w:spacing w:before="67" w:after="283"/>
        <w:jc w:val="left"/>
        <w:rPr>
          <w:rFonts w:ascii="Times New Roman" w:hAnsi="Times New Roman"/>
          <w:color w:val="000000"/>
          <w:sz w:val="20"/>
        </w:rPr>
      </w:pPr>
      <w:r>
        <w:rPr>
          <w:rFonts w:ascii="Times New Roman" w:hAnsi="Times New Roman"/>
          <w:color w:val="000000"/>
          <w:sz w:val="20"/>
        </w:rPr>
        <w:t>Fitch Mexico S.A. de C.V. Prol. Alfonso Reyes No. 2612, Edificio Connexity, Piso 8, Col. Del Paseo</w:t>
      </w:r>
    </w:p>
    <w:p>
      <w:pPr>
        <w:pStyle w:val="TextBody"/>
        <w:bidi w:val="0"/>
        <w:spacing w:before="67" w:after="283"/>
        <w:jc w:val="left"/>
        <w:rPr>
          <w:rFonts w:ascii="Times New Roman" w:hAnsi="Times New Roman"/>
          <w:color w:val="000000"/>
          <w:sz w:val="20"/>
        </w:rPr>
      </w:pPr>
      <w:r>
        <w:rPr>
          <w:rFonts w:ascii="Times New Roman" w:hAnsi="Times New Roman"/>
          <w:color w:val="000000"/>
          <w:sz w:val="20"/>
        </w:rPr>
        <w:t>Residencial, Monterrey 64920</w:t>
      </w:r>
    </w:p>
    <w:p>
      <w:pPr>
        <w:pStyle w:val="TextBody"/>
        <w:bidi w:val="0"/>
        <w:spacing w:before="209" w:after="283"/>
        <w:jc w:val="left"/>
        <w:rPr>
          <w:rFonts w:ascii="Times New Roman" w:hAnsi="Times New Roman"/>
          <w:b/>
          <w:color w:val="000000"/>
          <w:sz w:val="20"/>
        </w:rPr>
      </w:pPr>
      <w:r>
        <w:rPr>
          <w:rFonts w:ascii="Times New Roman" w:hAnsi="Times New Roman"/>
          <w:b/>
          <w:color w:val="000000"/>
          <w:sz w:val="20"/>
        </w:rPr>
        <w:t>Andres Marquez</w:t>
      </w:r>
    </w:p>
    <w:p>
      <w:pPr>
        <w:pStyle w:val="TextBody"/>
        <w:bidi w:val="0"/>
        <w:spacing w:before="47" w:after="283"/>
        <w:jc w:val="left"/>
        <w:rPr>
          <w:rFonts w:ascii="Times New Roman" w:hAnsi="Times New Roman"/>
          <w:color w:val="000000"/>
          <w:sz w:val="20"/>
        </w:rPr>
      </w:pPr>
      <w:r>
        <w:rPr>
          <w:rFonts w:ascii="Times New Roman" w:hAnsi="Times New Roman"/>
          <w:color w:val="000000"/>
          <w:sz w:val="20"/>
        </w:rPr>
        <w:t>Senior Director</w:t>
      </w:r>
    </w:p>
    <w:p>
      <w:pPr>
        <w:pStyle w:val="TextBody"/>
        <w:bidi w:val="0"/>
        <w:spacing w:before="2" w:after="283"/>
        <w:jc w:val="left"/>
        <w:rPr>
          <w:rFonts w:ascii="Times New Roman" w:hAnsi="Times New Roman"/>
          <w:color w:val="000000"/>
          <w:sz w:val="20"/>
        </w:rPr>
      </w:pPr>
      <w:r>
        <w:rPr>
          <w:rFonts w:ascii="Times New Roman" w:hAnsi="Times New Roman"/>
          <w:color w:val="000000"/>
          <w:sz w:val="20"/>
        </w:rPr>
        <w:t>Secondary Rating Analyst</w:t>
      </w:r>
    </w:p>
    <w:p>
      <w:pPr>
        <w:pStyle w:val="TextBody"/>
        <w:bidi w:val="0"/>
        <w:spacing w:before="2" w:after="283"/>
        <w:jc w:val="left"/>
        <w:rPr>
          <w:rFonts w:ascii="Times New Roman" w:hAnsi="Times New Roman"/>
          <w:color w:val="000000"/>
          <w:sz w:val="20"/>
        </w:rPr>
      </w:pPr>
      <w:r>
        <w:rPr>
          <w:rFonts w:ascii="Times New Roman" w:hAnsi="Times New Roman"/>
          <w:color w:val="000000"/>
          <w:sz w:val="20"/>
        </w:rPr>
        <w:t>+57 601 241 3254</w:t>
      </w:r>
    </w:p>
    <w:p>
      <w:pPr>
        <w:pStyle w:val="TextBody"/>
        <w:bidi w:val="0"/>
        <w:spacing w:before="27" w:after="283"/>
        <w:jc w:val="left"/>
        <w:rPr>
          <w:color w:val="000000"/>
          <w:sz w:val="20"/>
        </w:rPr>
      </w:pPr>
      <w:r>
        <w:rPr>
          <w:color w:val="000000"/>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Sergio Pena</w:t>
      </w:r>
    </w:p>
    <w:p>
      <w:pPr>
        <w:pStyle w:val="TextBody"/>
        <w:bidi w:val="0"/>
        <w:spacing w:before="47" w:after="283"/>
        <w:jc w:val="left"/>
        <w:rPr>
          <w:rFonts w:ascii="Times New Roman" w:hAnsi="Times New Roman"/>
          <w:color w:val="000000"/>
          <w:sz w:val="20"/>
        </w:rPr>
      </w:pPr>
      <w:r>
        <w:rPr>
          <w:rFonts w:ascii="Times New Roman" w:hAnsi="Times New Roman"/>
          <w:color w:val="000000"/>
          <w:sz w:val="20"/>
        </w:rPr>
        <w:t>Director</w:t>
      </w:r>
    </w:p>
    <w:p>
      <w:pPr>
        <w:pStyle w:val="TextBody"/>
        <w:bidi w:val="0"/>
        <w:spacing w:before="68" w:after="283"/>
        <w:jc w:val="left"/>
        <w:rPr>
          <w:rFonts w:ascii="Times New Roman" w:hAnsi="Times New Roman"/>
          <w:color w:val="000000"/>
          <w:sz w:val="20"/>
        </w:rPr>
      </w:pPr>
      <w:r>
        <w:rPr>
          <w:rFonts w:ascii="Times New Roman" w:hAnsi="Times New Roman"/>
          <w:color w:val="000000"/>
          <w:sz w:val="20"/>
        </w:rPr>
        <w:t>Secondary Rating Analyst</w:t>
      </w:r>
    </w:p>
    <w:p>
      <w:pPr>
        <w:pStyle w:val="TextBody"/>
        <w:bidi w:val="0"/>
        <w:spacing w:before="68" w:after="283"/>
        <w:jc w:val="left"/>
        <w:rPr>
          <w:rFonts w:ascii="Times New Roman" w:hAnsi="Times New Roman"/>
          <w:color w:val="000000"/>
          <w:sz w:val="20"/>
        </w:rPr>
      </w:pPr>
      <w:r>
        <w:rPr>
          <w:rFonts w:ascii="Times New Roman" w:hAnsi="Times New Roman"/>
          <w:color w:val="000000"/>
          <w:sz w:val="20"/>
        </w:rPr>
        <w:t>+57 601 241 3233</w:t>
      </w:r>
    </w:p>
    <w:p>
      <w:pPr>
        <w:pStyle w:val="TextBody"/>
        <w:bidi w:val="0"/>
        <w:spacing w:before="27" w:after="283"/>
        <w:jc w:val="left"/>
        <w:rPr>
          <w:color w:val="000000"/>
          <w:sz w:val="20"/>
        </w:rPr>
      </w:pPr>
      <w:r>
        <w:rPr>
          <w:color w:val="000000"/>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Rolando Martinez</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Senior Director</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Committee Chairperson</w:t>
      </w:r>
    </w:p>
    <w:p>
      <w:pPr>
        <w:pStyle w:val="TextBody"/>
        <w:bidi w:val="0"/>
        <w:spacing w:before="9" w:after="283"/>
        <w:jc w:val="left"/>
        <w:rPr>
          <w:rFonts w:ascii="Times New Roman" w:hAnsi="Times New Roman"/>
          <w:color w:val="000000"/>
          <w:sz w:val="20"/>
        </w:rPr>
      </w:pPr>
      <w:r>
        <w:rPr>
          <w:rFonts w:ascii="Times New Roman" w:hAnsi="Times New Roman"/>
          <w:color w:val="000000"/>
          <w:sz w:val="20"/>
        </w:rPr>
        <w:t>+503 2516 6619</w:t>
      </w:r>
    </w:p>
    <w:p>
      <w:pPr>
        <w:pStyle w:val="TextBody"/>
        <w:bidi w:val="0"/>
        <w:spacing w:before="239" w:after="283"/>
        <w:jc w:val="left"/>
        <w:rPr>
          <w:rFonts w:ascii="Times New Roman" w:hAnsi="Times New Roman"/>
          <w:b/>
          <w:color w:val="000000"/>
          <w:sz w:val="20"/>
        </w:rPr>
      </w:pPr>
      <w:r>
        <w:rPr>
          <w:rFonts w:ascii="Times New Roman" w:hAnsi="Times New Roman"/>
          <w:b/>
          <w:color w:val="000000"/>
          <w:sz w:val="20"/>
        </w:rPr>
        <w:t>Media Contacts</w:t>
      </w:r>
    </w:p>
    <w:p>
      <w:pPr>
        <w:pStyle w:val="TextBody"/>
        <w:bidi w:val="0"/>
        <w:spacing w:before="220" w:after="283"/>
        <w:jc w:val="left"/>
        <w:rPr>
          <w:rFonts w:ascii="Times New Roman" w:hAnsi="Times New Roman"/>
          <w:b/>
          <w:color w:val="000000"/>
          <w:sz w:val="20"/>
        </w:rPr>
      </w:pPr>
      <w:r>
        <w:rPr>
          <w:rFonts w:ascii="Times New Roman" w:hAnsi="Times New Roman"/>
          <w:b/>
          <w:color w:val="000000"/>
          <w:sz w:val="20"/>
        </w:rPr>
        <w:t>Elizabeth Fogerty</w:t>
      </w:r>
    </w:p>
    <w:p>
      <w:pPr>
        <w:pStyle w:val="TextBody"/>
        <w:bidi w:val="0"/>
        <w:spacing w:before="47" w:after="283"/>
        <w:jc w:val="left"/>
        <w:rPr>
          <w:rFonts w:ascii="Times New Roman" w:hAnsi="Times New Roman"/>
          <w:color w:val="000000"/>
          <w:sz w:val="20"/>
        </w:rPr>
      </w:pPr>
      <w:r>
        <w:rPr>
          <w:rFonts w:ascii="Times New Roman" w:hAnsi="Times New Roman"/>
          <w:color w:val="000000"/>
          <w:sz w:val="20"/>
        </w:rPr>
        <w:t>New York</w:t>
      </w:r>
    </w:p>
    <w:p>
      <w:pPr>
        <w:pStyle w:val="TextBody"/>
        <w:bidi w:val="0"/>
        <w:spacing w:before="68" w:after="283"/>
        <w:jc w:val="left"/>
        <w:rPr>
          <w:rFonts w:ascii="Times New Roman" w:hAnsi="Times New Roman"/>
          <w:color w:val="000000"/>
          <w:sz w:val="20"/>
        </w:rPr>
      </w:pPr>
      <w:r>
        <w:rPr>
          <w:rFonts w:ascii="Times New Roman" w:hAnsi="Times New Roman"/>
          <w:color w:val="000000"/>
          <w:sz w:val="20"/>
        </w:rPr>
        <w:t>+1 212 908 0526</w:t>
      </w:r>
    </w:p>
    <w:p>
      <w:pPr>
        <w:pStyle w:val="TextBody"/>
        <w:bidi w:val="0"/>
        <w:spacing w:before="67" w:after="283"/>
        <w:jc w:val="left"/>
        <w:rPr>
          <w:rFonts w:ascii="Times New Roman" w:hAnsi="Times New Roman"/>
          <w:color w:val="000000"/>
          <w:sz w:val="20"/>
        </w:rPr>
      </w:pPr>
      <w:r>
        <w:rPr>
          <w:rFonts w:ascii="Times New Roman" w:hAnsi="Times New Roman"/>
          <w:color w:val="000000"/>
          <w:sz w:val="20"/>
        </w:rPr>
        <w:t>elizabeth.fogerty@thefitchgroup.com</w:t>
      </w:r>
    </w:p>
    <w:p>
      <w:pPr>
        <w:pStyle w:val="TextBody"/>
        <w:bidi w:val="0"/>
        <w:spacing w:before="55" w:after="283"/>
        <w:jc w:val="left"/>
        <w:rPr>
          <w:color w:val="000000"/>
          <w:sz w:val="20"/>
        </w:rPr>
      </w:pPr>
      <w:r>
        <w:rPr>
          <w:color w:val="000000"/>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Rating Actions</w:t>
      </w:r>
    </w:p>
    <w:p>
      <w:pPr>
        <w:pStyle w:val="TextBody"/>
        <w:bidi w:val="0"/>
        <w:spacing w:before="0" w:after="0"/>
        <w:jc w:val="left"/>
        <w:rPr>
          <w:sz w:val="20"/>
        </w:rPr>
      </w:pPr>
      <w:r>
        <w:rPr>
          <w:sz w:val="20"/>
        </w:rPr>
      </w:r>
      <w:bookmarkStart w:id="10" w:name="z8638fbffad8141bf91edf4dd8601352a"/>
      <w:bookmarkStart w:id="11" w:name="z8638fbffad8141bf91edf4dd8601352a"/>
      <w:bookmarkEnd w:id="11"/>
    </w:p>
    <w:tbl>
      <w:tblPr>
        <w:tblW w:w="5325" w:type="dxa"/>
        <w:jc w:val="left"/>
        <w:tblInd w:w="0" w:type="dxa"/>
        <w:tblLayout w:type="fixed"/>
        <w:tblCellMar>
          <w:top w:w="0" w:type="dxa"/>
          <w:left w:w="0" w:type="dxa"/>
          <w:bottom w:w="28" w:type="dxa"/>
          <w:right w:w="0" w:type="dxa"/>
        </w:tblCellMar>
      </w:tblPr>
      <w:tblGrid>
        <w:gridCol w:w="60"/>
        <w:gridCol w:w="1370"/>
        <w:gridCol w:w="785"/>
        <w:gridCol w:w="620"/>
        <w:gridCol w:w="740"/>
        <w:gridCol w:w="1115"/>
        <w:gridCol w:w="635"/>
      </w:tblGrid>
      <w:tr>
        <w:trPr/>
        <w:tc>
          <w:tcPr>
            <w:tcW w:w="60" w:type="dxa"/>
            <w:tcBorders>
              <w:bottom w:val="single" w:sz="12" w:space="0" w:color="000000"/>
            </w:tcBorders>
            <w:vAlign w:val="center"/>
          </w:tcPr>
          <w:p>
            <w:pPr>
              <w:pStyle w:val="TableContents"/>
              <w:bidi w:val="0"/>
              <w:spacing w:before="0" w:after="283"/>
              <w:jc w:val="left"/>
              <w:rPr/>
            </w:pPr>
            <w:r>
              <w:rPr/>
              <w:t> </w:t>
            </w:r>
          </w:p>
        </w:tc>
        <w:tc>
          <w:tcPr>
            <w:tcW w:w="1370" w:type="dxa"/>
            <w:tcBorders>
              <w:bottom w:val="single" w:sz="12" w:space="0" w:color="000000"/>
            </w:tcBorders>
            <w:vAlign w:val="center"/>
          </w:tcPr>
          <w:p>
            <w:pPr>
              <w:pStyle w:val="TableContents"/>
              <w:bidi w:val="0"/>
              <w:spacing w:before="0" w:after="0"/>
              <w:jc w:val="left"/>
              <w:rPr>
                <w:b/>
                <w:sz w:val="20"/>
              </w:rPr>
            </w:pPr>
            <w:r>
              <w:rPr>
                <w:b/>
                <w:sz w:val="20"/>
              </w:rPr>
              <w:t>ENTITY/DEBT</w:t>
            </w:r>
          </w:p>
        </w:tc>
        <w:tc>
          <w:tcPr>
            <w:tcW w:w="785" w:type="dxa"/>
            <w:tcBorders>
              <w:bottom w:val="single" w:sz="12" w:space="0" w:color="000000"/>
            </w:tcBorders>
            <w:vAlign w:val="center"/>
          </w:tcPr>
          <w:p>
            <w:pPr>
              <w:pStyle w:val="TableContents"/>
              <w:bidi w:val="0"/>
              <w:spacing w:before="0" w:after="0"/>
              <w:jc w:val="left"/>
              <w:rPr>
                <w:b/>
                <w:sz w:val="20"/>
              </w:rPr>
            </w:pPr>
            <w:r>
              <w:rPr>
                <w:b/>
                <w:sz w:val="20"/>
              </w:rPr>
              <w:t>RATING</w:t>
            </w:r>
          </w:p>
        </w:tc>
        <w:tc>
          <w:tcPr>
            <w:tcW w:w="620" w:type="dxa"/>
            <w:tcBorders>
              <w:bottom w:val="single" w:sz="12" w:space="0" w:color="000000"/>
            </w:tcBorders>
            <w:vAlign w:val="center"/>
          </w:tcPr>
          <w:p>
            <w:pPr>
              <w:pStyle w:val="TableContents"/>
              <w:bidi w:val="0"/>
              <w:spacing w:before="0" w:after="283"/>
              <w:jc w:val="left"/>
              <w:rPr/>
            </w:pPr>
            <w:r>
              <w:rPr/>
            </w:r>
          </w:p>
        </w:tc>
        <w:tc>
          <w:tcPr>
            <w:tcW w:w="740" w:type="dxa"/>
            <w:tcBorders>
              <w:bottom w:val="single" w:sz="12" w:space="0" w:color="000000"/>
            </w:tcBorders>
            <w:vAlign w:val="center"/>
          </w:tcPr>
          <w:p>
            <w:pPr>
              <w:pStyle w:val="TableContents"/>
              <w:bidi w:val="0"/>
              <w:spacing w:before="0" w:after="283"/>
              <w:jc w:val="left"/>
              <w:rPr/>
            </w:pPr>
            <w:r>
              <w:rPr/>
            </w:r>
          </w:p>
        </w:tc>
        <w:tc>
          <w:tcPr>
            <w:tcW w:w="1115" w:type="dxa"/>
            <w:tcBorders>
              <w:bottom w:val="single" w:sz="12" w:space="0" w:color="000000"/>
            </w:tcBorders>
            <w:vAlign w:val="center"/>
          </w:tcPr>
          <w:p>
            <w:pPr>
              <w:pStyle w:val="TableContents"/>
              <w:bidi w:val="0"/>
              <w:spacing w:before="0" w:after="0"/>
              <w:jc w:val="center"/>
              <w:rPr>
                <w:b/>
                <w:sz w:val="20"/>
              </w:rPr>
            </w:pPr>
            <w:r>
              <w:rPr>
                <w:b/>
                <w:sz w:val="20"/>
              </w:rPr>
              <w:t>RECOVERY</w:t>
            </w:r>
          </w:p>
        </w:tc>
        <w:tc>
          <w:tcPr>
            <w:tcW w:w="635" w:type="dxa"/>
            <w:tcBorders>
              <w:bottom w:val="single" w:sz="12" w:space="0" w:color="000000"/>
            </w:tcBorders>
            <w:vAlign w:val="center"/>
          </w:tcPr>
          <w:p>
            <w:pPr>
              <w:pStyle w:val="TableContents"/>
              <w:bidi w:val="0"/>
              <w:spacing w:before="0" w:after="0"/>
              <w:jc w:val="left"/>
              <w:rPr>
                <w:b/>
                <w:sz w:val="20"/>
              </w:rPr>
            </w:pPr>
            <w:r>
              <w:rPr>
                <w:b/>
                <w:sz w:val="20"/>
              </w:rPr>
              <w:t>PRIOR</w:t>
            </w:r>
          </w:p>
        </w:tc>
      </w:tr>
      <w:tr>
        <w:trPr/>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left"/>
              <w:rPr/>
            </w:pPr>
            <w:r>
              <w:rPr/>
              <w:t> </w:t>
            </w:r>
          </w:p>
        </w:tc>
        <w:tc>
          <w:tcPr>
            <w:tcW w:w="785" w:type="dxa"/>
            <w:tcBorders/>
            <w:tcMar>
              <w:bottom w:w="0" w:type="dxa"/>
            </w:tcMar>
            <w:vAlign w:val="center"/>
          </w:tcPr>
          <w:p>
            <w:pPr>
              <w:pStyle w:val="TableContents"/>
              <w:bidi w:val="0"/>
              <w:spacing w:before="0" w:after="283"/>
              <w:jc w:val="left"/>
              <w:rPr/>
            </w:pPr>
            <w:r>
              <w:rPr/>
              <w:t> </w:t>
            </w:r>
          </w:p>
        </w:tc>
        <w:tc>
          <w:tcPr>
            <w:tcW w:w="620" w:type="dxa"/>
            <w:tcBorders/>
            <w:tcMar>
              <w:bottom w:w="0" w:type="dxa"/>
            </w:tcMar>
            <w:vAlign w:val="center"/>
          </w:tcPr>
          <w:p>
            <w:pPr>
              <w:pStyle w:val="TableContents"/>
              <w:bidi w:val="0"/>
              <w:spacing w:before="0" w:after="283"/>
              <w:jc w:val="left"/>
              <w:rPr/>
            </w:pPr>
            <w:r>
              <w:rPr/>
              <w:t> </w:t>
            </w:r>
          </w:p>
        </w:tc>
        <w:tc>
          <w:tcPr>
            <w:tcW w:w="740" w:type="dxa"/>
            <w:tcBorders/>
            <w:tcMar>
              <w:bottom w:w="0" w:type="dxa"/>
            </w:tcMar>
            <w:vAlign w:val="center"/>
          </w:tcPr>
          <w:p>
            <w:pPr>
              <w:pStyle w:val="TableContents"/>
              <w:bidi w:val="0"/>
              <w:spacing w:before="0" w:after="283"/>
              <w:jc w:val="left"/>
              <w:rPr/>
            </w:pPr>
            <w:r>
              <w:rPr/>
              <w:t> </w:t>
            </w:r>
          </w:p>
        </w:tc>
        <w:tc>
          <w:tcPr>
            <w:tcW w:w="1115" w:type="dxa"/>
            <w:tcBorders/>
            <w:tcMar>
              <w:bottom w:w="0" w:type="dxa"/>
            </w:tcMar>
            <w:vAlign w:val="center"/>
          </w:tcPr>
          <w:p>
            <w:pPr>
              <w:pStyle w:val="TableContents"/>
              <w:bidi w:val="0"/>
              <w:spacing w:before="0" w:after="283"/>
              <w:jc w:val="left"/>
              <w:rPr/>
            </w:pPr>
            <w:r>
              <w:rPr/>
              <w:t> </w:t>
            </w:r>
          </w:p>
        </w:tc>
        <w:tc>
          <w:tcPr>
            <w:tcW w:w="635" w:type="dxa"/>
            <w:tcBorders/>
            <w:tcMar>
              <w:bottom w:w="0" w:type="dxa"/>
            </w:tcMar>
            <w:vAlign w:val="center"/>
          </w:tcPr>
          <w:p>
            <w:pPr>
              <w:pStyle w:val="TableContents"/>
              <w:bidi w:val="0"/>
              <w:spacing w:before="0" w:after="283"/>
              <w:jc w:val="left"/>
              <w:rPr/>
            </w:pPr>
            <w:r>
              <w:rPr/>
              <w:t> </w:t>
            </w:r>
          </w:p>
        </w:tc>
      </w:tr>
      <w:tr>
        <w:trPr/>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0"/>
              <w:jc w:val="left"/>
              <w:rPr>
                <w:sz w:val="20"/>
              </w:rPr>
            </w:pPr>
            <w:r>
              <w:rPr>
                <w:sz w:val="20"/>
              </w:rPr>
              <w:t>Credicorp</w:t>
            </w:r>
          </w:p>
          <w:p>
            <w:pPr>
              <w:pStyle w:val="TableContents"/>
              <w:bidi w:val="0"/>
              <w:spacing w:before="0" w:after="0"/>
              <w:jc w:val="left"/>
              <w:rPr>
                <w:sz w:val="20"/>
              </w:rPr>
            </w:pPr>
            <w:r>
              <w:rPr>
                <w:sz w:val="20"/>
              </w:rPr>
              <w:t>Ltd.</w:t>
            </w:r>
          </w:p>
        </w:tc>
        <w:tc>
          <w:tcPr>
            <w:tcW w:w="785" w:type="dxa"/>
            <w:tcBorders/>
            <w:tcMar>
              <w:bottom w:w="0" w:type="dxa"/>
            </w:tcMar>
            <w:vAlign w:val="center"/>
          </w:tcPr>
          <w:p>
            <w:pPr>
              <w:pStyle w:val="TableContents"/>
              <w:bidi w:val="0"/>
              <w:spacing w:before="0" w:after="0"/>
              <w:jc w:val="left"/>
              <w:rPr>
                <w:sz w:val="20"/>
              </w:rPr>
            </w:pPr>
            <w:r>
              <w:rPr>
                <w:sz w:val="20"/>
              </w:rPr>
              <w:t>LT IDR</w:t>
            </w:r>
          </w:p>
        </w:tc>
        <w:tc>
          <w:tcPr>
            <w:tcW w:w="620" w:type="dxa"/>
            <w:tcBorders/>
            <w:tcMar>
              <w:bottom w:w="0" w:type="dxa"/>
            </w:tcMar>
            <w:vAlign w:val="center"/>
          </w:tcPr>
          <w:p>
            <w:pPr>
              <w:pStyle w:val="TableContents"/>
              <w:bidi w:val="0"/>
              <w:spacing w:before="0" w:after="0"/>
              <w:jc w:val="left"/>
              <w:rPr>
                <w:sz w:val="20"/>
              </w:rPr>
            </w:pPr>
            <w:r>
              <w:rPr>
                <w:sz w:val="20"/>
              </w:rPr>
              <w:t xml:space="preserve">BBB </w:t>
            </w:r>
            <w:r>
              <w:rPr>
                <w:sz w:val="20"/>
              </w:rPr>
              <w:drawing>
                <wp:inline distT="0" distB="0" distL="0" distR="0">
                  <wp:extent cx="95250" cy="952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5250" cy="95250"/>
                          </a:xfrm>
                          <a:prstGeom prst="rect">
                            <a:avLst/>
                          </a:prstGeom>
                        </pic:spPr>
                      </pic:pic>
                    </a:graphicData>
                  </a:graphic>
                </wp:inline>
              </w:drawing>
            </w:r>
          </w:p>
        </w:tc>
        <w:tc>
          <w:tcPr>
            <w:tcW w:w="740" w:type="dxa"/>
            <w:tcBorders/>
            <w:tcMar>
              <w:bottom w:w="0" w:type="dxa"/>
            </w:tcMar>
            <w:vAlign w:val="center"/>
          </w:tcPr>
          <w:p>
            <w:pPr>
              <w:pStyle w:val="TableContents"/>
              <w:bidi w:val="0"/>
              <w:spacing w:before="0" w:after="0"/>
              <w:jc w:val="left"/>
              <w:rPr>
                <w:sz w:val="20"/>
              </w:rPr>
            </w:pPr>
            <w:r>
              <w:rPr>
                <w:sz w:val="20"/>
              </w:rPr>
              <w:t>Affirmed</w:t>
            </w:r>
          </w:p>
        </w:tc>
        <w:tc>
          <w:tcPr>
            <w:tcW w:w="1115" w:type="dxa"/>
            <w:tcBorders/>
            <w:tcMar>
              <w:bottom w:w="0" w:type="dxa"/>
            </w:tcMar>
            <w:vAlign w:val="center"/>
          </w:tcPr>
          <w:p>
            <w:pPr>
              <w:pStyle w:val="TableContents"/>
              <w:bidi w:val="0"/>
              <w:spacing w:before="0" w:after="283"/>
              <w:jc w:val="left"/>
              <w:rPr/>
            </w:pPr>
            <w:r>
              <w:rPr/>
              <w:t> </w:t>
            </w:r>
          </w:p>
        </w:tc>
        <w:tc>
          <w:tcPr>
            <w:tcW w:w="635" w:type="dxa"/>
            <w:tcBorders/>
            <w:tcMar>
              <w:bottom w:w="0" w:type="dxa"/>
            </w:tcMar>
            <w:vAlign w:val="center"/>
          </w:tcPr>
          <w:p>
            <w:pPr>
              <w:pStyle w:val="TableContents"/>
              <w:bidi w:val="0"/>
              <w:spacing w:before="0" w:after="0"/>
              <w:jc w:val="left"/>
              <w:rPr>
                <w:sz w:val="20"/>
              </w:rPr>
            </w:pPr>
            <w:r>
              <w:rPr>
                <w:sz w:val="20"/>
              </w:rPr>
              <w:t xml:space="preserve">BBB </w:t>
            </w:r>
            <w:r>
              <w:rPr>
                <w:sz w:val="20"/>
              </w:rPr>
              <w:drawing>
                <wp:inline distT="0" distB="0" distL="0" distR="0">
                  <wp:extent cx="95250" cy="952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5250" cy="95250"/>
                          </a:xfrm>
                          <a:prstGeom prst="rect">
                            <a:avLst/>
                          </a:prstGeom>
                        </pic:spPr>
                      </pic:pic>
                    </a:graphicData>
                  </a:graphic>
                </wp:inline>
              </w:drawing>
            </w:r>
          </w:p>
        </w:tc>
      </w:tr>
      <w:tr>
        <w:trPr/>
        <w:tc>
          <w:tcPr>
            <w:tcW w:w="60" w:type="dxa"/>
            <w:tcBorders>
              <w:bottom w:val="single" w:sz="12" w:space="0" w:color="000000"/>
            </w:tcBorders>
            <w:vAlign w:val="center"/>
          </w:tcPr>
          <w:p>
            <w:pPr>
              <w:pStyle w:val="TableContents"/>
              <w:bidi w:val="0"/>
              <w:spacing w:before="0" w:after="283"/>
              <w:jc w:val="left"/>
              <w:rPr/>
            </w:pPr>
            <w:r>
              <w:rPr/>
              <w:t> </w:t>
            </w:r>
          </w:p>
        </w:tc>
        <w:tc>
          <w:tcPr>
            <w:tcW w:w="1370" w:type="dxa"/>
            <w:tcBorders>
              <w:bottom w:val="single" w:sz="12" w:space="0" w:color="000000"/>
            </w:tcBorders>
            <w:vAlign w:val="center"/>
          </w:tcPr>
          <w:p>
            <w:pPr>
              <w:pStyle w:val="TableContents"/>
              <w:bidi w:val="0"/>
              <w:spacing w:before="0" w:after="283"/>
              <w:jc w:val="left"/>
              <w:rPr/>
            </w:pPr>
            <w:r>
              <w:rPr/>
              <w:t> </w:t>
            </w:r>
          </w:p>
        </w:tc>
        <w:tc>
          <w:tcPr>
            <w:tcW w:w="785" w:type="dxa"/>
            <w:tcBorders>
              <w:bottom w:val="single" w:sz="12" w:space="0" w:color="000000"/>
            </w:tcBorders>
            <w:vAlign w:val="center"/>
          </w:tcPr>
          <w:p>
            <w:pPr>
              <w:pStyle w:val="TableContents"/>
              <w:bidi w:val="0"/>
              <w:spacing w:before="0" w:after="283"/>
              <w:jc w:val="left"/>
              <w:rPr/>
            </w:pPr>
            <w:r>
              <w:rPr/>
              <w:t> </w:t>
            </w:r>
          </w:p>
        </w:tc>
        <w:tc>
          <w:tcPr>
            <w:tcW w:w="620" w:type="dxa"/>
            <w:tcBorders>
              <w:bottom w:val="single" w:sz="12" w:space="0" w:color="000000"/>
            </w:tcBorders>
            <w:vAlign w:val="center"/>
          </w:tcPr>
          <w:p>
            <w:pPr>
              <w:pStyle w:val="TableContents"/>
              <w:bidi w:val="0"/>
              <w:spacing w:before="0" w:after="283"/>
              <w:jc w:val="left"/>
              <w:rPr/>
            </w:pPr>
            <w:r>
              <w:rPr/>
              <w:t> </w:t>
            </w:r>
          </w:p>
        </w:tc>
        <w:tc>
          <w:tcPr>
            <w:tcW w:w="740" w:type="dxa"/>
            <w:tcBorders>
              <w:bottom w:val="single" w:sz="12" w:space="0" w:color="000000"/>
            </w:tcBorders>
            <w:vAlign w:val="center"/>
          </w:tcPr>
          <w:p>
            <w:pPr>
              <w:pStyle w:val="TableContents"/>
              <w:bidi w:val="0"/>
              <w:spacing w:before="0" w:after="283"/>
              <w:jc w:val="left"/>
              <w:rPr/>
            </w:pPr>
            <w:r>
              <w:rPr/>
              <w:t> </w:t>
            </w:r>
          </w:p>
        </w:tc>
        <w:tc>
          <w:tcPr>
            <w:tcW w:w="1115" w:type="dxa"/>
            <w:tcBorders>
              <w:bottom w:val="single" w:sz="12" w:space="0" w:color="000000"/>
            </w:tcBorders>
            <w:vAlign w:val="center"/>
          </w:tcPr>
          <w:p>
            <w:pPr>
              <w:pStyle w:val="TableContents"/>
              <w:bidi w:val="0"/>
              <w:spacing w:before="0" w:after="283"/>
              <w:jc w:val="left"/>
              <w:rPr/>
            </w:pPr>
            <w:r>
              <w:rPr/>
              <w:t> </w:t>
            </w:r>
          </w:p>
        </w:tc>
        <w:tc>
          <w:tcPr>
            <w:tcW w:w="635" w:type="dxa"/>
            <w:tcBorders>
              <w:bottom w:val="single" w:sz="12" w:space="0" w:color="000000"/>
            </w:tcBorders>
            <w:vAlign w:val="center"/>
          </w:tcPr>
          <w:p>
            <w:pPr>
              <w:pStyle w:val="TableContents"/>
              <w:bidi w:val="0"/>
              <w:spacing w:before="0" w:after="283"/>
              <w:jc w:val="left"/>
              <w:rPr/>
            </w:pPr>
            <w:r>
              <w:rPr/>
              <w:t> </w:t>
            </w:r>
          </w:p>
        </w:tc>
      </w:tr>
      <w:tr>
        <w:trPr/>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left"/>
              <w:rPr/>
            </w:pPr>
            <w:r>
              <w:rPr/>
              <w:t> </w:t>
            </w:r>
          </w:p>
        </w:tc>
        <w:tc>
          <w:tcPr>
            <w:tcW w:w="785" w:type="dxa"/>
            <w:tcBorders/>
            <w:tcMar>
              <w:bottom w:w="0" w:type="dxa"/>
            </w:tcMar>
            <w:vAlign w:val="center"/>
          </w:tcPr>
          <w:p>
            <w:pPr>
              <w:pStyle w:val="TableContents"/>
              <w:bidi w:val="0"/>
              <w:spacing w:before="0" w:after="283"/>
              <w:jc w:val="left"/>
              <w:rPr/>
            </w:pPr>
            <w:r>
              <w:rPr/>
              <w:t> </w:t>
            </w:r>
          </w:p>
        </w:tc>
        <w:tc>
          <w:tcPr>
            <w:tcW w:w="620" w:type="dxa"/>
            <w:tcBorders/>
            <w:tcMar>
              <w:bottom w:w="0" w:type="dxa"/>
            </w:tcMar>
            <w:vAlign w:val="center"/>
          </w:tcPr>
          <w:p>
            <w:pPr>
              <w:pStyle w:val="TableContents"/>
              <w:bidi w:val="0"/>
              <w:spacing w:before="0" w:after="283"/>
              <w:jc w:val="left"/>
              <w:rPr/>
            </w:pPr>
            <w:r>
              <w:rPr/>
              <w:t> </w:t>
            </w:r>
          </w:p>
        </w:tc>
        <w:tc>
          <w:tcPr>
            <w:tcW w:w="740" w:type="dxa"/>
            <w:tcBorders/>
            <w:tcMar>
              <w:bottom w:w="0" w:type="dxa"/>
            </w:tcMar>
            <w:vAlign w:val="center"/>
          </w:tcPr>
          <w:p>
            <w:pPr>
              <w:pStyle w:val="TableContents"/>
              <w:bidi w:val="0"/>
              <w:spacing w:before="0" w:after="283"/>
              <w:jc w:val="left"/>
              <w:rPr/>
            </w:pPr>
            <w:r>
              <w:rPr/>
              <w:t> </w:t>
            </w:r>
          </w:p>
        </w:tc>
        <w:tc>
          <w:tcPr>
            <w:tcW w:w="1115" w:type="dxa"/>
            <w:tcBorders/>
            <w:tcMar>
              <w:bottom w:w="0" w:type="dxa"/>
            </w:tcMar>
            <w:vAlign w:val="center"/>
          </w:tcPr>
          <w:p>
            <w:pPr>
              <w:pStyle w:val="TableContents"/>
              <w:bidi w:val="0"/>
              <w:spacing w:before="0" w:after="283"/>
              <w:jc w:val="left"/>
              <w:rPr/>
            </w:pPr>
            <w:r>
              <w:rPr/>
              <w:t> </w:t>
            </w:r>
          </w:p>
        </w:tc>
        <w:tc>
          <w:tcPr>
            <w:tcW w:w="635" w:type="dxa"/>
            <w:tcBorders/>
            <w:tcMar>
              <w:bottom w:w="0" w:type="dxa"/>
            </w:tcMar>
            <w:vAlign w:val="center"/>
          </w:tcPr>
          <w:p>
            <w:pPr>
              <w:pStyle w:val="TableContents"/>
              <w:bidi w:val="0"/>
              <w:spacing w:before="0" w:after="283"/>
              <w:jc w:val="left"/>
              <w:rPr/>
            </w:pPr>
            <w:r>
              <w:rPr/>
              <w:t> </w:t>
            </w:r>
          </w:p>
        </w:tc>
      </w:tr>
      <w:tr>
        <w:trPr/>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left"/>
              <w:rPr/>
            </w:pPr>
            <w:r>
              <w:rPr/>
              <w:t> </w:t>
            </w:r>
          </w:p>
        </w:tc>
        <w:tc>
          <w:tcPr>
            <w:tcW w:w="785" w:type="dxa"/>
            <w:tcBorders/>
            <w:tcMar>
              <w:bottom w:w="0" w:type="dxa"/>
            </w:tcMar>
            <w:vAlign w:val="center"/>
          </w:tcPr>
          <w:p>
            <w:pPr>
              <w:pStyle w:val="TableContents"/>
              <w:bidi w:val="0"/>
              <w:spacing w:before="0" w:after="0"/>
              <w:jc w:val="left"/>
              <w:rPr>
                <w:sz w:val="20"/>
              </w:rPr>
            </w:pPr>
            <w:r>
              <w:rPr>
                <w:sz w:val="20"/>
              </w:rPr>
              <w:t>ST IDR</w:t>
            </w:r>
          </w:p>
        </w:tc>
        <w:tc>
          <w:tcPr>
            <w:tcW w:w="620" w:type="dxa"/>
            <w:tcBorders/>
            <w:tcMar>
              <w:bottom w:w="0" w:type="dxa"/>
            </w:tcMar>
            <w:vAlign w:val="center"/>
          </w:tcPr>
          <w:p>
            <w:pPr>
              <w:pStyle w:val="TableContents"/>
              <w:bidi w:val="0"/>
              <w:spacing w:before="0" w:after="0"/>
              <w:jc w:val="left"/>
              <w:rPr>
                <w:sz w:val="20"/>
              </w:rPr>
            </w:pPr>
            <w:r>
              <w:rPr>
                <w:sz w:val="20"/>
              </w:rPr>
              <w:t>F2</w:t>
            </w:r>
          </w:p>
        </w:tc>
        <w:tc>
          <w:tcPr>
            <w:tcW w:w="740" w:type="dxa"/>
            <w:tcBorders/>
            <w:tcMar>
              <w:bottom w:w="0" w:type="dxa"/>
            </w:tcMar>
            <w:vAlign w:val="center"/>
          </w:tcPr>
          <w:p>
            <w:pPr>
              <w:pStyle w:val="TableContents"/>
              <w:bidi w:val="0"/>
              <w:spacing w:before="0" w:after="0"/>
              <w:jc w:val="left"/>
              <w:rPr>
                <w:sz w:val="20"/>
              </w:rPr>
            </w:pPr>
            <w:r>
              <w:rPr>
                <w:sz w:val="20"/>
              </w:rPr>
              <w:t>Affirmed</w:t>
            </w:r>
          </w:p>
        </w:tc>
        <w:tc>
          <w:tcPr>
            <w:tcW w:w="1115" w:type="dxa"/>
            <w:tcBorders/>
            <w:tcMar>
              <w:bottom w:w="0" w:type="dxa"/>
            </w:tcMar>
            <w:vAlign w:val="center"/>
          </w:tcPr>
          <w:p>
            <w:pPr>
              <w:pStyle w:val="TableContents"/>
              <w:bidi w:val="0"/>
              <w:spacing w:before="0" w:after="283"/>
              <w:jc w:val="left"/>
              <w:rPr/>
            </w:pPr>
            <w:r>
              <w:rPr/>
              <w:t> </w:t>
            </w:r>
          </w:p>
        </w:tc>
        <w:tc>
          <w:tcPr>
            <w:tcW w:w="635" w:type="dxa"/>
            <w:tcBorders/>
            <w:tcMar>
              <w:bottom w:w="0" w:type="dxa"/>
            </w:tcMar>
            <w:vAlign w:val="center"/>
          </w:tcPr>
          <w:p>
            <w:pPr>
              <w:pStyle w:val="TableContents"/>
              <w:bidi w:val="0"/>
              <w:spacing w:before="0" w:after="0"/>
              <w:jc w:val="left"/>
              <w:rPr>
                <w:sz w:val="20"/>
              </w:rPr>
            </w:pPr>
            <w:r>
              <w:rPr>
                <w:sz w:val="20"/>
              </w:rPr>
              <w:t>F2</w:t>
            </w:r>
          </w:p>
        </w:tc>
      </w:tr>
      <w:tr>
        <w:trPr/>
        <w:tc>
          <w:tcPr>
            <w:tcW w:w="60" w:type="dxa"/>
            <w:tcBorders>
              <w:bottom w:val="single" w:sz="12" w:space="0" w:color="000000"/>
            </w:tcBorders>
            <w:vAlign w:val="center"/>
          </w:tcPr>
          <w:p>
            <w:pPr>
              <w:pStyle w:val="TableContents"/>
              <w:bidi w:val="0"/>
              <w:spacing w:before="0" w:after="283"/>
              <w:jc w:val="left"/>
              <w:rPr/>
            </w:pPr>
            <w:r>
              <w:rPr/>
              <w:t> </w:t>
            </w:r>
          </w:p>
        </w:tc>
        <w:tc>
          <w:tcPr>
            <w:tcW w:w="1370" w:type="dxa"/>
            <w:tcBorders>
              <w:bottom w:val="single" w:sz="12" w:space="0" w:color="000000"/>
            </w:tcBorders>
            <w:vAlign w:val="center"/>
          </w:tcPr>
          <w:p>
            <w:pPr>
              <w:pStyle w:val="TableContents"/>
              <w:bidi w:val="0"/>
              <w:spacing w:before="0" w:after="283"/>
              <w:jc w:val="left"/>
              <w:rPr/>
            </w:pPr>
            <w:r>
              <w:rPr/>
              <w:t> </w:t>
            </w:r>
          </w:p>
        </w:tc>
        <w:tc>
          <w:tcPr>
            <w:tcW w:w="785" w:type="dxa"/>
            <w:tcBorders>
              <w:bottom w:val="single" w:sz="12" w:space="0" w:color="000000"/>
            </w:tcBorders>
            <w:vAlign w:val="center"/>
          </w:tcPr>
          <w:p>
            <w:pPr>
              <w:pStyle w:val="TableContents"/>
              <w:bidi w:val="0"/>
              <w:spacing w:before="0" w:after="283"/>
              <w:jc w:val="left"/>
              <w:rPr/>
            </w:pPr>
            <w:r>
              <w:rPr/>
              <w:t> </w:t>
            </w:r>
          </w:p>
        </w:tc>
        <w:tc>
          <w:tcPr>
            <w:tcW w:w="620" w:type="dxa"/>
            <w:tcBorders>
              <w:bottom w:val="single" w:sz="12" w:space="0" w:color="000000"/>
            </w:tcBorders>
            <w:vAlign w:val="center"/>
          </w:tcPr>
          <w:p>
            <w:pPr>
              <w:pStyle w:val="TableContents"/>
              <w:bidi w:val="0"/>
              <w:spacing w:before="0" w:after="283"/>
              <w:jc w:val="left"/>
              <w:rPr/>
            </w:pPr>
            <w:r>
              <w:rPr/>
              <w:t> </w:t>
            </w:r>
          </w:p>
        </w:tc>
        <w:tc>
          <w:tcPr>
            <w:tcW w:w="740" w:type="dxa"/>
            <w:tcBorders>
              <w:bottom w:val="single" w:sz="12" w:space="0" w:color="000000"/>
            </w:tcBorders>
            <w:vAlign w:val="center"/>
          </w:tcPr>
          <w:p>
            <w:pPr>
              <w:pStyle w:val="TableContents"/>
              <w:bidi w:val="0"/>
              <w:spacing w:before="0" w:after="283"/>
              <w:jc w:val="left"/>
              <w:rPr/>
            </w:pPr>
            <w:r>
              <w:rPr/>
              <w:t> </w:t>
            </w:r>
          </w:p>
        </w:tc>
        <w:tc>
          <w:tcPr>
            <w:tcW w:w="1115" w:type="dxa"/>
            <w:tcBorders>
              <w:bottom w:val="single" w:sz="12" w:space="0" w:color="000000"/>
            </w:tcBorders>
            <w:vAlign w:val="center"/>
          </w:tcPr>
          <w:p>
            <w:pPr>
              <w:pStyle w:val="TableContents"/>
              <w:bidi w:val="0"/>
              <w:spacing w:before="0" w:after="283"/>
              <w:jc w:val="left"/>
              <w:rPr/>
            </w:pPr>
            <w:r>
              <w:rPr/>
              <w:t> </w:t>
            </w:r>
          </w:p>
        </w:tc>
        <w:tc>
          <w:tcPr>
            <w:tcW w:w="635" w:type="dxa"/>
            <w:tcBorders>
              <w:bottom w:val="single" w:sz="12" w:space="0" w:color="000000"/>
            </w:tcBorders>
            <w:vAlign w:val="center"/>
          </w:tcPr>
          <w:p>
            <w:pPr>
              <w:pStyle w:val="TableContents"/>
              <w:bidi w:val="0"/>
              <w:spacing w:before="0" w:after="283"/>
              <w:jc w:val="left"/>
              <w:rPr/>
            </w:pPr>
            <w:r>
              <w:rPr/>
              <w:t> </w:t>
            </w:r>
          </w:p>
        </w:tc>
      </w:tr>
      <w:tr>
        <w:trPr/>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left"/>
              <w:rPr/>
            </w:pPr>
            <w:r>
              <w:rPr/>
              <w:t> </w:t>
            </w:r>
          </w:p>
        </w:tc>
        <w:tc>
          <w:tcPr>
            <w:tcW w:w="785" w:type="dxa"/>
            <w:tcBorders/>
            <w:tcMar>
              <w:bottom w:w="0" w:type="dxa"/>
            </w:tcMar>
            <w:vAlign w:val="center"/>
          </w:tcPr>
          <w:p>
            <w:pPr>
              <w:pStyle w:val="TableContents"/>
              <w:bidi w:val="0"/>
              <w:spacing w:before="0" w:after="283"/>
              <w:jc w:val="left"/>
              <w:rPr/>
            </w:pPr>
            <w:r>
              <w:rPr/>
              <w:t> </w:t>
            </w:r>
          </w:p>
        </w:tc>
        <w:tc>
          <w:tcPr>
            <w:tcW w:w="620" w:type="dxa"/>
            <w:tcBorders/>
            <w:tcMar>
              <w:bottom w:w="0" w:type="dxa"/>
            </w:tcMar>
            <w:vAlign w:val="center"/>
          </w:tcPr>
          <w:p>
            <w:pPr>
              <w:pStyle w:val="TableContents"/>
              <w:bidi w:val="0"/>
              <w:spacing w:before="0" w:after="283"/>
              <w:jc w:val="left"/>
              <w:rPr/>
            </w:pPr>
            <w:r>
              <w:rPr/>
              <w:t> </w:t>
            </w:r>
          </w:p>
        </w:tc>
        <w:tc>
          <w:tcPr>
            <w:tcW w:w="740" w:type="dxa"/>
            <w:tcBorders/>
            <w:tcMar>
              <w:bottom w:w="0" w:type="dxa"/>
            </w:tcMar>
            <w:vAlign w:val="center"/>
          </w:tcPr>
          <w:p>
            <w:pPr>
              <w:pStyle w:val="TableContents"/>
              <w:bidi w:val="0"/>
              <w:spacing w:before="0" w:after="283"/>
              <w:jc w:val="left"/>
              <w:rPr/>
            </w:pPr>
            <w:r>
              <w:rPr/>
              <w:t> </w:t>
            </w:r>
          </w:p>
        </w:tc>
        <w:tc>
          <w:tcPr>
            <w:tcW w:w="1115" w:type="dxa"/>
            <w:tcBorders/>
            <w:tcMar>
              <w:bottom w:w="0" w:type="dxa"/>
            </w:tcMar>
            <w:vAlign w:val="center"/>
          </w:tcPr>
          <w:p>
            <w:pPr>
              <w:pStyle w:val="TableContents"/>
              <w:bidi w:val="0"/>
              <w:spacing w:before="0" w:after="283"/>
              <w:jc w:val="left"/>
              <w:rPr/>
            </w:pPr>
            <w:r>
              <w:rPr/>
              <w:t> </w:t>
            </w:r>
          </w:p>
        </w:tc>
        <w:tc>
          <w:tcPr>
            <w:tcW w:w="635" w:type="dxa"/>
            <w:tcBorders/>
            <w:tcMar>
              <w:bottom w:w="0" w:type="dxa"/>
            </w:tcMar>
            <w:vAlign w:val="center"/>
          </w:tcPr>
          <w:p>
            <w:pPr>
              <w:pStyle w:val="TableContents"/>
              <w:bidi w:val="0"/>
              <w:spacing w:before="0" w:after="283"/>
              <w:jc w:val="left"/>
              <w:rPr/>
            </w:pPr>
            <w:r>
              <w:rPr/>
              <w:t> </w:t>
            </w:r>
          </w:p>
        </w:tc>
      </w:tr>
      <w:tr>
        <w:trPr/>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0"/>
              <w:ind w:left="900" w:right="0" w:hanging="720"/>
              <w:jc w:val="left"/>
              <w:rPr/>
            </w:pPr>
            <w:r>
              <w:rPr/>
              <w:t xml:space="preserve">•  </w:t>
            </w:r>
            <w:r>
              <w:rPr>
                <w:sz w:val="20"/>
              </w:rPr>
              <w:t>senior</w:t>
            </w:r>
          </w:p>
          <w:p>
            <w:pPr>
              <w:pStyle w:val="TableContents"/>
              <w:bidi w:val="0"/>
              <w:spacing w:before="0" w:after="0"/>
              <w:ind w:left="1260" w:right="0" w:hanging="900"/>
              <w:jc w:val="left"/>
              <w:rPr>
                <w:sz w:val="20"/>
              </w:rPr>
            </w:pPr>
            <w:r>
              <w:rPr>
                <w:sz w:val="20"/>
              </w:rPr>
              <w:t>unsecured</w:t>
            </w:r>
          </w:p>
        </w:tc>
        <w:tc>
          <w:tcPr>
            <w:tcW w:w="785" w:type="dxa"/>
            <w:tcBorders/>
            <w:tcMar>
              <w:bottom w:w="0" w:type="dxa"/>
            </w:tcMar>
            <w:vAlign w:val="center"/>
          </w:tcPr>
          <w:p>
            <w:pPr>
              <w:pStyle w:val="TableContents"/>
              <w:bidi w:val="0"/>
              <w:spacing w:before="0" w:after="160"/>
              <w:jc w:val="left"/>
              <w:rPr>
                <w:sz w:val="20"/>
              </w:rPr>
            </w:pPr>
            <w:r>
              <w:rPr>
                <w:sz w:val="20"/>
              </w:rPr>
              <w:t>LT</w:t>
            </w:r>
          </w:p>
        </w:tc>
        <w:tc>
          <w:tcPr>
            <w:tcW w:w="620" w:type="dxa"/>
            <w:tcBorders/>
            <w:tcMar>
              <w:bottom w:w="0" w:type="dxa"/>
            </w:tcMar>
            <w:vAlign w:val="center"/>
          </w:tcPr>
          <w:p>
            <w:pPr>
              <w:pStyle w:val="TableContents"/>
              <w:bidi w:val="0"/>
              <w:spacing w:before="0" w:after="160"/>
              <w:jc w:val="left"/>
              <w:rPr>
                <w:sz w:val="20"/>
              </w:rPr>
            </w:pPr>
            <w:r>
              <w:rPr>
                <w:sz w:val="20"/>
              </w:rPr>
              <w:t>BBB</w:t>
            </w:r>
          </w:p>
        </w:tc>
        <w:tc>
          <w:tcPr>
            <w:tcW w:w="740" w:type="dxa"/>
            <w:tcBorders/>
            <w:tcMar>
              <w:bottom w:w="0" w:type="dxa"/>
            </w:tcMar>
            <w:vAlign w:val="center"/>
          </w:tcPr>
          <w:p>
            <w:pPr>
              <w:pStyle w:val="TableContents"/>
              <w:bidi w:val="0"/>
              <w:spacing w:before="0" w:after="160"/>
              <w:jc w:val="left"/>
              <w:rPr>
                <w:sz w:val="20"/>
              </w:rPr>
            </w:pPr>
            <w:r>
              <w:rPr>
                <w:sz w:val="20"/>
              </w:rPr>
              <w:t>Affirmed</w:t>
            </w:r>
          </w:p>
        </w:tc>
        <w:tc>
          <w:tcPr>
            <w:tcW w:w="1115" w:type="dxa"/>
            <w:tcBorders/>
            <w:tcMar>
              <w:bottom w:w="0" w:type="dxa"/>
            </w:tcMar>
            <w:vAlign w:val="center"/>
          </w:tcPr>
          <w:p>
            <w:pPr>
              <w:pStyle w:val="TableContents"/>
              <w:bidi w:val="0"/>
              <w:spacing w:before="0" w:after="283"/>
              <w:jc w:val="left"/>
              <w:rPr/>
            </w:pPr>
            <w:r>
              <w:rPr/>
              <w:t> </w:t>
            </w:r>
          </w:p>
        </w:tc>
        <w:tc>
          <w:tcPr>
            <w:tcW w:w="635" w:type="dxa"/>
            <w:tcBorders/>
            <w:tcMar>
              <w:bottom w:w="0" w:type="dxa"/>
            </w:tcMar>
            <w:vAlign w:val="center"/>
          </w:tcPr>
          <w:p>
            <w:pPr>
              <w:pStyle w:val="TableContents"/>
              <w:bidi w:val="0"/>
              <w:spacing w:before="0" w:after="160"/>
              <w:jc w:val="left"/>
              <w:rPr>
                <w:sz w:val="20"/>
              </w:rPr>
            </w:pPr>
            <w:r>
              <w:rPr>
                <w:sz w:val="20"/>
              </w:rPr>
              <w:t>BBB</w:t>
            </w:r>
          </w:p>
        </w:tc>
      </w:tr>
      <w:tr>
        <w:trPr/>
        <w:tc>
          <w:tcPr>
            <w:tcW w:w="60" w:type="dxa"/>
            <w:tcBorders>
              <w:bottom w:val="single" w:sz="12" w:space="0" w:color="000000"/>
            </w:tcBorders>
            <w:vAlign w:val="center"/>
          </w:tcPr>
          <w:p>
            <w:pPr>
              <w:pStyle w:val="TableContents"/>
              <w:bidi w:val="0"/>
              <w:spacing w:before="0" w:after="283"/>
              <w:jc w:val="left"/>
              <w:rPr/>
            </w:pPr>
            <w:r>
              <w:rPr/>
              <w:t> </w:t>
            </w:r>
          </w:p>
        </w:tc>
        <w:tc>
          <w:tcPr>
            <w:tcW w:w="1370" w:type="dxa"/>
            <w:tcBorders>
              <w:bottom w:val="single" w:sz="12" w:space="0" w:color="000000"/>
            </w:tcBorders>
            <w:vAlign w:val="center"/>
          </w:tcPr>
          <w:p>
            <w:pPr>
              <w:pStyle w:val="TableContents"/>
              <w:bidi w:val="0"/>
              <w:spacing w:before="0" w:after="283"/>
              <w:jc w:val="left"/>
              <w:rPr/>
            </w:pPr>
            <w:r>
              <w:rPr/>
              <w:t> </w:t>
            </w:r>
          </w:p>
        </w:tc>
        <w:tc>
          <w:tcPr>
            <w:tcW w:w="785" w:type="dxa"/>
            <w:tcBorders>
              <w:bottom w:val="single" w:sz="12" w:space="0" w:color="000000"/>
            </w:tcBorders>
            <w:vAlign w:val="center"/>
          </w:tcPr>
          <w:p>
            <w:pPr>
              <w:pStyle w:val="TableContents"/>
              <w:bidi w:val="0"/>
              <w:spacing w:before="0" w:after="283"/>
              <w:jc w:val="left"/>
              <w:rPr/>
            </w:pPr>
            <w:r>
              <w:rPr/>
              <w:t> </w:t>
            </w:r>
          </w:p>
        </w:tc>
        <w:tc>
          <w:tcPr>
            <w:tcW w:w="620" w:type="dxa"/>
            <w:tcBorders>
              <w:bottom w:val="single" w:sz="12" w:space="0" w:color="000000"/>
            </w:tcBorders>
            <w:vAlign w:val="center"/>
          </w:tcPr>
          <w:p>
            <w:pPr>
              <w:pStyle w:val="TableContents"/>
              <w:bidi w:val="0"/>
              <w:spacing w:before="0" w:after="283"/>
              <w:jc w:val="left"/>
              <w:rPr/>
            </w:pPr>
            <w:r>
              <w:rPr/>
              <w:t> </w:t>
            </w:r>
          </w:p>
        </w:tc>
        <w:tc>
          <w:tcPr>
            <w:tcW w:w="740" w:type="dxa"/>
            <w:tcBorders>
              <w:bottom w:val="single" w:sz="12" w:space="0" w:color="000000"/>
            </w:tcBorders>
            <w:vAlign w:val="center"/>
          </w:tcPr>
          <w:p>
            <w:pPr>
              <w:pStyle w:val="TableContents"/>
              <w:bidi w:val="0"/>
              <w:spacing w:before="0" w:after="283"/>
              <w:jc w:val="left"/>
              <w:rPr/>
            </w:pPr>
            <w:r>
              <w:rPr/>
              <w:t> </w:t>
            </w:r>
          </w:p>
        </w:tc>
        <w:tc>
          <w:tcPr>
            <w:tcW w:w="1115" w:type="dxa"/>
            <w:tcBorders>
              <w:bottom w:val="single" w:sz="12" w:space="0" w:color="000000"/>
            </w:tcBorders>
            <w:vAlign w:val="center"/>
          </w:tcPr>
          <w:p>
            <w:pPr>
              <w:pStyle w:val="TableContents"/>
              <w:bidi w:val="0"/>
              <w:spacing w:before="0" w:after="283"/>
              <w:jc w:val="left"/>
              <w:rPr/>
            </w:pPr>
            <w:r>
              <w:rPr/>
              <w:t> </w:t>
            </w:r>
          </w:p>
        </w:tc>
        <w:tc>
          <w:tcPr>
            <w:tcW w:w="635" w:type="dxa"/>
            <w:tcBorders>
              <w:bottom w:val="single" w:sz="12" w:space="0" w:color="000000"/>
            </w:tcBorders>
            <w:vAlign w:val="center"/>
          </w:tcPr>
          <w:p>
            <w:pPr>
              <w:pStyle w:val="TableContents"/>
              <w:bidi w:val="0"/>
              <w:spacing w:before="0" w:after="283"/>
              <w:jc w:val="left"/>
              <w:rPr/>
            </w:pPr>
            <w:r>
              <w:rPr/>
              <w:t> </w:t>
            </w:r>
          </w:p>
        </w:tc>
      </w:tr>
      <w:tr>
        <w:trPr/>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left"/>
              <w:rPr/>
            </w:pPr>
            <w:r>
              <w:rPr/>
              <w:t> </w:t>
            </w:r>
          </w:p>
        </w:tc>
        <w:tc>
          <w:tcPr>
            <w:tcW w:w="785" w:type="dxa"/>
            <w:tcBorders/>
            <w:tcMar>
              <w:bottom w:w="0" w:type="dxa"/>
            </w:tcMar>
            <w:vAlign w:val="center"/>
          </w:tcPr>
          <w:p>
            <w:pPr>
              <w:pStyle w:val="TableContents"/>
              <w:bidi w:val="0"/>
              <w:spacing w:before="0" w:after="283"/>
              <w:jc w:val="left"/>
              <w:rPr/>
            </w:pPr>
            <w:r>
              <w:rPr/>
              <w:t> </w:t>
            </w:r>
          </w:p>
        </w:tc>
        <w:tc>
          <w:tcPr>
            <w:tcW w:w="620" w:type="dxa"/>
            <w:tcBorders/>
            <w:tcMar>
              <w:bottom w:w="0" w:type="dxa"/>
            </w:tcMar>
            <w:vAlign w:val="center"/>
          </w:tcPr>
          <w:p>
            <w:pPr>
              <w:pStyle w:val="TableContents"/>
              <w:bidi w:val="0"/>
              <w:spacing w:before="0" w:after="283"/>
              <w:jc w:val="left"/>
              <w:rPr/>
            </w:pPr>
            <w:r>
              <w:rPr/>
              <w:t> </w:t>
            </w:r>
          </w:p>
        </w:tc>
        <w:tc>
          <w:tcPr>
            <w:tcW w:w="740" w:type="dxa"/>
            <w:tcBorders/>
            <w:tcMar>
              <w:bottom w:w="0" w:type="dxa"/>
            </w:tcMar>
            <w:vAlign w:val="center"/>
          </w:tcPr>
          <w:p>
            <w:pPr>
              <w:pStyle w:val="TableContents"/>
              <w:bidi w:val="0"/>
              <w:spacing w:before="0" w:after="283"/>
              <w:jc w:val="left"/>
              <w:rPr/>
            </w:pPr>
            <w:r>
              <w:rPr/>
              <w:t> </w:t>
            </w:r>
          </w:p>
        </w:tc>
        <w:tc>
          <w:tcPr>
            <w:tcW w:w="1115" w:type="dxa"/>
            <w:tcBorders/>
            <w:tcMar>
              <w:bottom w:w="0" w:type="dxa"/>
            </w:tcMar>
            <w:vAlign w:val="center"/>
          </w:tcPr>
          <w:p>
            <w:pPr>
              <w:pStyle w:val="TableContents"/>
              <w:bidi w:val="0"/>
              <w:spacing w:before="0" w:after="283"/>
              <w:jc w:val="left"/>
              <w:rPr/>
            </w:pPr>
            <w:r>
              <w:rPr/>
              <w:t> </w:t>
            </w:r>
          </w:p>
        </w:tc>
        <w:tc>
          <w:tcPr>
            <w:tcW w:w="635" w:type="dxa"/>
            <w:tcBorders/>
            <w:tcMar>
              <w:bottom w:w="0" w:type="dxa"/>
            </w:tcMar>
            <w:vAlign w:val="center"/>
          </w:tcPr>
          <w:p>
            <w:pPr>
              <w:pStyle w:val="TableContents"/>
              <w:bidi w:val="0"/>
              <w:spacing w:before="0" w:after="283"/>
              <w:jc w:val="left"/>
              <w:rPr/>
            </w:pPr>
            <w:r>
              <w:rPr/>
              <w:t> </w:t>
            </w:r>
          </w:p>
        </w:tc>
      </w:tr>
      <w:tr>
        <w:trPr/>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0"/>
              <w:jc w:val="left"/>
              <w:rPr>
                <w:sz w:val="20"/>
              </w:rPr>
            </w:pPr>
            <w:r>
              <w:rPr>
                <w:sz w:val="20"/>
              </w:rPr>
              <w:t>Banco</w:t>
            </w:r>
          </w:p>
          <w:p>
            <w:pPr>
              <w:pStyle w:val="TableContents"/>
              <w:bidi w:val="0"/>
              <w:spacing w:before="0" w:after="0"/>
              <w:jc w:val="left"/>
              <w:rPr>
                <w:sz w:val="20"/>
              </w:rPr>
            </w:pPr>
            <w:r>
              <w:rPr>
                <w:sz w:val="20"/>
              </w:rPr>
              <w:t>Interamericano</w:t>
            </w:r>
          </w:p>
          <w:p>
            <w:pPr>
              <w:pStyle w:val="TableContents"/>
              <w:bidi w:val="0"/>
              <w:spacing w:before="0" w:after="0"/>
              <w:jc w:val="left"/>
              <w:rPr>
                <w:sz w:val="20"/>
              </w:rPr>
            </w:pPr>
            <w:r>
              <w:rPr>
                <w:sz w:val="20"/>
              </w:rPr>
              <w:t>de Finanzas</w:t>
            </w:r>
          </w:p>
        </w:tc>
        <w:tc>
          <w:tcPr>
            <w:tcW w:w="785" w:type="dxa"/>
            <w:tcBorders/>
            <w:tcMar>
              <w:bottom w:w="0" w:type="dxa"/>
            </w:tcMar>
            <w:vAlign w:val="center"/>
          </w:tcPr>
          <w:p>
            <w:pPr>
              <w:pStyle w:val="TableContents"/>
              <w:bidi w:val="0"/>
              <w:spacing w:before="0" w:after="160"/>
              <w:jc w:val="left"/>
              <w:rPr>
                <w:sz w:val="20"/>
              </w:rPr>
            </w:pPr>
            <w:r>
              <w:rPr>
                <w:sz w:val="20"/>
              </w:rPr>
              <w:t>LT IDR</w:t>
            </w:r>
          </w:p>
        </w:tc>
        <w:tc>
          <w:tcPr>
            <w:tcW w:w="620" w:type="dxa"/>
            <w:tcBorders/>
            <w:tcMar>
              <w:bottom w:w="0" w:type="dxa"/>
            </w:tcMar>
            <w:vAlign w:val="center"/>
          </w:tcPr>
          <w:p>
            <w:pPr>
              <w:pStyle w:val="TableContents"/>
              <w:bidi w:val="0"/>
              <w:spacing w:before="0" w:after="160"/>
              <w:jc w:val="left"/>
              <w:rPr>
                <w:sz w:val="20"/>
              </w:rPr>
            </w:pPr>
            <w:r>
              <w:rPr>
                <w:sz w:val="20"/>
              </w:rPr>
              <w:t xml:space="preserve">BB+ </w:t>
            </w:r>
            <w:r>
              <w:rPr>
                <w:sz w:val="20"/>
              </w:rPr>
              <w:drawing>
                <wp:inline distT="0" distB="0" distL="0" distR="0">
                  <wp:extent cx="95250" cy="952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5250" cy="95250"/>
                          </a:xfrm>
                          <a:prstGeom prst="rect">
                            <a:avLst/>
                          </a:prstGeom>
                        </pic:spPr>
                      </pic:pic>
                    </a:graphicData>
                  </a:graphic>
                </wp:inline>
              </w:drawing>
            </w:r>
          </w:p>
        </w:tc>
        <w:tc>
          <w:tcPr>
            <w:tcW w:w="740" w:type="dxa"/>
            <w:tcBorders/>
            <w:tcMar>
              <w:bottom w:w="0" w:type="dxa"/>
            </w:tcMar>
            <w:vAlign w:val="center"/>
          </w:tcPr>
          <w:p>
            <w:pPr>
              <w:pStyle w:val="TableContents"/>
              <w:bidi w:val="0"/>
              <w:spacing w:before="0" w:after="160"/>
              <w:jc w:val="left"/>
              <w:rPr>
                <w:sz w:val="20"/>
              </w:rPr>
            </w:pPr>
            <w:r>
              <w:rPr>
                <w:sz w:val="20"/>
              </w:rPr>
              <w:t>Affirmed</w:t>
            </w:r>
          </w:p>
        </w:tc>
        <w:tc>
          <w:tcPr>
            <w:tcW w:w="1115" w:type="dxa"/>
            <w:tcBorders/>
            <w:tcMar>
              <w:bottom w:w="0" w:type="dxa"/>
            </w:tcMar>
            <w:vAlign w:val="center"/>
          </w:tcPr>
          <w:p>
            <w:pPr>
              <w:pStyle w:val="TableContents"/>
              <w:bidi w:val="0"/>
              <w:spacing w:before="0" w:after="283"/>
              <w:jc w:val="left"/>
              <w:rPr/>
            </w:pPr>
            <w:r>
              <w:rPr/>
              <w:t> </w:t>
            </w:r>
          </w:p>
        </w:tc>
        <w:tc>
          <w:tcPr>
            <w:tcW w:w="635" w:type="dxa"/>
            <w:tcBorders/>
            <w:tcMar>
              <w:bottom w:w="0" w:type="dxa"/>
            </w:tcMar>
            <w:vAlign w:val="center"/>
          </w:tcPr>
          <w:p>
            <w:pPr>
              <w:pStyle w:val="TableContents"/>
              <w:bidi w:val="0"/>
              <w:spacing w:before="0" w:after="160"/>
              <w:jc w:val="left"/>
              <w:rPr>
                <w:sz w:val="20"/>
              </w:rPr>
            </w:pPr>
            <w:r>
              <w:rPr>
                <w:sz w:val="20"/>
              </w:rPr>
              <w:t xml:space="preserve">BB+ </w:t>
            </w:r>
            <w:r>
              <w:rPr>
                <w:sz w:val="20"/>
              </w:rPr>
              <w:drawing>
                <wp:inline distT="0" distB="0" distL="0" distR="0">
                  <wp:extent cx="95250" cy="952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5250" cy="95250"/>
                          </a:xfrm>
                          <a:prstGeom prst="rect">
                            <a:avLst/>
                          </a:prstGeom>
                        </pic:spPr>
                      </pic:pic>
                    </a:graphicData>
                  </a:graphic>
                </wp:inline>
              </w:drawing>
            </w:r>
          </w:p>
        </w:tc>
      </w:tr>
      <w:tr>
        <w:trPr/>
        <w:tc>
          <w:tcPr>
            <w:tcW w:w="60" w:type="dxa"/>
            <w:tcBorders>
              <w:bottom w:val="single" w:sz="12" w:space="0" w:color="000000"/>
            </w:tcBorders>
            <w:vAlign w:val="center"/>
          </w:tcPr>
          <w:p>
            <w:pPr>
              <w:pStyle w:val="TableContents"/>
              <w:bidi w:val="0"/>
              <w:spacing w:before="0" w:after="283"/>
              <w:jc w:val="left"/>
              <w:rPr/>
            </w:pPr>
            <w:r>
              <w:rPr/>
              <w:t> </w:t>
            </w:r>
          </w:p>
        </w:tc>
        <w:tc>
          <w:tcPr>
            <w:tcW w:w="1370" w:type="dxa"/>
            <w:tcBorders>
              <w:bottom w:val="single" w:sz="12" w:space="0" w:color="000000"/>
            </w:tcBorders>
            <w:vAlign w:val="center"/>
          </w:tcPr>
          <w:p>
            <w:pPr>
              <w:pStyle w:val="TableContents"/>
              <w:bidi w:val="0"/>
              <w:spacing w:before="0" w:after="283"/>
              <w:jc w:val="left"/>
              <w:rPr/>
            </w:pPr>
            <w:r>
              <w:rPr/>
              <w:t> </w:t>
            </w:r>
          </w:p>
        </w:tc>
        <w:tc>
          <w:tcPr>
            <w:tcW w:w="785" w:type="dxa"/>
            <w:tcBorders>
              <w:bottom w:val="single" w:sz="12" w:space="0" w:color="000000"/>
            </w:tcBorders>
            <w:vAlign w:val="center"/>
          </w:tcPr>
          <w:p>
            <w:pPr>
              <w:pStyle w:val="TableContents"/>
              <w:bidi w:val="0"/>
              <w:spacing w:before="0" w:after="283"/>
              <w:jc w:val="left"/>
              <w:rPr/>
            </w:pPr>
            <w:r>
              <w:rPr/>
              <w:t> </w:t>
            </w:r>
          </w:p>
        </w:tc>
        <w:tc>
          <w:tcPr>
            <w:tcW w:w="620" w:type="dxa"/>
            <w:tcBorders>
              <w:bottom w:val="single" w:sz="12" w:space="0" w:color="000000"/>
            </w:tcBorders>
            <w:vAlign w:val="center"/>
          </w:tcPr>
          <w:p>
            <w:pPr>
              <w:pStyle w:val="TableContents"/>
              <w:bidi w:val="0"/>
              <w:spacing w:before="0" w:after="283"/>
              <w:jc w:val="left"/>
              <w:rPr/>
            </w:pPr>
            <w:r>
              <w:rPr/>
              <w:t> </w:t>
            </w:r>
          </w:p>
        </w:tc>
        <w:tc>
          <w:tcPr>
            <w:tcW w:w="740" w:type="dxa"/>
            <w:tcBorders>
              <w:bottom w:val="single" w:sz="12" w:space="0" w:color="000000"/>
            </w:tcBorders>
            <w:vAlign w:val="center"/>
          </w:tcPr>
          <w:p>
            <w:pPr>
              <w:pStyle w:val="TableContents"/>
              <w:bidi w:val="0"/>
              <w:spacing w:before="0" w:after="283"/>
              <w:jc w:val="left"/>
              <w:rPr/>
            </w:pPr>
            <w:r>
              <w:rPr/>
              <w:t> </w:t>
            </w:r>
          </w:p>
        </w:tc>
        <w:tc>
          <w:tcPr>
            <w:tcW w:w="1115" w:type="dxa"/>
            <w:tcBorders>
              <w:bottom w:val="single" w:sz="12" w:space="0" w:color="000000"/>
            </w:tcBorders>
            <w:vAlign w:val="center"/>
          </w:tcPr>
          <w:p>
            <w:pPr>
              <w:pStyle w:val="TableContents"/>
              <w:bidi w:val="0"/>
              <w:spacing w:before="0" w:after="283"/>
              <w:jc w:val="left"/>
              <w:rPr/>
            </w:pPr>
            <w:r>
              <w:rPr/>
              <w:t> </w:t>
            </w:r>
          </w:p>
        </w:tc>
        <w:tc>
          <w:tcPr>
            <w:tcW w:w="635" w:type="dxa"/>
            <w:tcBorders>
              <w:bottom w:val="single" w:sz="12" w:space="0" w:color="000000"/>
            </w:tcBorders>
            <w:vAlign w:val="center"/>
          </w:tcPr>
          <w:p>
            <w:pPr>
              <w:pStyle w:val="TableContents"/>
              <w:bidi w:val="0"/>
              <w:spacing w:before="0" w:after="283"/>
              <w:jc w:val="left"/>
              <w:rPr/>
            </w:pPr>
            <w:r>
              <w:rPr/>
              <w:t> </w:t>
            </w:r>
          </w:p>
        </w:tc>
      </w:tr>
    </w:tbl>
    <w:p>
      <w:pPr>
        <w:pStyle w:val="TextBody"/>
        <w:bidi w:val="0"/>
        <w:spacing w:before="0" w:after="0"/>
        <w:jc w:val="left"/>
        <w:rPr>
          <w:sz w:val="20"/>
        </w:rPr>
      </w:pPr>
      <w:r>
        <w:rPr>
          <w:sz w:val="20"/>
        </w:rPr>
      </w:r>
    </w:p>
    <w:p>
      <w:pPr>
        <w:pStyle w:val="HorizontalLine"/>
        <w:pBdr>
          <w:bottom w:val="single" w:sz="12" w:space="0" w:color="808080"/>
        </w:pBdr>
        <w:bidi w:val="0"/>
        <w:spacing w:before="180" w:after="180"/>
        <w:jc w:val="left"/>
        <w:rPr/>
      </w:pPr>
      <w:r>
        <w:rPr/>
      </w:r>
    </w:p>
    <w:p>
      <w:pPr>
        <w:pStyle w:val="Normal"/>
        <w:bidi w:val="0"/>
        <w:spacing w:before="0" w:after="0"/>
        <w:jc w:val="left"/>
        <w:rPr>
          <w:sz w:val="4"/>
          <w:szCs w:val="4"/>
        </w:rPr>
      </w:pPr>
      <w:r>
        <w:rPr>
          <w:sz w:val="4"/>
          <w:szCs w:val="4"/>
        </w:rPr>
      </w:r>
      <w:bookmarkStart w:id="12" w:name="z3ddb53be3dca4372ac6f27a71db83bd0"/>
      <w:bookmarkStart w:id="13" w:name="z3ddb53be3dca4372ac6f27a71db83bd0"/>
      <w:bookmarkEnd w:id="13"/>
    </w:p>
    <w:tbl>
      <w:tblPr>
        <w:tblW w:w="6810" w:type="dxa"/>
        <w:jc w:val="left"/>
        <w:tblInd w:w="0" w:type="dxa"/>
        <w:tblLayout w:type="fixed"/>
        <w:tblCellMar>
          <w:top w:w="0" w:type="dxa"/>
          <w:left w:w="0" w:type="dxa"/>
          <w:bottom w:w="28" w:type="dxa"/>
          <w:right w:w="0" w:type="dxa"/>
        </w:tblCellMar>
      </w:tblPr>
      <w:tblGrid>
        <w:gridCol w:w="60"/>
        <w:gridCol w:w="1700"/>
        <w:gridCol w:w="1205"/>
        <w:gridCol w:w="725"/>
        <w:gridCol w:w="890"/>
        <w:gridCol w:w="1430"/>
        <w:gridCol w:w="800"/>
      </w:tblGrid>
      <w:tr>
        <w:trPr/>
        <w:tc>
          <w:tcPr>
            <w:tcW w:w="60" w:type="dxa"/>
            <w:tcBorders>
              <w:bottom w:val="single" w:sz="12" w:space="0" w:color="000000"/>
            </w:tcBorders>
            <w:vAlign w:val="center"/>
          </w:tcPr>
          <w:p>
            <w:pPr>
              <w:pStyle w:val="TableContents"/>
              <w:bidi w:val="0"/>
              <w:spacing w:before="0" w:after="283"/>
              <w:jc w:val="left"/>
              <w:rPr/>
            </w:pPr>
            <w:r>
              <w:rPr/>
              <w:t> </w:t>
            </w:r>
          </w:p>
        </w:tc>
        <w:tc>
          <w:tcPr>
            <w:tcW w:w="1700" w:type="dxa"/>
            <w:tcBorders>
              <w:bottom w:val="single" w:sz="12" w:space="0" w:color="000000"/>
            </w:tcBorders>
            <w:vAlign w:val="center"/>
          </w:tcPr>
          <w:p>
            <w:pPr>
              <w:pStyle w:val="TableContents"/>
              <w:bidi w:val="0"/>
              <w:spacing w:before="0" w:after="0"/>
              <w:jc w:val="left"/>
              <w:rPr>
                <w:b/>
              </w:rPr>
            </w:pPr>
            <w:r>
              <w:rPr>
                <w:b/>
              </w:rPr>
              <w:t>ENTITY/DEBT</w:t>
            </w:r>
          </w:p>
        </w:tc>
        <w:tc>
          <w:tcPr>
            <w:tcW w:w="1205" w:type="dxa"/>
            <w:tcBorders>
              <w:bottom w:val="single" w:sz="12" w:space="0" w:color="000000"/>
            </w:tcBorders>
            <w:vAlign w:val="center"/>
          </w:tcPr>
          <w:p>
            <w:pPr>
              <w:pStyle w:val="TableContents"/>
              <w:bidi w:val="0"/>
              <w:spacing w:before="0" w:after="0"/>
              <w:jc w:val="left"/>
              <w:rPr>
                <w:b/>
              </w:rPr>
            </w:pPr>
            <w:r>
              <w:rPr>
                <w:b/>
              </w:rPr>
              <w:t>RATING</w:t>
            </w:r>
          </w:p>
        </w:tc>
        <w:tc>
          <w:tcPr>
            <w:tcW w:w="725" w:type="dxa"/>
            <w:tcBorders>
              <w:bottom w:val="single" w:sz="12" w:space="0" w:color="000000"/>
            </w:tcBorders>
            <w:vAlign w:val="center"/>
          </w:tcPr>
          <w:p>
            <w:pPr>
              <w:pStyle w:val="TableContents"/>
              <w:bidi w:val="0"/>
              <w:spacing w:before="0" w:after="283"/>
              <w:jc w:val="left"/>
              <w:rPr/>
            </w:pPr>
            <w:r>
              <w:rPr/>
              <w:t> </w:t>
            </w:r>
          </w:p>
        </w:tc>
        <w:tc>
          <w:tcPr>
            <w:tcW w:w="890" w:type="dxa"/>
            <w:tcBorders>
              <w:bottom w:val="single" w:sz="12" w:space="0" w:color="000000"/>
            </w:tcBorders>
            <w:vAlign w:val="center"/>
          </w:tcPr>
          <w:p>
            <w:pPr>
              <w:pStyle w:val="TableContents"/>
              <w:bidi w:val="0"/>
              <w:spacing w:before="0" w:after="283"/>
              <w:jc w:val="left"/>
              <w:rPr/>
            </w:pPr>
            <w:r>
              <w:rPr/>
              <w:t> </w:t>
            </w:r>
          </w:p>
        </w:tc>
        <w:tc>
          <w:tcPr>
            <w:tcW w:w="1430" w:type="dxa"/>
            <w:tcBorders>
              <w:bottom w:val="single" w:sz="12" w:space="0" w:color="000000"/>
            </w:tcBorders>
            <w:vAlign w:val="center"/>
          </w:tcPr>
          <w:p>
            <w:pPr>
              <w:pStyle w:val="TableContents"/>
              <w:bidi w:val="0"/>
              <w:spacing w:before="0" w:after="0"/>
              <w:jc w:val="left"/>
              <w:rPr>
                <w:b/>
              </w:rPr>
            </w:pPr>
            <w:r>
              <w:rPr>
                <w:b/>
              </w:rPr>
              <w:t>RECOVERY</w:t>
            </w:r>
          </w:p>
        </w:tc>
        <w:tc>
          <w:tcPr>
            <w:tcW w:w="800" w:type="dxa"/>
            <w:tcBorders>
              <w:bottom w:val="single" w:sz="12" w:space="0" w:color="000000"/>
            </w:tcBorders>
            <w:vAlign w:val="center"/>
          </w:tcPr>
          <w:p>
            <w:pPr>
              <w:pStyle w:val="TableContents"/>
              <w:bidi w:val="0"/>
              <w:spacing w:before="0" w:after="0"/>
              <w:jc w:val="left"/>
              <w:rPr>
                <w:b/>
              </w:rPr>
            </w:pPr>
            <w:r>
              <w:rPr>
                <w:b/>
              </w:rPr>
              <w:t>PRIOR</w:t>
            </w:r>
          </w:p>
        </w:tc>
      </w:tr>
      <w:tr>
        <w:trPr/>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left"/>
              <w:rPr/>
            </w:pPr>
            <w:r>
              <w:rPr/>
              <w:t> </w:t>
            </w:r>
          </w:p>
        </w:tc>
        <w:tc>
          <w:tcPr>
            <w:tcW w:w="1205" w:type="dxa"/>
            <w:tcBorders/>
            <w:tcMar>
              <w:bottom w:w="0" w:type="dxa"/>
            </w:tcMar>
            <w:vAlign w:val="center"/>
          </w:tcPr>
          <w:p>
            <w:pPr>
              <w:pStyle w:val="TableContents"/>
              <w:bidi w:val="0"/>
              <w:spacing w:before="0" w:after="283"/>
              <w:jc w:val="left"/>
              <w:rPr/>
            </w:pPr>
            <w:r>
              <w:rPr/>
              <w:t> </w:t>
            </w:r>
          </w:p>
        </w:tc>
        <w:tc>
          <w:tcPr>
            <w:tcW w:w="725" w:type="dxa"/>
            <w:tcBorders/>
            <w:tcMar>
              <w:bottom w:w="0" w:type="dxa"/>
            </w:tcMar>
            <w:vAlign w:val="center"/>
          </w:tcPr>
          <w:p>
            <w:pPr>
              <w:pStyle w:val="TableContents"/>
              <w:bidi w:val="0"/>
              <w:spacing w:before="0" w:after="283"/>
              <w:jc w:val="left"/>
              <w:rPr/>
            </w:pPr>
            <w:r>
              <w:rPr/>
              <w:t> </w:t>
            </w:r>
          </w:p>
        </w:tc>
        <w:tc>
          <w:tcPr>
            <w:tcW w:w="890" w:type="dxa"/>
            <w:tcBorders/>
            <w:tcMar>
              <w:bottom w:w="0" w:type="dxa"/>
            </w:tcMar>
            <w:vAlign w:val="center"/>
          </w:tcPr>
          <w:p>
            <w:pPr>
              <w:pStyle w:val="TableContents"/>
              <w:bidi w:val="0"/>
              <w:spacing w:before="0" w:after="283"/>
              <w:jc w:val="left"/>
              <w:rPr/>
            </w:pPr>
            <w:r>
              <w:rPr/>
              <w:t> </w:t>
            </w:r>
          </w:p>
        </w:tc>
        <w:tc>
          <w:tcPr>
            <w:tcW w:w="143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tcPr>
          <w:p>
            <w:pPr>
              <w:pStyle w:val="TableContents"/>
              <w:bidi w:val="0"/>
              <w:spacing w:before="0" w:after="283"/>
              <w:jc w:val="left"/>
              <w:rPr>
                <w:sz w:val="4"/>
                <w:szCs w:val="4"/>
              </w:rPr>
            </w:pPr>
            <w:r>
              <w:rPr>
                <w:sz w:val="4"/>
                <w:szCs w:val="4"/>
              </w:rPr>
            </w:r>
          </w:p>
        </w:tc>
      </w:tr>
      <w:tr>
        <w:trPr/>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0"/>
              <w:jc w:val="left"/>
              <w:rPr/>
            </w:pPr>
            <w:r>
              <w:rPr/>
              <w:t>S.A.</w:t>
            </w:r>
          </w:p>
        </w:tc>
        <w:tc>
          <w:tcPr>
            <w:tcW w:w="1205" w:type="dxa"/>
            <w:tcBorders/>
            <w:tcMar>
              <w:bottom w:w="0" w:type="dxa"/>
            </w:tcMar>
            <w:vAlign w:val="center"/>
          </w:tcPr>
          <w:p>
            <w:pPr>
              <w:pStyle w:val="TableContents"/>
              <w:bidi w:val="0"/>
              <w:spacing w:before="0" w:after="283"/>
              <w:jc w:val="left"/>
              <w:rPr/>
            </w:pPr>
            <w:r>
              <w:rPr/>
              <w:t> </w:t>
            </w:r>
          </w:p>
        </w:tc>
        <w:tc>
          <w:tcPr>
            <w:tcW w:w="725" w:type="dxa"/>
            <w:tcBorders/>
            <w:tcMar>
              <w:bottom w:w="0" w:type="dxa"/>
            </w:tcMar>
            <w:vAlign w:val="center"/>
          </w:tcPr>
          <w:p>
            <w:pPr>
              <w:pStyle w:val="TableContents"/>
              <w:bidi w:val="0"/>
              <w:spacing w:before="0" w:after="283"/>
              <w:jc w:val="left"/>
              <w:rPr/>
            </w:pPr>
            <w:r>
              <w:rPr/>
              <w:t> </w:t>
            </w:r>
          </w:p>
        </w:tc>
        <w:tc>
          <w:tcPr>
            <w:tcW w:w="890" w:type="dxa"/>
            <w:tcBorders/>
            <w:tcMar>
              <w:bottom w:w="0" w:type="dxa"/>
            </w:tcMar>
            <w:vAlign w:val="center"/>
          </w:tcPr>
          <w:p>
            <w:pPr>
              <w:pStyle w:val="TableContents"/>
              <w:bidi w:val="0"/>
              <w:spacing w:before="0" w:after="283"/>
              <w:jc w:val="left"/>
              <w:rPr/>
            </w:pPr>
            <w:r>
              <w:rPr/>
              <w:t> </w:t>
            </w:r>
          </w:p>
        </w:tc>
        <w:tc>
          <w:tcPr>
            <w:tcW w:w="143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left"/>
              <w:rPr/>
            </w:pPr>
            <w:r>
              <w:rPr/>
              <w:t> </w:t>
            </w:r>
          </w:p>
        </w:tc>
      </w:tr>
      <w:tr>
        <w:trPr/>
        <w:tc>
          <w:tcPr>
            <w:tcW w:w="60" w:type="dxa"/>
            <w:tcBorders>
              <w:bottom w:val="single" w:sz="12" w:space="0" w:color="000000"/>
            </w:tcBorders>
            <w:vAlign w:val="center"/>
          </w:tcPr>
          <w:p>
            <w:pPr>
              <w:pStyle w:val="TableContents"/>
              <w:bidi w:val="0"/>
              <w:spacing w:before="0" w:after="283"/>
              <w:jc w:val="left"/>
              <w:rPr/>
            </w:pPr>
            <w:r>
              <w:rPr/>
              <w:t> </w:t>
            </w:r>
          </w:p>
        </w:tc>
        <w:tc>
          <w:tcPr>
            <w:tcW w:w="1700" w:type="dxa"/>
            <w:tcBorders>
              <w:bottom w:val="single" w:sz="12" w:space="0" w:color="000000"/>
            </w:tcBorders>
            <w:vAlign w:val="center"/>
          </w:tcPr>
          <w:p>
            <w:pPr>
              <w:pStyle w:val="TableContents"/>
              <w:bidi w:val="0"/>
              <w:spacing w:before="0" w:after="283"/>
              <w:jc w:val="left"/>
              <w:rPr/>
            </w:pPr>
            <w:r>
              <w:rPr/>
              <w:t> </w:t>
            </w:r>
          </w:p>
        </w:tc>
        <w:tc>
          <w:tcPr>
            <w:tcW w:w="1205" w:type="dxa"/>
            <w:tcBorders>
              <w:bottom w:val="single" w:sz="12" w:space="0" w:color="000000"/>
            </w:tcBorders>
            <w:vAlign w:val="center"/>
          </w:tcPr>
          <w:p>
            <w:pPr>
              <w:pStyle w:val="TableContents"/>
              <w:bidi w:val="0"/>
              <w:spacing w:before="0" w:after="283"/>
              <w:jc w:val="left"/>
              <w:rPr/>
            </w:pPr>
            <w:r>
              <w:rPr/>
              <w:t> </w:t>
            </w:r>
          </w:p>
        </w:tc>
        <w:tc>
          <w:tcPr>
            <w:tcW w:w="725" w:type="dxa"/>
            <w:tcBorders>
              <w:bottom w:val="single" w:sz="12" w:space="0" w:color="000000"/>
            </w:tcBorders>
            <w:vAlign w:val="center"/>
          </w:tcPr>
          <w:p>
            <w:pPr>
              <w:pStyle w:val="TableContents"/>
              <w:bidi w:val="0"/>
              <w:spacing w:before="0" w:after="283"/>
              <w:jc w:val="left"/>
              <w:rPr/>
            </w:pPr>
            <w:r>
              <w:rPr/>
              <w:t> </w:t>
            </w:r>
          </w:p>
        </w:tc>
        <w:tc>
          <w:tcPr>
            <w:tcW w:w="890" w:type="dxa"/>
            <w:tcBorders>
              <w:bottom w:val="single" w:sz="12" w:space="0" w:color="000000"/>
            </w:tcBorders>
            <w:vAlign w:val="center"/>
          </w:tcPr>
          <w:p>
            <w:pPr>
              <w:pStyle w:val="TableContents"/>
              <w:bidi w:val="0"/>
              <w:spacing w:before="0" w:after="283"/>
              <w:jc w:val="left"/>
              <w:rPr/>
            </w:pPr>
            <w:r>
              <w:rPr/>
              <w:t> </w:t>
            </w:r>
          </w:p>
        </w:tc>
        <w:tc>
          <w:tcPr>
            <w:tcW w:w="1430" w:type="dxa"/>
            <w:tcBorders>
              <w:bottom w:val="single" w:sz="12" w:space="0" w:color="000000"/>
            </w:tcBorders>
            <w:vAlign w:val="center"/>
          </w:tcPr>
          <w:p>
            <w:pPr>
              <w:pStyle w:val="TableContents"/>
              <w:bidi w:val="0"/>
              <w:spacing w:before="0" w:after="283"/>
              <w:jc w:val="left"/>
              <w:rPr/>
            </w:pPr>
            <w:r>
              <w:rPr/>
              <w:t> </w:t>
            </w:r>
          </w:p>
        </w:tc>
        <w:tc>
          <w:tcPr>
            <w:tcW w:w="800" w:type="dxa"/>
            <w:tcBorders>
              <w:bottom w:val="single" w:sz="12" w:space="0" w:color="000000"/>
            </w:tcBorders>
            <w:vAlign w:val="center"/>
          </w:tcPr>
          <w:p>
            <w:pPr>
              <w:pStyle w:val="TableContents"/>
              <w:bidi w:val="0"/>
              <w:spacing w:before="0" w:after="283"/>
              <w:jc w:val="left"/>
              <w:rPr/>
            </w:pPr>
            <w:r>
              <w:rPr/>
              <w:t> </w:t>
            </w:r>
          </w:p>
        </w:tc>
      </w:tr>
      <w:tr>
        <w:trPr/>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left"/>
              <w:rPr/>
            </w:pPr>
            <w:r>
              <w:rPr/>
              <w:t> </w:t>
            </w:r>
          </w:p>
        </w:tc>
        <w:tc>
          <w:tcPr>
            <w:tcW w:w="1205" w:type="dxa"/>
            <w:tcBorders/>
            <w:tcMar>
              <w:bottom w:w="0" w:type="dxa"/>
            </w:tcMar>
            <w:vAlign w:val="center"/>
          </w:tcPr>
          <w:p>
            <w:pPr>
              <w:pStyle w:val="TableContents"/>
              <w:bidi w:val="0"/>
              <w:spacing w:before="0" w:after="283"/>
              <w:jc w:val="left"/>
              <w:rPr/>
            </w:pPr>
            <w:r>
              <w:rPr/>
              <w:t> </w:t>
            </w:r>
          </w:p>
        </w:tc>
        <w:tc>
          <w:tcPr>
            <w:tcW w:w="725" w:type="dxa"/>
            <w:tcBorders/>
            <w:tcMar>
              <w:bottom w:w="0" w:type="dxa"/>
            </w:tcMar>
            <w:vAlign w:val="center"/>
          </w:tcPr>
          <w:p>
            <w:pPr>
              <w:pStyle w:val="TableContents"/>
              <w:bidi w:val="0"/>
              <w:spacing w:before="0" w:after="283"/>
              <w:jc w:val="left"/>
              <w:rPr/>
            </w:pPr>
            <w:r>
              <w:rPr/>
              <w:t> </w:t>
            </w:r>
          </w:p>
        </w:tc>
        <w:tc>
          <w:tcPr>
            <w:tcW w:w="890" w:type="dxa"/>
            <w:tcBorders/>
            <w:tcMar>
              <w:bottom w:w="0" w:type="dxa"/>
            </w:tcMar>
            <w:vAlign w:val="center"/>
          </w:tcPr>
          <w:p>
            <w:pPr>
              <w:pStyle w:val="TableContents"/>
              <w:bidi w:val="0"/>
              <w:spacing w:before="0" w:after="283"/>
              <w:jc w:val="left"/>
              <w:rPr/>
            </w:pPr>
            <w:r>
              <w:rPr/>
              <w:t> </w:t>
            </w:r>
          </w:p>
        </w:tc>
        <w:tc>
          <w:tcPr>
            <w:tcW w:w="143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left"/>
              <w:rPr/>
            </w:pPr>
            <w:r>
              <w:rPr/>
              <w:t> </w:t>
            </w:r>
          </w:p>
        </w:tc>
      </w:tr>
      <w:tr>
        <w:trPr/>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left"/>
              <w:rPr/>
            </w:pPr>
            <w:r>
              <w:rPr/>
              <w:t> </w:t>
            </w:r>
          </w:p>
        </w:tc>
        <w:tc>
          <w:tcPr>
            <w:tcW w:w="1205" w:type="dxa"/>
            <w:tcBorders/>
            <w:tcMar>
              <w:bottom w:w="0" w:type="dxa"/>
            </w:tcMar>
            <w:vAlign w:val="center"/>
          </w:tcPr>
          <w:p>
            <w:pPr>
              <w:pStyle w:val="TableContents"/>
              <w:bidi w:val="0"/>
              <w:spacing w:before="0" w:after="0"/>
              <w:jc w:val="left"/>
              <w:rPr/>
            </w:pPr>
            <w:r>
              <w:rPr/>
              <w:t>ST IDR</w:t>
            </w:r>
          </w:p>
        </w:tc>
        <w:tc>
          <w:tcPr>
            <w:tcW w:w="725" w:type="dxa"/>
            <w:tcBorders/>
            <w:tcMar>
              <w:bottom w:w="0" w:type="dxa"/>
            </w:tcMar>
            <w:vAlign w:val="center"/>
          </w:tcPr>
          <w:p>
            <w:pPr>
              <w:pStyle w:val="TableContents"/>
              <w:bidi w:val="0"/>
              <w:spacing w:before="0" w:after="0"/>
              <w:jc w:val="left"/>
              <w:rPr/>
            </w:pPr>
            <w:r>
              <w:rPr/>
              <w:t>B</w:t>
            </w:r>
          </w:p>
        </w:tc>
        <w:tc>
          <w:tcPr>
            <w:tcW w:w="890" w:type="dxa"/>
            <w:tcBorders/>
            <w:tcMar>
              <w:bottom w:w="0" w:type="dxa"/>
            </w:tcMar>
            <w:vAlign w:val="center"/>
          </w:tcPr>
          <w:p>
            <w:pPr>
              <w:pStyle w:val="TableContents"/>
              <w:bidi w:val="0"/>
              <w:spacing w:before="0" w:after="0"/>
              <w:jc w:val="left"/>
              <w:rPr/>
            </w:pPr>
            <w:r>
              <w:rPr/>
              <w:t>Affirmed</w:t>
            </w:r>
          </w:p>
        </w:tc>
        <w:tc>
          <w:tcPr>
            <w:tcW w:w="143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0"/>
              <w:jc w:val="left"/>
              <w:rPr/>
            </w:pPr>
            <w:r>
              <w:rPr/>
              <w:t>B</w:t>
            </w:r>
          </w:p>
        </w:tc>
      </w:tr>
      <w:tr>
        <w:trPr/>
        <w:tc>
          <w:tcPr>
            <w:tcW w:w="60" w:type="dxa"/>
            <w:tcBorders>
              <w:bottom w:val="single" w:sz="12" w:space="0" w:color="000000"/>
            </w:tcBorders>
            <w:vAlign w:val="center"/>
          </w:tcPr>
          <w:p>
            <w:pPr>
              <w:pStyle w:val="TableContents"/>
              <w:bidi w:val="0"/>
              <w:spacing w:before="0" w:after="283"/>
              <w:jc w:val="left"/>
              <w:rPr/>
            </w:pPr>
            <w:r>
              <w:rPr/>
              <w:t> </w:t>
            </w:r>
          </w:p>
        </w:tc>
        <w:tc>
          <w:tcPr>
            <w:tcW w:w="1700" w:type="dxa"/>
            <w:tcBorders>
              <w:bottom w:val="single" w:sz="12" w:space="0" w:color="000000"/>
            </w:tcBorders>
            <w:vAlign w:val="center"/>
          </w:tcPr>
          <w:p>
            <w:pPr>
              <w:pStyle w:val="TableContents"/>
              <w:bidi w:val="0"/>
              <w:spacing w:before="0" w:after="283"/>
              <w:jc w:val="left"/>
              <w:rPr/>
            </w:pPr>
            <w:r>
              <w:rPr/>
              <w:t> </w:t>
            </w:r>
          </w:p>
        </w:tc>
        <w:tc>
          <w:tcPr>
            <w:tcW w:w="1205" w:type="dxa"/>
            <w:tcBorders>
              <w:bottom w:val="single" w:sz="12" w:space="0" w:color="000000"/>
            </w:tcBorders>
            <w:vAlign w:val="center"/>
          </w:tcPr>
          <w:p>
            <w:pPr>
              <w:pStyle w:val="TableContents"/>
              <w:bidi w:val="0"/>
              <w:spacing w:before="0" w:after="283"/>
              <w:jc w:val="left"/>
              <w:rPr/>
            </w:pPr>
            <w:r>
              <w:rPr/>
              <w:t> </w:t>
            </w:r>
          </w:p>
        </w:tc>
        <w:tc>
          <w:tcPr>
            <w:tcW w:w="725" w:type="dxa"/>
            <w:tcBorders>
              <w:bottom w:val="single" w:sz="12" w:space="0" w:color="000000"/>
            </w:tcBorders>
            <w:vAlign w:val="center"/>
          </w:tcPr>
          <w:p>
            <w:pPr>
              <w:pStyle w:val="TableContents"/>
              <w:bidi w:val="0"/>
              <w:spacing w:before="0" w:after="283"/>
              <w:jc w:val="left"/>
              <w:rPr/>
            </w:pPr>
            <w:r>
              <w:rPr/>
              <w:t> </w:t>
            </w:r>
          </w:p>
        </w:tc>
        <w:tc>
          <w:tcPr>
            <w:tcW w:w="890" w:type="dxa"/>
            <w:tcBorders>
              <w:bottom w:val="single" w:sz="12" w:space="0" w:color="000000"/>
            </w:tcBorders>
            <w:vAlign w:val="center"/>
          </w:tcPr>
          <w:p>
            <w:pPr>
              <w:pStyle w:val="TableContents"/>
              <w:bidi w:val="0"/>
              <w:spacing w:before="0" w:after="283"/>
              <w:jc w:val="left"/>
              <w:rPr/>
            </w:pPr>
            <w:r>
              <w:rPr/>
              <w:t> </w:t>
            </w:r>
          </w:p>
        </w:tc>
        <w:tc>
          <w:tcPr>
            <w:tcW w:w="1430" w:type="dxa"/>
            <w:tcBorders>
              <w:bottom w:val="single" w:sz="12" w:space="0" w:color="000000"/>
            </w:tcBorders>
            <w:vAlign w:val="center"/>
          </w:tcPr>
          <w:p>
            <w:pPr>
              <w:pStyle w:val="TableContents"/>
              <w:bidi w:val="0"/>
              <w:spacing w:before="0" w:after="283"/>
              <w:jc w:val="left"/>
              <w:rPr/>
            </w:pPr>
            <w:r>
              <w:rPr/>
              <w:t> </w:t>
            </w:r>
          </w:p>
        </w:tc>
        <w:tc>
          <w:tcPr>
            <w:tcW w:w="800" w:type="dxa"/>
            <w:tcBorders>
              <w:bottom w:val="single" w:sz="12" w:space="0" w:color="000000"/>
            </w:tcBorders>
            <w:vAlign w:val="center"/>
          </w:tcPr>
          <w:p>
            <w:pPr>
              <w:pStyle w:val="TableContents"/>
              <w:bidi w:val="0"/>
              <w:spacing w:before="0" w:after="283"/>
              <w:jc w:val="left"/>
              <w:rPr/>
            </w:pPr>
            <w:r>
              <w:rPr/>
              <w:t> </w:t>
            </w:r>
          </w:p>
        </w:tc>
      </w:tr>
      <w:tr>
        <w:trPr/>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left"/>
              <w:rPr/>
            </w:pPr>
            <w:r>
              <w:rPr/>
              <w:t> </w:t>
            </w:r>
          </w:p>
        </w:tc>
        <w:tc>
          <w:tcPr>
            <w:tcW w:w="1205" w:type="dxa"/>
            <w:tcBorders/>
            <w:tcMar>
              <w:bottom w:w="0" w:type="dxa"/>
            </w:tcMar>
            <w:vAlign w:val="center"/>
          </w:tcPr>
          <w:p>
            <w:pPr>
              <w:pStyle w:val="TableContents"/>
              <w:bidi w:val="0"/>
              <w:spacing w:before="0" w:after="283"/>
              <w:jc w:val="left"/>
              <w:rPr/>
            </w:pPr>
            <w:r>
              <w:rPr/>
              <w:t> </w:t>
            </w:r>
          </w:p>
        </w:tc>
        <w:tc>
          <w:tcPr>
            <w:tcW w:w="725" w:type="dxa"/>
            <w:tcBorders/>
            <w:tcMar>
              <w:bottom w:w="0" w:type="dxa"/>
            </w:tcMar>
            <w:vAlign w:val="center"/>
          </w:tcPr>
          <w:p>
            <w:pPr>
              <w:pStyle w:val="TableContents"/>
              <w:bidi w:val="0"/>
              <w:spacing w:before="0" w:after="283"/>
              <w:jc w:val="left"/>
              <w:rPr/>
            </w:pPr>
            <w:r>
              <w:rPr/>
              <w:t> </w:t>
            </w:r>
          </w:p>
        </w:tc>
        <w:tc>
          <w:tcPr>
            <w:tcW w:w="890" w:type="dxa"/>
            <w:tcBorders/>
            <w:tcMar>
              <w:bottom w:w="0" w:type="dxa"/>
            </w:tcMar>
            <w:vAlign w:val="center"/>
          </w:tcPr>
          <w:p>
            <w:pPr>
              <w:pStyle w:val="TableContents"/>
              <w:bidi w:val="0"/>
              <w:spacing w:before="0" w:after="283"/>
              <w:jc w:val="left"/>
              <w:rPr/>
            </w:pPr>
            <w:r>
              <w:rPr/>
              <w:t> </w:t>
            </w:r>
          </w:p>
        </w:tc>
        <w:tc>
          <w:tcPr>
            <w:tcW w:w="143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left"/>
              <w:rPr/>
            </w:pPr>
            <w:r>
              <w:rPr/>
              <w:t> </w:t>
            </w:r>
          </w:p>
        </w:tc>
      </w:tr>
      <w:tr>
        <w:trPr/>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left"/>
              <w:rPr/>
            </w:pPr>
            <w:r>
              <w:rPr/>
              <w:t> </w:t>
            </w:r>
          </w:p>
        </w:tc>
        <w:tc>
          <w:tcPr>
            <w:tcW w:w="1205" w:type="dxa"/>
            <w:tcBorders/>
            <w:tcMar>
              <w:bottom w:w="0" w:type="dxa"/>
            </w:tcMar>
            <w:vAlign w:val="center"/>
          </w:tcPr>
          <w:p>
            <w:pPr>
              <w:pStyle w:val="TableContents"/>
              <w:bidi w:val="0"/>
              <w:spacing w:before="0" w:after="0"/>
              <w:jc w:val="left"/>
              <w:rPr/>
            </w:pPr>
            <w:r>
              <w:rPr/>
              <w:t>LC LT IDR</w:t>
            </w:r>
          </w:p>
        </w:tc>
        <w:tc>
          <w:tcPr>
            <w:tcW w:w="725" w:type="dxa"/>
            <w:tcBorders/>
            <w:tcMar>
              <w:bottom w:w="0" w:type="dxa"/>
            </w:tcMar>
            <w:vAlign w:val="center"/>
          </w:tcPr>
          <w:p>
            <w:pPr>
              <w:pStyle w:val="TableContents"/>
              <w:bidi w:val="0"/>
              <w:spacing w:before="0" w:after="0"/>
              <w:jc w:val="left"/>
              <w:rPr/>
            </w:pPr>
            <w:r>
              <w:rPr/>
              <w:t>BB+</w:t>
            </w:r>
            <w:r>
              <w:rPr/>
              <w:drawing>
                <wp:inline distT="0" distB="0" distL="0" distR="0">
                  <wp:extent cx="95250" cy="952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5250" cy="95250"/>
                          </a:xfrm>
                          <a:prstGeom prst="rect">
                            <a:avLst/>
                          </a:prstGeom>
                        </pic:spPr>
                      </pic:pic>
                    </a:graphicData>
                  </a:graphic>
                </wp:inline>
              </w:drawing>
            </w:r>
          </w:p>
        </w:tc>
        <w:tc>
          <w:tcPr>
            <w:tcW w:w="890" w:type="dxa"/>
            <w:tcBorders/>
            <w:tcMar>
              <w:bottom w:w="0" w:type="dxa"/>
            </w:tcMar>
            <w:vAlign w:val="center"/>
          </w:tcPr>
          <w:p>
            <w:pPr>
              <w:pStyle w:val="TableContents"/>
              <w:bidi w:val="0"/>
              <w:spacing w:before="0" w:after="0"/>
              <w:jc w:val="left"/>
              <w:rPr/>
            </w:pPr>
            <w:r>
              <w:rPr/>
              <w:t>Affirmed</w:t>
            </w:r>
          </w:p>
        </w:tc>
        <w:tc>
          <w:tcPr>
            <w:tcW w:w="143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0"/>
              <w:jc w:val="left"/>
              <w:rPr/>
            </w:pPr>
            <w:r>
              <w:rPr/>
              <w:t xml:space="preserve">BB+ </w:t>
            </w:r>
            <w:r>
              <w:rPr/>
              <w:drawing>
                <wp:inline distT="0" distB="0" distL="0" distR="0">
                  <wp:extent cx="95250" cy="952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5250" cy="95250"/>
                          </a:xfrm>
                          <a:prstGeom prst="rect">
                            <a:avLst/>
                          </a:prstGeom>
                        </pic:spPr>
                      </pic:pic>
                    </a:graphicData>
                  </a:graphic>
                </wp:inline>
              </w:drawing>
            </w:r>
          </w:p>
        </w:tc>
      </w:tr>
      <w:tr>
        <w:trPr/>
        <w:tc>
          <w:tcPr>
            <w:tcW w:w="60" w:type="dxa"/>
            <w:tcBorders>
              <w:bottom w:val="single" w:sz="12" w:space="0" w:color="000000"/>
            </w:tcBorders>
            <w:vAlign w:val="center"/>
          </w:tcPr>
          <w:p>
            <w:pPr>
              <w:pStyle w:val="TableContents"/>
              <w:bidi w:val="0"/>
              <w:spacing w:before="0" w:after="283"/>
              <w:jc w:val="left"/>
              <w:rPr/>
            </w:pPr>
            <w:r>
              <w:rPr/>
              <w:t> </w:t>
            </w:r>
          </w:p>
        </w:tc>
        <w:tc>
          <w:tcPr>
            <w:tcW w:w="1700" w:type="dxa"/>
            <w:tcBorders>
              <w:bottom w:val="single" w:sz="12" w:space="0" w:color="000000"/>
            </w:tcBorders>
            <w:vAlign w:val="center"/>
          </w:tcPr>
          <w:p>
            <w:pPr>
              <w:pStyle w:val="TableContents"/>
              <w:bidi w:val="0"/>
              <w:spacing w:before="0" w:after="283"/>
              <w:jc w:val="left"/>
              <w:rPr/>
            </w:pPr>
            <w:r>
              <w:rPr/>
              <w:t> </w:t>
            </w:r>
          </w:p>
        </w:tc>
        <w:tc>
          <w:tcPr>
            <w:tcW w:w="1205" w:type="dxa"/>
            <w:tcBorders>
              <w:bottom w:val="single" w:sz="12" w:space="0" w:color="000000"/>
            </w:tcBorders>
            <w:vAlign w:val="center"/>
          </w:tcPr>
          <w:p>
            <w:pPr>
              <w:pStyle w:val="TableContents"/>
              <w:bidi w:val="0"/>
              <w:spacing w:before="0" w:after="283"/>
              <w:jc w:val="left"/>
              <w:rPr/>
            </w:pPr>
            <w:r>
              <w:rPr/>
              <w:t> </w:t>
            </w:r>
          </w:p>
        </w:tc>
        <w:tc>
          <w:tcPr>
            <w:tcW w:w="725" w:type="dxa"/>
            <w:tcBorders>
              <w:bottom w:val="single" w:sz="12" w:space="0" w:color="000000"/>
            </w:tcBorders>
            <w:vAlign w:val="center"/>
          </w:tcPr>
          <w:p>
            <w:pPr>
              <w:pStyle w:val="TableContents"/>
              <w:bidi w:val="0"/>
              <w:spacing w:before="0" w:after="283"/>
              <w:jc w:val="left"/>
              <w:rPr/>
            </w:pPr>
            <w:r>
              <w:rPr/>
              <w:t> </w:t>
            </w:r>
          </w:p>
        </w:tc>
        <w:tc>
          <w:tcPr>
            <w:tcW w:w="890" w:type="dxa"/>
            <w:tcBorders>
              <w:bottom w:val="single" w:sz="12" w:space="0" w:color="000000"/>
            </w:tcBorders>
            <w:vAlign w:val="center"/>
          </w:tcPr>
          <w:p>
            <w:pPr>
              <w:pStyle w:val="TableContents"/>
              <w:bidi w:val="0"/>
              <w:spacing w:before="0" w:after="283"/>
              <w:jc w:val="left"/>
              <w:rPr/>
            </w:pPr>
            <w:r>
              <w:rPr/>
              <w:t> </w:t>
            </w:r>
          </w:p>
        </w:tc>
        <w:tc>
          <w:tcPr>
            <w:tcW w:w="1430" w:type="dxa"/>
            <w:tcBorders>
              <w:bottom w:val="single" w:sz="12" w:space="0" w:color="000000"/>
            </w:tcBorders>
            <w:vAlign w:val="center"/>
          </w:tcPr>
          <w:p>
            <w:pPr>
              <w:pStyle w:val="TableContents"/>
              <w:bidi w:val="0"/>
              <w:spacing w:before="0" w:after="283"/>
              <w:jc w:val="left"/>
              <w:rPr/>
            </w:pPr>
            <w:r>
              <w:rPr/>
              <w:t> </w:t>
            </w:r>
          </w:p>
        </w:tc>
        <w:tc>
          <w:tcPr>
            <w:tcW w:w="800" w:type="dxa"/>
            <w:tcBorders>
              <w:bottom w:val="single" w:sz="12" w:space="0" w:color="000000"/>
            </w:tcBorders>
            <w:vAlign w:val="center"/>
          </w:tcPr>
          <w:p>
            <w:pPr>
              <w:pStyle w:val="TableContents"/>
              <w:bidi w:val="0"/>
              <w:spacing w:before="0" w:after="283"/>
              <w:jc w:val="left"/>
              <w:rPr/>
            </w:pPr>
            <w:r>
              <w:rPr/>
              <w:t> </w:t>
            </w:r>
          </w:p>
        </w:tc>
      </w:tr>
      <w:tr>
        <w:trPr/>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left"/>
              <w:rPr/>
            </w:pPr>
            <w:r>
              <w:rPr/>
              <w:t> </w:t>
            </w:r>
          </w:p>
        </w:tc>
        <w:tc>
          <w:tcPr>
            <w:tcW w:w="1205" w:type="dxa"/>
            <w:tcBorders/>
            <w:tcMar>
              <w:bottom w:w="0" w:type="dxa"/>
            </w:tcMar>
            <w:vAlign w:val="center"/>
          </w:tcPr>
          <w:p>
            <w:pPr>
              <w:pStyle w:val="TableContents"/>
              <w:bidi w:val="0"/>
              <w:spacing w:before="0" w:after="283"/>
              <w:jc w:val="left"/>
              <w:rPr/>
            </w:pPr>
            <w:r>
              <w:rPr/>
              <w:t> </w:t>
            </w:r>
          </w:p>
        </w:tc>
        <w:tc>
          <w:tcPr>
            <w:tcW w:w="725" w:type="dxa"/>
            <w:tcBorders/>
            <w:tcMar>
              <w:bottom w:w="0" w:type="dxa"/>
            </w:tcMar>
            <w:vAlign w:val="center"/>
          </w:tcPr>
          <w:p>
            <w:pPr>
              <w:pStyle w:val="TableContents"/>
              <w:bidi w:val="0"/>
              <w:spacing w:before="0" w:after="283"/>
              <w:jc w:val="left"/>
              <w:rPr/>
            </w:pPr>
            <w:r>
              <w:rPr/>
              <w:t> </w:t>
            </w:r>
          </w:p>
        </w:tc>
        <w:tc>
          <w:tcPr>
            <w:tcW w:w="890" w:type="dxa"/>
            <w:tcBorders/>
            <w:tcMar>
              <w:bottom w:w="0" w:type="dxa"/>
            </w:tcMar>
            <w:vAlign w:val="center"/>
          </w:tcPr>
          <w:p>
            <w:pPr>
              <w:pStyle w:val="TableContents"/>
              <w:bidi w:val="0"/>
              <w:spacing w:before="0" w:after="283"/>
              <w:jc w:val="left"/>
              <w:rPr/>
            </w:pPr>
            <w:r>
              <w:rPr/>
              <w:t> </w:t>
            </w:r>
          </w:p>
        </w:tc>
        <w:tc>
          <w:tcPr>
            <w:tcW w:w="143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left"/>
              <w:rPr/>
            </w:pPr>
            <w:r>
              <w:rPr/>
              <w:t> </w:t>
            </w:r>
          </w:p>
        </w:tc>
      </w:tr>
      <w:tr>
        <w:trPr/>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left"/>
              <w:rPr/>
            </w:pPr>
            <w:r>
              <w:rPr/>
              <w:t> </w:t>
            </w:r>
          </w:p>
        </w:tc>
        <w:tc>
          <w:tcPr>
            <w:tcW w:w="1205" w:type="dxa"/>
            <w:tcBorders/>
            <w:tcMar>
              <w:bottom w:w="0" w:type="dxa"/>
            </w:tcMar>
            <w:vAlign w:val="center"/>
          </w:tcPr>
          <w:p>
            <w:pPr>
              <w:pStyle w:val="TableContents"/>
              <w:bidi w:val="0"/>
              <w:spacing w:before="0" w:after="0"/>
              <w:jc w:val="left"/>
              <w:rPr/>
            </w:pPr>
            <w:r>
              <w:rPr/>
              <w:t>LC ST IDR</w:t>
            </w:r>
          </w:p>
        </w:tc>
        <w:tc>
          <w:tcPr>
            <w:tcW w:w="725" w:type="dxa"/>
            <w:tcBorders/>
            <w:tcMar>
              <w:bottom w:w="0" w:type="dxa"/>
            </w:tcMar>
            <w:vAlign w:val="center"/>
          </w:tcPr>
          <w:p>
            <w:pPr>
              <w:pStyle w:val="TableContents"/>
              <w:bidi w:val="0"/>
              <w:spacing w:before="0" w:after="0"/>
              <w:jc w:val="left"/>
              <w:rPr/>
            </w:pPr>
            <w:r>
              <w:rPr/>
              <w:t>B</w:t>
            </w:r>
          </w:p>
        </w:tc>
        <w:tc>
          <w:tcPr>
            <w:tcW w:w="890" w:type="dxa"/>
            <w:tcBorders/>
            <w:tcMar>
              <w:bottom w:w="0" w:type="dxa"/>
            </w:tcMar>
            <w:vAlign w:val="center"/>
          </w:tcPr>
          <w:p>
            <w:pPr>
              <w:pStyle w:val="TableContents"/>
              <w:bidi w:val="0"/>
              <w:spacing w:before="0" w:after="0"/>
              <w:jc w:val="left"/>
              <w:rPr/>
            </w:pPr>
            <w:r>
              <w:rPr/>
              <w:t>Affirmed</w:t>
            </w:r>
          </w:p>
        </w:tc>
        <w:tc>
          <w:tcPr>
            <w:tcW w:w="143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0"/>
              <w:jc w:val="left"/>
              <w:rPr/>
            </w:pPr>
            <w:r>
              <w:rPr/>
              <w:t>B</w:t>
            </w:r>
          </w:p>
        </w:tc>
      </w:tr>
      <w:tr>
        <w:trPr/>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left"/>
              <w:rPr/>
            </w:pPr>
            <w:r>
              <w:rPr/>
              <w:t> </w:t>
            </w:r>
          </w:p>
        </w:tc>
        <w:tc>
          <w:tcPr>
            <w:tcW w:w="1205" w:type="dxa"/>
            <w:tcBorders/>
            <w:tcMar>
              <w:bottom w:w="0" w:type="dxa"/>
            </w:tcMar>
            <w:vAlign w:val="center"/>
          </w:tcPr>
          <w:p>
            <w:pPr>
              <w:pStyle w:val="TableContents"/>
              <w:bidi w:val="0"/>
              <w:spacing w:before="0" w:after="283"/>
              <w:jc w:val="left"/>
              <w:rPr/>
            </w:pPr>
            <w:r>
              <w:rPr/>
              <w:t> </w:t>
            </w:r>
          </w:p>
        </w:tc>
        <w:tc>
          <w:tcPr>
            <w:tcW w:w="725" w:type="dxa"/>
            <w:tcBorders/>
            <w:tcMar>
              <w:bottom w:w="0" w:type="dxa"/>
            </w:tcMar>
            <w:vAlign w:val="center"/>
          </w:tcPr>
          <w:p>
            <w:pPr>
              <w:pStyle w:val="TableContents"/>
              <w:bidi w:val="0"/>
              <w:spacing w:before="0" w:after="283"/>
              <w:jc w:val="left"/>
              <w:rPr/>
            </w:pPr>
            <w:r>
              <w:rPr/>
              <w:t> </w:t>
            </w:r>
          </w:p>
        </w:tc>
        <w:tc>
          <w:tcPr>
            <w:tcW w:w="890" w:type="dxa"/>
            <w:tcBorders/>
            <w:tcMar>
              <w:bottom w:w="0" w:type="dxa"/>
            </w:tcMar>
            <w:vAlign w:val="center"/>
          </w:tcPr>
          <w:p>
            <w:pPr>
              <w:pStyle w:val="TableContents"/>
              <w:bidi w:val="0"/>
              <w:spacing w:before="0" w:after="283"/>
              <w:jc w:val="left"/>
              <w:rPr/>
            </w:pPr>
            <w:r>
              <w:rPr/>
              <w:t> </w:t>
            </w:r>
          </w:p>
        </w:tc>
        <w:tc>
          <w:tcPr>
            <w:tcW w:w="143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left"/>
              <w:rPr/>
            </w:pPr>
            <w:r>
              <w:rPr/>
              <w:t> </w:t>
            </w:r>
          </w:p>
        </w:tc>
      </w:tr>
      <w:tr>
        <w:trPr/>
        <w:tc>
          <w:tcPr>
            <w:tcW w:w="60" w:type="dxa"/>
            <w:tcBorders>
              <w:top w:val="single" w:sz="12" w:space="0" w:color="000000"/>
            </w:tcBorders>
            <w:tcMar>
              <w:top w:w="28" w:type="dxa"/>
              <w:bottom w:w="0" w:type="dxa"/>
            </w:tcMar>
            <w:vAlign w:val="center"/>
          </w:tcPr>
          <w:p>
            <w:pPr>
              <w:pStyle w:val="TableContents"/>
              <w:bidi w:val="0"/>
              <w:spacing w:before="0" w:after="283"/>
              <w:jc w:val="left"/>
              <w:rPr/>
            </w:pPr>
            <w:r>
              <w:rPr/>
              <w:t> </w:t>
            </w:r>
          </w:p>
        </w:tc>
        <w:tc>
          <w:tcPr>
            <w:tcW w:w="1700" w:type="dxa"/>
            <w:tcBorders>
              <w:top w:val="single" w:sz="12" w:space="0" w:color="000000"/>
            </w:tcBorders>
            <w:tcMar>
              <w:top w:w="28" w:type="dxa"/>
              <w:bottom w:w="0" w:type="dxa"/>
            </w:tcMar>
            <w:vAlign w:val="center"/>
          </w:tcPr>
          <w:p>
            <w:pPr>
              <w:pStyle w:val="TableContents"/>
              <w:bidi w:val="0"/>
              <w:spacing w:before="0" w:after="283"/>
              <w:jc w:val="left"/>
              <w:rPr/>
            </w:pPr>
            <w:r>
              <w:rPr/>
              <w:t> </w:t>
            </w:r>
          </w:p>
        </w:tc>
        <w:tc>
          <w:tcPr>
            <w:tcW w:w="1205" w:type="dxa"/>
            <w:tcBorders>
              <w:top w:val="single" w:sz="12" w:space="0" w:color="000000"/>
            </w:tcBorders>
            <w:tcMar>
              <w:top w:w="28" w:type="dxa"/>
              <w:bottom w:w="0" w:type="dxa"/>
            </w:tcMar>
            <w:vAlign w:val="center"/>
          </w:tcPr>
          <w:p>
            <w:pPr>
              <w:pStyle w:val="TableContents"/>
              <w:bidi w:val="0"/>
              <w:spacing w:before="0" w:after="283"/>
              <w:jc w:val="left"/>
              <w:rPr/>
            </w:pPr>
            <w:r>
              <w:rPr/>
              <w:t> </w:t>
            </w:r>
          </w:p>
        </w:tc>
        <w:tc>
          <w:tcPr>
            <w:tcW w:w="725" w:type="dxa"/>
            <w:tcBorders>
              <w:top w:val="single" w:sz="12" w:space="0" w:color="000000"/>
            </w:tcBorders>
            <w:tcMar>
              <w:top w:w="28" w:type="dxa"/>
              <w:bottom w:w="0" w:type="dxa"/>
            </w:tcMar>
            <w:vAlign w:val="center"/>
          </w:tcPr>
          <w:p>
            <w:pPr>
              <w:pStyle w:val="TableContents"/>
              <w:bidi w:val="0"/>
              <w:spacing w:before="0" w:after="283"/>
              <w:jc w:val="left"/>
              <w:rPr/>
            </w:pPr>
            <w:r>
              <w:rPr/>
              <w:t> </w:t>
            </w:r>
          </w:p>
        </w:tc>
        <w:tc>
          <w:tcPr>
            <w:tcW w:w="890" w:type="dxa"/>
            <w:tcBorders>
              <w:top w:val="single" w:sz="12" w:space="0" w:color="000000"/>
            </w:tcBorders>
            <w:tcMar>
              <w:top w:w="28" w:type="dxa"/>
              <w:bottom w:w="0" w:type="dxa"/>
            </w:tcMar>
            <w:vAlign w:val="center"/>
          </w:tcPr>
          <w:p>
            <w:pPr>
              <w:pStyle w:val="TableContents"/>
              <w:bidi w:val="0"/>
              <w:spacing w:before="0" w:after="283"/>
              <w:jc w:val="left"/>
              <w:rPr/>
            </w:pPr>
            <w:r>
              <w:rPr/>
              <w:t> </w:t>
            </w:r>
          </w:p>
        </w:tc>
        <w:tc>
          <w:tcPr>
            <w:tcW w:w="1430" w:type="dxa"/>
            <w:tcBorders>
              <w:top w:val="single" w:sz="12" w:space="0" w:color="000000"/>
            </w:tcBorders>
            <w:tcMar>
              <w:top w:w="28" w:type="dxa"/>
              <w:bottom w:w="0" w:type="dxa"/>
            </w:tcMar>
            <w:vAlign w:val="center"/>
          </w:tcPr>
          <w:p>
            <w:pPr>
              <w:pStyle w:val="TableContents"/>
              <w:bidi w:val="0"/>
              <w:spacing w:before="0" w:after="283"/>
              <w:jc w:val="left"/>
              <w:rPr/>
            </w:pPr>
            <w:r>
              <w:rPr/>
              <w:t> </w:t>
            </w:r>
          </w:p>
        </w:tc>
        <w:tc>
          <w:tcPr>
            <w:tcW w:w="800" w:type="dxa"/>
            <w:tcBorders>
              <w:top w:val="single" w:sz="12" w:space="0" w:color="000000"/>
            </w:tcBorders>
            <w:tcMar>
              <w:top w:w="28" w:type="dxa"/>
              <w:bottom w:w="0" w:type="dxa"/>
            </w:tcMar>
            <w:vAlign w:val="center"/>
          </w:tcPr>
          <w:p>
            <w:pPr>
              <w:pStyle w:val="TableContents"/>
              <w:bidi w:val="0"/>
              <w:spacing w:before="0" w:after="283"/>
              <w:jc w:val="left"/>
              <w:rPr/>
            </w:pPr>
            <w:r>
              <w:rPr/>
              <w:t> </w:t>
            </w:r>
          </w:p>
        </w:tc>
      </w:tr>
      <w:tr>
        <w:trPr/>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left"/>
              <w:rPr/>
            </w:pPr>
            <w:r>
              <w:rPr/>
              <w:t> </w:t>
            </w:r>
          </w:p>
        </w:tc>
        <w:tc>
          <w:tcPr>
            <w:tcW w:w="1205" w:type="dxa"/>
            <w:tcBorders/>
            <w:tcMar>
              <w:bottom w:w="0" w:type="dxa"/>
            </w:tcMar>
            <w:vAlign w:val="center"/>
          </w:tcPr>
          <w:p>
            <w:pPr>
              <w:pStyle w:val="TableContents"/>
              <w:bidi w:val="0"/>
              <w:spacing w:before="0" w:after="0"/>
              <w:jc w:val="left"/>
              <w:rPr/>
            </w:pPr>
            <w:r>
              <w:rPr/>
              <w:t>Viability</w:t>
            </w:r>
          </w:p>
        </w:tc>
        <w:tc>
          <w:tcPr>
            <w:tcW w:w="725" w:type="dxa"/>
            <w:tcBorders/>
            <w:tcMar>
              <w:bottom w:w="0" w:type="dxa"/>
            </w:tcMar>
            <w:vAlign w:val="center"/>
          </w:tcPr>
          <w:p>
            <w:pPr>
              <w:pStyle w:val="TableContents"/>
              <w:bidi w:val="0"/>
              <w:spacing w:before="0" w:after="0"/>
              <w:jc w:val="left"/>
              <w:rPr/>
            </w:pPr>
            <w:r>
              <w:rPr/>
              <w:t>bb+</w:t>
            </w:r>
          </w:p>
        </w:tc>
        <w:tc>
          <w:tcPr>
            <w:tcW w:w="890" w:type="dxa"/>
            <w:tcBorders/>
            <w:tcMar>
              <w:bottom w:w="0" w:type="dxa"/>
            </w:tcMar>
            <w:vAlign w:val="center"/>
          </w:tcPr>
          <w:p>
            <w:pPr>
              <w:pStyle w:val="TableContents"/>
              <w:bidi w:val="0"/>
              <w:spacing w:before="0" w:after="0"/>
              <w:jc w:val="left"/>
              <w:rPr/>
            </w:pPr>
            <w:r>
              <w:rPr/>
              <w:t>Affirmed</w:t>
            </w:r>
          </w:p>
        </w:tc>
        <w:tc>
          <w:tcPr>
            <w:tcW w:w="143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0"/>
              <w:jc w:val="left"/>
              <w:rPr/>
            </w:pPr>
            <w:r>
              <w:rPr/>
              <w:t>bb+</w:t>
            </w:r>
          </w:p>
        </w:tc>
      </w:tr>
      <w:tr>
        <w:trPr/>
        <w:tc>
          <w:tcPr>
            <w:tcW w:w="60" w:type="dxa"/>
            <w:tcBorders>
              <w:bottom w:val="single" w:sz="12" w:space="0" w:color="000000"/>
            </w:tcBorders>
            <w:vAlign w:val="center"/>
          </w:tcPr>
          <w:p>
            <w:pPr>
              <w:pStyle w:val="TableContents"/>
              <w:bidi w:val="0"/>
              <w:spacing w:before="0" w:after="283"/>
              <w:jc w:val="left"/>
              <w:rPr/>
            </w:pPr>
            <w:r>
              <w:rPr/>
              <w:t> </w:t>
            </w:r>
          </w:p>
        </w:tc>
        <w:tc>
          <w:tcPr>
            <w:tcW w:w="1700" w:type="dxa"/>
            <w:tcBorders>
              <w:bottom w:val="single" w:sz="12" w:space="0" w:color="000000"/>
            </w:tcBorders>
            <w:vAlign w:val="center"/>
          </w:tcPr>
          <w:p>
            <w:pPr>
              <w:pStyle w:val="TableContents"/>
              <w:bidi w:val="0"/>
              <w:spacing w:before="0" w:after="283"/>
              <w:jc w:val="left"/>
              <w:rPr/>
            </w:pPr>
            <w:r>
              <w:rPr/>
              <w:t> </w:t>
            </w:r>
          </w:p>
        </w:tc>
        <w:tc>
          <w:tcPr>
            <w:tcW w:w="1205" w:type="dxa"/>
            <w:tcBorders>
              <w:bottom w:val="single" w:sz="12" w:space="0" w:color="000000"/>
            </w:tcBorders>
            <w:vAlign w:val="center"/>
          </w:tcPr>
          <w:p>
            <w:pPr>
              <w:pStyle w:val="TableContents"/>
              <w:bidi w:val="0"/>
              <w:spacing w:before="0" w:after="283"/>
              <w:jc w:val="left"/>
              <w:rPr/>
            </w:pPr>
            <w:r>
              <w:rPr/>
              <w:t> </w:t>
            </w:r>
          </w:p>
        </w:tc>
        <w:tc>
          <w:tcPr>
            <w:tcW w:w="725" w:type="dxa"/>
            <w:tcBorders>
              <w:bottom w:val="single" w:sz="12" w:space="0" w:color="000000"/>
            </w:tcBorders>
            <w:vAlign w:val="center"/>
          </w:tcPr>
          <w:p>
            <w:pPr>
              <w:pStyle w:val="TableContents"/>
              <w:bidi w:val="0"/>
              <w:spacing w:before="0" w:after="283"/>
              <w:jc w:val="left"/>
              <w:rPr/>
            </w:pPr>
            <w:r>
              <w:rPr/>
              <w:t> </w:t>
            </w:r>
          </w:p>
        </w:tc>
        <w:tc>
          <w:tcPr>
            <w:tcW w:w="890" w:type="dxa"/>
            <w:tcBorders>
              <w:bottom w:val="single" w:sz="12" w:space="0" w:color="000000"/>
            </w:tcBorders>
            <w:vAlign w:val="center"/>
          </w:tcPr>
          <w:p>
            <w:pPr>
              <w:pStyle w:val="TableContents"/>
              <w:bidi w:val="0"/>
              <w:spacing w:before="0" w:after="283"/>
              <w:jc w:val="left"/>
              <w:rPr/>
            </w:pPr>
            <w:r>
              <w:rPr/>
              <w:t> </w:t>
            </w:r>
          </w:p>
        </w:tc>
        <w:tc>
          <w:tcPr>
            <w:tcW w:w="1430" w:type="dxa"/>
            <w:tcBorders>
              <w:bottom w:val="single" w:sz="12" w:space="0" w:color="000000"/>
            </w:tcBorders>
            <w:vAlign w:val="center"/>
          </w:tcPr>
          <w:p>
            <w:pPr>
              <w:pStyle w:val="TableContents"/>
              <w:bidi w:val="0"/>
              <w:spacing w:before="0" w:after="283"/>
              <w:jc w:val="left"/>
              <w:rPr/>
            </w:pPr>
            <w:r>
              <w:rPr/>
              <w:t> </w:t>
            </w:r>
          </w:p>
        </w:tc>
        <w:tc>
          <w:tcPr>
            <w:tcW w:w="800" w:type="dxa"/>
            <w:tcBorders>
              <w:bottom w:val="single" w:sz="12" w:space="0" w:color="000000"/>
            </w:tcBorders>
            <w:vAlign w:val="center"/>
          </w:tcPr>
          <w:p>
            <w:pPr>
              <w:pStyle w:val="TableContents"/>
              <w:bidi w:val="0"/>
              <w:spacing w:before="0" w:after="283"/>
              <w:jc w:val="left"/>
              <w:rPr/>
            </w:pPr>
            <w:r>
              <w:rPr/>
              <w:t> </w:t>
            </w:r>
          </w:p>
        </w:tc>
      </w:tr>
      <w:tr>
        <w:trPr/>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left"/>
              <w:rPr/>
            </w:pPr>
            <w:r>
              <w:rPr/>
              <w:t> </w:t>
            </w:r>
          </w:p>
        </w:tc>
        <w:tc>
          <w:tcPr>
            <w:tcW w:w="1205" w:type="dxa"/>
            <w:tcBorders/>
            <w:tcMar>
              <w:bottom w:w="0" w:type="dxa"/>
            </w:tcMar>
            <w:vAlign w:val="center"/>
          </w:tcPr>
          <w:p>
            <w:pPr>
              <w:pStyle w:val="TableContents"/>
              <w:bidi w:val="0"/>
              <w:spacing w:before="0" w:after="283"/>
              <w:jc w:val="left"/>
              <w:rPr/>
            </w:pPr>
            <w:r>
              <w:rPr/>
              <w:t> </w:t>
            </w:r>
          </w:p>
        </w:tc>
        <w:tc>
          <w:tcPr>
            <w:tcW w:w="725" w:type="dxa"/>
            <w:tcBorders/>
            <w:tcMar>
              <w:bottom w:w="0" w:type="dxa"/>
            </w:tcMar>
            <w:vAlign w:val="center"/>
          </w:tcPr>
          <w:p>
            <w:pPr>
              <w:pStyle w:val="TableContents"/>
              <w:bidi w:val="0"/>
              <w:spacing w:before="0" w:after="283"/>
              <w:jc w:val="left"/>
              <w:rPr/>
            </w:pPr>
            <w:r>
              <w:rPr/>
              <w:t> </w:t>
            </w:r>
          </w:p>
        </w:tc>
        <w:tc>
          <w:tcPr>
            <w:tcW w:w="890" w:type="dxa"/>
            <w:tcBorders/>
            <w:tcMar>
              <w:bottom w:w="0" w:type="dxa"/>
            </w:tcMar>
            <w:vAlign w:val="center"/>
          </w:tcPr>
          <w:p>
            <w:pPr>
              <w:pStyle w:val="TableContents"/>
              <w:bidi w:val="0"/>
              <w:spacing w:before="0" w:after="283"/>
              <w:jc w:val="left"/>
              <w:rPr/>
            </w:pPr>
            <w:r>
              <w:rPr/>
              <w:t> </w:t>
            </w:r>
          </w:p>
        </w:tc>
        <w:tc>
          <w:tcPr>
            <w:tcW w:w="143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left"/>
              <w:rPr/>
            </w:pPr>
            <w:r>
              <w:rPr/>
              <w:t> </w:t>
            </w:r>
          </w:p>
        </w:tc>
      </w:tr>
      <w:tr>
        <w:trPr/>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left"/>
              <w:rPr/>
            </w:pPr>
            <w:r>
              <w:rPr/>
              <w:t> </w:t>
            </w:r>
          </w:p>
        </w:tc>
        <w:tc>
          <w:tcPr>
            <w:tcW w:w="1205" w:type="dxa"/>
            <w:tcBorders/>
            <w:tcMar>
              <w:bottom w:w="0" w:type="dxa"/>
            </w:tcMar>
            <w:vAlign w:val="center"/>
          </w:tcPr>
          <w:p>
            <w:pPr>
              <w:pStyle w:val="TableContents"/>
              <w:bidi w:val="0"/>
              <w:spacing w:before="0" w:after="0"/>
              <w:jc w:val="left"/>
              <w:rPr/>
            </w:pPr>
            <w:r>
              <w:rPr/>
              <w:t>Government</w:t>
            </w:r>
          </w:p>
          <w:p>
            <w:pPr>
              <w:pStyle w:val="TableContents"/>
              <w:bidi w:val="0"/>
              <w:spacing w:before="0" w:after="0"/>
              <w:jc w:val="left"/>
              <w:rPr/>
            </w:pPr>
            <w:r>
              <w:rPr/>
              <w:t>Support</w:t>
            </w:r>
          </w:p>
        </w:tc>
        <w:tc>
          <w:tcPr>
            <w:tcW w:w="725" w:type="dxa"/>
            <w:tcBorders/>
            <w:tcMar>
              <w:bottom w:w="0" w:type="dxa"/>
            </w:tcMar>
            <w:vAlign w:val="center"/>
          </w:tcPr>
          <w:p>
            <w:pPr>
              <w:pStyle w:val="TableContents"/>
              <w:bidi w:val="0"/>
              <w:spacing w:before="0" w:after="0"/>
              <w:jc w:val="left"/>
              <w:rPr/>
            </w:pPr>
            <w:r>
              <w:rPr/>
              <w:t>bb-</w:t>
            </w:r>
          </w:p>
        </w:tc>
        <w:tc>
          <w:tcPr>
            <w:tcW w:w="890" w:type="dxa"/>
            <w:tcBorders/>
            <w:tcMar>
              <w:bottom w:w="0" w:type="dxa"/>
            </w:tcMar>
            <w:vAlign w:val="center"/>
          </w:tcPr>
          <w:p>
            <w:pPr>
              <w:pStyle w:val="TableContents"/>
              <w:bidi w:val="0"/>
              <w:spacing w:before="0" w:after="0"/>
              <w:jc w:val="left"/>
              <w:rPr/>
            </w:pPr>
            <w:r>
              <w:rPr/>
              <w:t>Affirmed</w:t>
            </w:r>
          </w:p>
        </w:tc>
        <w:tc>
          <w:tcPr>
            <w:tcW w:w="143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0"/>
              <w:jc w:val="left"/>
              <w:rPr/>
            </w:pPr>
            <w:r>
              <w:rPr/>
              <w:t>bb-</w:t>
            </w:r>
          </w:p>
        </w:tc>
      </w:tr>
      <w:tr>
        <w:trPr/>
        <w:tc>
          <w:tcPr>
            <w:tcW w:w="60" w:type="dxa"/>
            <w:tcBorders>
              <w:bottom w:val="single" w:sz="12" w:space="0" w:color="000000"/>
            </w:tcBorders>
            <w:vAlign w:val="center"/>
          </w:tcPr>
          <w:p>
            <w:pPr>
              <w:pStyle w:val="TableContents"/>
              <w:bidi w:val="0"/>
              <w:spacing w:before="0" w:after="283"/>
              <w:jc w:val="left"/>
              <w:rPr/>
            </w:pPr>
            <w:r>
              <w:rPr/>
              <w:t> </w:t>
            </w:r>
          </w:p>
        </w:tc>
        <w:tc>
          <w:tcPr>
            <w:tcW w:w="1700" w:type="dxa"/>
            <w:tcBorders>
              <w:bottom w:val="single" w:sz="12" w:space="0" w:color="000000"/>
            </w:tcBorders>
            <w:vAlign w:val="center"/>
          </w:tcPr>
          <w:p>
            <w:pPr>
              <w:pStyle w:val="TableContents"/>
              <w:bidi w:val="0"/>
              <w:spacing w:before="0" w:after="283"/>
              <w:jc w:val="left"/>
              <w:rPr/>
            </w:pPr>
            <w:r>
              <w:rPr/>
              <w:t> </w:t>
            </w:r>
          </w:p>
        </w:tc>
        <w:tc>
          <w:tcPr>
            <w:tcW w:w="1205" w:type="dxa"/>
            <w:tcBorders>
              <w:bottom w:val="single" w:sz="12" w:space="0" w:color="000000"/>
            </w:tcBorders>
            <w:vAlign w:val="center"/>
          </w:tcPr>
          <w:p>
            <w:pPr>
              <w:pStyle w:val="TableContents"/>
              <w:bidi w:val="0"/>
              <w:spacing w:before="0" w:after="283"/>
              <w:jc w:val="left"/>
              <w:rPr/>
            </w:pPr>
            <w:r>
              <w:rPr/>
              <w:t> </w:t>
            </w:r>
          </w:p>
        </w:tc>
        <w:tc>
          <w:tcPr>
            <w:tcW w:w="725" w:type="dxa"/>
            <w:tcBorders>
              <w:bottom w:val="single" w:sz="12" w:space="0" w:color="000000"/>
            </w:tcBorders>
            <w:vAlign w:val="center"/>
          </w:tcPr>
          <w:p>
            <w:pPr>
              <w:pStyle w:val="TableContents"/>
              <w:bidi w:val="0"/>
              <w:spacing w:before="0" w:after="283"/>
              <w:jc w:val="left"/>
              <w:rPr/>
            </w:pPr>
            <w:r>
              <w:rPr/>
              <w:t> </w:t>
            </w:r>
          </w:p>
        </w:tc>
        <w:tc>
          <w:tcPr>
            <w:tcW w:w="890" w:type="dxa"/>
            <w:tcBorders>
              <w:bottom w:val="single" w:sz="12" w:space="0" w:color="000000"/>
            </w:tcBorders>
            <w:vAlign w:val="center"/>
          </w:tcPr>
          <w:p>
            <w:pPr>
              <w:pStyle w:val="TableContents"/>
              <w:bidi w:val="0"/>
              <w:spacing w:before="0" w:after="283"/>
              <w:jc w:val="left"/>
              <w:rPr/>
            </w:pPr>
            <w:r>
              <w:rPr/>
              <w:t> </w:t>
            </w:r>
          </w:p>
        </w:tc>
        <w:tc>
          <w:tcPr>
            <w:tcW w:w="1430" w:type="dxa"/>
            <w:tcBorders>
              <w:bottom w:val="single" w:sz="12" w:space="0" w:color="000000"/>
            </w:tcBorders>
            <w:vAlign w:val="center"/>
          </w:tcPr>
          <w:p>
            <w:pPr>
              <w:pStyle w:val="TableContents"/>
              <w:bidi w:val="0"/>
              <w:spacing w:before="0" w:after="283"/>
              <w:jc w:val="left"/>
              <w:rPr/>
            </w:pPr>
            <w:r>
              <w:rPr/>
              <w:t> </w:t>
            </w:r>
          </w:p>
        </w:tc>
        <w:tc>
          <w:tcPr>
            <w:tcW w:w="800" w:type="dxa"/>
            <w:tcBorders>
              <w:bottom w:val="single" w:sz="12" w:space="0" w:color="000000"/>
            </w:tcBorders>
            <w:vAlign w:val="center"/>
          </w:tcPr>
          <w:p>
            <w:pPr>
              <w:pStyle w:val="TableContents"/>
              <w:bidi w:val="0"/>
              <w:spacing w:before="0" w:after="283"/>
              <w:jc w:val="left"/>
              <w:rPr/>
            </w:pPr>
            <w:r>
              <w:rPr/>
              <w:t> </w:t>
            </w:r>
          </w:p>
        </w:tc>
      </w:tr>
      <w:tr>
        <w:trPr/>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left"/>
              <w:rPr/>
            </w:pPr>
            <w:r>
              <w:rPr/>
              <w:t> </w:t>
            </w:r>
          </w:p>
        </w:tc>
        <w:tc>
          <w:tcPr>
            <w:tcW w:w="1205" w:type="dxa"/>
            <w:tcBorders/>
            <w:tcMar>
              <w:bottom w:w="0" w:type="dxa"/>
            </w:tcMar>
            <w:vAlign w:val="center"/>
          </w:tcPr>
          <w:p>
            <w:pPr>
              <w:pStyle w:val="TableContents"/>
              <w:bidi w:val="0"/>
              <w:spacing w:before="0" w:after="283"/>
              <w:jc w:val="left"/>
              <w:rPr/>
            </w:pPr>
            <w:r>
              <w:rPr/>
              <w:t> </w:t>
            </w:r>
          </w:p>
        </w:tc>
        <w:tc>
          <w:tcPr>
            <w:tcW w:w="725" w:type="dxa"/>
            <w:tcBorders/>
            <w:tcMar>
              <w:bottom w:w="0" w:type="dxa"/>
            </w:tcMar>
            <w:vAlign w:val="center"/>
          </w:tcPr>
          <w:p>
            <w:pPr>
              <w:pStyle w:val="TableContents"/>
              <w:bidi w:val="0"/>
              <w:spacing w:before="0" w:after="283"/>
              <w:jc w:val="left"/>
              <w:rPr/>
            </w:pPr>
            <w:r>
              <w:rPr/>
              <w:t> </w:t>
            </w:r>
          </w:p>
        </w:tc>
        <w:tc>
          <w:tcPr>
            <w:tcW w:w="890" w:type="dxa"/>
            <w:tcBorders/>
            <w:tcMar>
              <w:bottom w:w="0" w:type="dxa"/>
            </w:tcMar>
            <w:vAlign w:val="center"/>
          </w:tcPr>
          <w:p>
            <w:pPr>
              <w:pStyle w:val="TableContents"/>
              <w:bidi w:val="0"/>
              <w:spacing w:before="0" w:after="283"/>
              <w:jc w:val="left"/>
              <w:rPr/>
            </w:pPr>
            <w:r>
              <w:rPr/>
              <w:t> </w:t>
            </w:r>
          </w:p>
        </w:tc>
        <w:tc>
          <w:tcPr>
            <w:tcW w:w="143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left"/>
              <w:rPr/>
            </w:pPr>
            <w:r>
              <w:rPr/>
              <w:t> </w:t>
            </w:r>
          </w:p>
        </w:tc>
      </w:tr>
      <w:tr>
        <w:trPr/>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0"/>
              <w:jc w:val="left"/>
              <w:rPr/>
            </w:pPr>
            <w:r>
              <w:rPr/>
              <w:t>Banco BBVA</w:t>
            </w:r>
          </w:p>
          <w:p>
            <w:pPr>
              <w:pStyle w:val="TableContents"/>
              <w:bidi w:val="0"/>
              <w:spacing w:before="0" w:after="0"/>
              <w:jc w:val="left"/>
              <w:rPr/>
            </w:pPr>
            <w:r>
              <w:rPr/>
              <w:t>Peru</w:t>
            </w:r>
          </w:p>
        </w:tc>
        <w:tc>
          <w:tcPr>
            <w:tcW w:w="1205" w:type="dxa"/>
            <w:tcBorders/>
            <w:tcMar>
              <w:bottom w:w="0" w:type="dxa"/>
            </w:tcMar>
            <w:vAlign w:val="center"/>
          </w:tcPr>
          <w:p>
            <w:pPr>
              <w:pStyle w:val="TableContents"/>
              <w:bidi w:val="0"/>
              <w:spacing w:before="0" w:after="0"/>
              <w:jc w:val="left"/>
              <w:rPr/>
            </w:pPr>
            <w:r>
              <w:rPr/>
              <w:t>LT IDR</w:t>
            </w:r>
          </w:p>
        </w:tc>
        <w:tc>
          <w:tcPr>
            <w:tcW w:w="725" w:type="dxa"/>
            <w:tcBorders/>
            <w:tcMar>
              <w:bottom w:w="0" w:type="dxa"/>
            </w:tcMar>
            <w:vAlign w:val="center"/>
          </w:tcPr>
          <w:p>
            <w:pPr>
              <w:pStyle w:val="TableContents"/>
              <w:bidi w:val="0"/>
              <w:spacing w:before="0" w:after="0"/>
              <w:jc w:val="left"/>
              <w:rPr/>
            </w:pPr>
            <w:r>
              <w:rPr/>
              <w:t xml:space="preserve">BBB </w:t>
            </w:r>
            <w:r>
              <w:rPr/>
              <w:drawing>
                <wp:inline distT="0" distB="0" distL="0" distR="0">
                  <wp:extent cx="95250" cy="952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5250" cy="95250"/>
                          </a:xfrm>
                          <a:prstGeom prst="rect">
                            <a:avLst/>
                          </a:prstGeom>
                        </pic:spPr>
                      </pic:pic>
                    </a:graphicData>
                  </a:graphic>
                </wp:inline>
              </w:drawing>
            </w:r>
          </w:p>
        </w:tc>
        <w:tc>
          <w:tcPr>
            <w:tcW w:w="890" w:type="dxa"/>
            <w:tcBorders/>
            <w:tcMar>
              <w:bottom w:w="0" w:type="dxa"/>
            </w:tcMar>
            <w:vAlign w:val="center"/>
          </w:tcPr>
          <w:p>
            <w:pPr>
              <w:pStyle w:val="TableContents"/>
              <w:bidi w:val="0"/>
              <w:spacing w:before="0" w:after="0"/>
              <w:jc w:val="left"/>
              <w:rPr/>
            </w:pPr>
            <w:r>
              <w:rPr/>
              <w:t>Affirmed</w:t>
            </w:r>
          </w:p>
        </w:tc>
        <w:tc>
          <w:tcPr>
            <w:tcW w:w="143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0"/>
              <w:jc w:val="left"/>
              <w:rPr/>
            </w:pPr>
            <w:r>
              <w:rPr/>
              <w:t xml:space="preserve">BBB </w:t>
            </w:r>
            <w:r>
              <w:rPr/>
              <w:drawing>
                <wp:inline distT="0" distB="0" distL="0" distR="0">
                  <wp:extent cx="95250" cy="952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5250" cy="95250"/>
                          </a:xfrm>
                          <a:prstGeom prst="rect">
                            <a:avLst/>
                          </a:prstGeom>
                        </pic:spPr>
                      </pic:pic>
                    </a:graphicData>
                  </a:graphic>
                </wp:inline>
              </w:drawing>
            </w:r>
          </w:p>
        </w:tc>
      </w:tr>
      <w:tr>
        <w:trPr/>
        <w:tc>
          <w:tcPr>
            <w:tcW w:w="60" w:type="dxa"/>
            <w:tcBorders>
              <w:bottom w:val="single" w:sz="12" w:space="0" w:color="000000"/>
            </w:tcBorders>
            <w:vAlign w:val="center"/>
          </w:tcPr>
          <w:p>
            <w:pPr>
              <w:pStyle w:val="TableContents"/>
              <w:bidi w:val="0"/>
              <w:spacing w:before="0" w:after="283"/>
              <w:jc w:val="left"/>
              <w:rPr/>
            </w:pPr>
            <w:r>
              <w:rPr/>
              <w:t> </w:t>
            </w:r>
          </w:p>
        </w:tc>
        <w:tc>
          <w:tcPr>
            <w:tcW w:w="1700" w:type="dxa"/>
            <w:tcBorders>
              <w:bottom w:val="single" w:sz="12" w:space="0" w:color="000000"/>
            </w:tcBorders>
            <w:vAlign w:val="center"/>
          </w:tcPr>
          <w:p>
            <w:pPr>
              <w:pStyle w:val="TableContents"/>
              <w:bidi w:val="0"/>
              <w:spacing w:before="0" w:after="283"/>
              <w:jc w:val="left"/>
              <w:rPr/>
            </w:pPr>
            <w:r>
              <w:rPr/>
              <w:t> </w:t>
            </w:r>
          </w:p>
        </w:tc>
        <w:tc>
          <w:tcPr>
            <w:tcW w:w="1205" w:type="dxa"/>
            <w:tcBorders>
              <w:bottom w:val="single" w:sz="12" w:space="0" w:color="000000"/>
            </w:tcBorders>
            <w:vAlign w:val="center"/>
          </w:tcPr>
          <w:p>
            <w:pPr>
              <w:pStyle w:val="TableContents"/>
              <w:bidi w:val="0"/>
              <w:spacing w:before="0" w:after="283"/>
              <w:jc w:val="left"/>
              <w:rPr/>
            </w:pPr>
            <w:r>
              <w:rPr/>
              <w:t> </w:t>
            </w:r>
          </w:p>
        </w:tc>
        <w:tc>
          <w:tcPr>
            <w:tcW w:w="725" w:type="dxa"/>
            <w:tcBorders>
              <w:bottom w:val="single" w:sz="12" w:space="0" w:color="000000"/>
            </w:tcBorders>
            <w:vAlign w:val="center"/>
          </w:tcPr>
          <w:p>
            <w:pPr>
              <w:pStyle w:val="TableContents"/>
              <w:bidi w:val="0"/>
              <w:spacing w:before="0" w:after="283"/>
              <w:jc w:val="left"/>
              <w:rPr/>
            </w:pPr>
            <w:r>
              <w:rPr/>
              <w:t> </w:t>
            </w:r>
          </w:p>
        </w:tc>
        <w:tc>
          <w:tcPr>
            <w:tcW w:w="890" w:type="dxa"/>
            <w:tcBorders>
              <w:bottom w:val="single" w:sz="12" w:space="0" w:color="000000"/>
            </w:tcBorders>
            <w:vAlign w:val="center"/>
          </w:tcPr>
          <w:p>
            <w:pPr>
              <w:pStyle w:val="TableContents"/>
              <w:bidi w:val="0"/>
              <w:spacing w:before="0" w:after="283"/>
              <w:jc w:val="left"/>
              <w:rPr/>
            </w:pPr>
            <w:r>
              <w:rPr/>
              <w:t> </w:t>
            </w:r>
          </w:p>
        </w:tc>
        <w:tc>
          <w:tcPr>
            <w:tcW w:w="1430" w:type="dxa"/>
            <w:tcBorders>
              <w:bottom w:val="single" w:sz="12" w:space="0" w:color="000000"/>
            </w:tcBorders>
            <w:vAlign w:val="center"/>
          </w:tcPr>
          <w:p>
            <w:pPr>
              <w:pStyle w:val="TableContents"/>
              <w:bidi w:val="0"/>
              <w:spacing w:before="0" w:after="283"/>
              <w:jc w:val="left"/>
              <w:rPr/>
            </w:pPr>
            <w:r>
              <w:rPr/>
              <w:t> </w:t>
            </w:r>
          </w:p>
        </w:tc>
        <w:tc>
          <w:tcPr>
            <w:tcW w:w="800" w:type="dxa"/>
            <w:tcBorders>
              <w:bottom w:val="single" w:sz="12" w:space="0" w:color="000000"/>
            </w:tcBorders>
            <w:vAlign w:val="center"/>
          </w:tcPr>
          <w:p>
            <w:pPr>
              <w:pStyle w:val="TableContents"/>
              <w:bidi w:val="0"/>
              <w:spacing w:before="0" w:after="283"/>
              <w:jc w:val="left"/>
              <w:rPr/>
            </w:pPr>
            <w:r>
              <w:rPr/>
              <w:t> </w:t>
            </w:r>
          </w:p>
        </w:tc>
      </w:tr>
      <w:tr>
        <w:trPr/>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left"/>
              <w:rPr/>
            </w:pPr>
            <w:r>
              <w:rPr/>
              <w:t> </w:t>
            </w:r>
          </w:p>
        </w:tc>
        <w:tc>
          <w:tcPr>
            <w:tcW w:w="1205" w:type="dxa"/>
            <w:tcBorders/>
            <w:tcMar>
              <w:bottom w:w="0" w:type="dxa"/>
            </w:tcMar>
            <w:vAlign w:val="center"/>
          </w:tcPr>
          <w:p>
            <w:pPr>
              <w:pStyle w:val="TableContents"/>
              <w:bidi w:val="0"/>
              <w:spacing w:before="0" w:after="283"/>
              <w:jc w:val="left"/>
              <w:rPr/>
            </w:pPr>
            <w:r>
              <w:rPr/>
              <w:t> </w:t>
            </w:r>
          </w:p>
        </w:tc>
        <w:tc>
          <w:tcPr>
            <w:tcW w:w="725" w:type="dxa"/>
            <w:tcBorders/>
            <w:tcMar>
              <w:bottom w:w="0" w:type="dxa"/>
            </w:tcMar>
            <w:vAlign w:val="center"/>
          </w:tcPr>
          <w:p>
            <w:pPr>
              <w:pStyle w:val="TableContents"/>
              <w:bidi w:val="0"/>
              <w:spacing w:before="0" w:after="283"/>
              <w:jc w:val="left"/>
              <w:rPr/>
            </w:pPr>
            <w:r>
              <w:rPr/>
              <w:t> </w:t>
            </w:r>
          </w:p>
        </w:tc>
        <w:tc>
          <w:tcPr>
            <w:tcW w:w="890" w:type="dxa"/>
            <w:tcBorders/>
            <w:tcMar>
              <w:bottom w:w="0" w:type="dxa"/>
            </w:tcMar>
            <w:vAlign w:val="center"/>
          </w:tcPr>
          <w:p>
            <w:pPr>
              <w:pStyle w:val="TableContents"/>
              <w:bidi w:val="0"/>
              <w:spacing w:before="0" w:after="283"/>
              <w:jc w:val="left"/>
              <w:rPr/>
            </w:pPr>
            <w:r>
              <w:rPr/>
              <w:t> </w:t>
            </w:r>
          </w:p>
        </w:tc>
        <w:tc>
          <w:tcPr>
            <w:tcW w:w="143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left"/>
              <w:rPr/>
            </w:pPr>
            <w:r>
              <w:rPr/>
              <w:t> </w:t>
            </w:r>
          </w:p>
        </w:tc>
      </w:tr>
      <w:tr>
        <w:trPr/>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left"/>
              <w:rPr/>
            </w:pPr>
            <w:r>
              <w:rPr/>
              <w:t> </w:t>
            </w:r>
          </w:p>
        </w:tc>
        <w:tc>
          <w:tcPr>
            <w:tcW w:w="1205" w:type="dxa"/>
            <w:tcBorders/>
            <w:tcMar>
              <w:bottom w:w="0" w:type="dxa"/>
            </w:tcMar>
            <w:vAlign w:val="center"/>
          </w:tcPr>
          <w:p>
            <w:pPr>
              <w:pStyle w:val="TableContents"/>
              <w:bidi w:val="0"/>
              <w:spacing w:before="0" w:after="0"/>
              <w:jc w:val="left"/>
              <w:rPr/>
            </w:pPr>
            <w:r>
              <w:rPr/>
              <w:t>ST IDR</w:t>
            </w:r>
          </w:p>
        </w:tc>
        <w:tc>
          <w:tcPr>
            <w:tcW w:w="725" w:type="dxa"/>
            <w:tcBorders/>
            <w:tcMar>
              <w:bottom w:w="0" w:type="dxa"/>
            </w:tcMar>
            <w:vAlign w:val="center"/>
          </w:tcPr>
          <w:p>
            <w:pPr>
              <w:pStyle w:val="TableContents"/>
              <w:bidi w:val="0"/>
              <w:spacing w:before="0" w:after="0"/>
              <w:jc w:val="left"/>
              <w:rPr/>
            </w:pPr>
            <w:r>
              <w:rPr/>
              <w:t>F2</w:t>
            </w:r>
          </w:p>
        </w:tc>
        <w:tc>
          <w:tcPr>
            <w:tcW w:w="890" w:type="dxa"/>
            <w:tcBorders/>
            <w:tcMar>
              <w:bottom w:w="0" w:type="dxa"/>
            </w:tcMar>
            <w:vAlign w:val="center"/>
          </w:tcPr>
          <w:p>
            <w:pPr>
              <w:pStyle w:val="TableContents"/>
              <w:bidi w:val="0"/>
              <w:spacing w:before="0" w:after="0"/>
              <w:jc w:val="left"/>
              <w:rPr/>
            </w:pPr>
            <w:r>
              <w:rPr/>
              <w:t>Affirmed</w:t>
            </w:r>
          </w:p>
        </w:tc>
        <w:tc>
          <w:tcPr>
            <w:tcW w:w="143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0"/>
              <w:jc w:val="left"/>
              <w:rPr/>
            </w:pPr>
            <w:r>
              <w:rPr/>
              <w:t>F2</w:t>
            </w:r>
          </w:p>
        </w:tc>
      </w:tr>
      <w:tr>
        <w:trPr/>
        <w:tc>
          <w:tcPr>
            <w:tcW w:w="60" w:type="dxa"/>
            <w:tcBorders>
              <w:bottom w:val="single" w:sz="12" w:space="0" w:color="000000"/>
            </w:tcBorders>
            <w:vAlign w:val="center"/>
          </w:tcPr>
          <w:p>
            <w:pPr>
              <w:pStyle w:val="TableContents"/>
              <w:bidi w:val="0"/>
              <w:spacing w:before="0" w:after="283"/>
              <w:jc w:val="left"/>
              <w:rPr/>
            </w:pPr>
            <w:r>
              <w:rPr/>
              <w:t> </w:t>
            </w:r>
          </w:p>
        </w:tc>
        <w:tc>
          <w:tcPr>
            <w:tcW w:w="1700" w:type="dxa"/>
            <w:tcBorders>
              <w:bottom w:val="single" w:sz="12" w:space="0" w:color="000000"/>
            </w:tcBorders>
            <w:vAlign w:val="center"/>
          </w:tcPr>
          <w:p>
            <w:pPr>
              <w:pStyle w:val="TableContents"/>
              <w:bidi w:val="0"/>
              <w:spacing w:before="0" w:after="283"/>
              <w:jc w:val="left"/>
              <w:rPr/>
            </w:pPr>
            <w:r>
              <w:rPr/>
              <w:t> </w:t>
            </w:r>
          </w:p>
        </w:tc>
        <w:tc>
          <w:tcPr>
            <w:tcW w:w="1205" w:type="dxa"/>
            <w:tcBorders>
              <w:bottom w:val="single" w:sz="12" w:space="0" w:color="000000"/>
            </w:tcBorders>
            <w:vAlign w:val="center"/>
          </w:tcPr>
          <w:p>
            <w:pPr>
              <w:pStyle w:val="TableContents"/>
              <w:bidi w:val="0"/>
              <w:spacing w:before="0" w:after="283"/>
              <w:jc w:val="left"/>
              <w:rPr/>
            </w:pPr>
            <w:r>
              <w:rPr/>
              <w:t> </w:t>
            </w:r>
          </w:p>
        </w:tc>
        <w:tc>
          <w:tcPr>
            <w:tcW w:w="725" w:type="dxa"/>
            <w:tcBorders>
              <w:bottom w:val="single" w:sz="12" w:space="0" w:color="000000"/>
            </w:tcBorders>
            <w:vAlign w:val="center"/>
          </w:tcPr>
          <w:p>
            <w:pPr>
              <w:pStyle w:val="TableContents"/>
              <w:bidi w:val="0"/>
              <w:spacing w:before="0" w:after="283"/>
              <w:jc w:val="left"/>
              <w:rPr/>
            </w:pPr>
            <w:r>
              <w:rPr/>
              <w:t> </w:t>
            </w:r>
          </w:p>
        </w:tc>
        <w:tc>
          <w:tcPr>
            <w:tcW w:w="890" w:type="dxa"/>
            <w:tcBorders>
              <w:bottom w:val="single" w:sz="12" w:space="0" w:color="000000"/>
            </w:tcBorders>
            <w:vAlign w:val="center"/>
          </w:tcPr>
          <w:p>
            <w:pPr>
              <w:pStyle w:val="TableContents"/>
              <w:bidi w:val="0"/>
              <w:spacing w:before="0" w:after="283"/>
              <w:jc w:val="left"/>
              <w:rPr/>
            </w:pPr>
            <w:r>
              <w:rPr/>
              <w:t> </w:t>
            </w:r>
          </w:p>
        </w:tc>
        <w:tc>
          <w:tcPr>
            <w:tcW w:w="1430" w:type="dxa"/>
            <w:tcBorders>
              <w:bottom w:val="single" w:sz="12" w:space="0" w:color="000000"/>
            </w:tcBorders>
            <w:vAlign w:val="center"/>
          </w:tcPr>
          <w:p>
            <w:pPr>
              <w:pStyle w:val="TableContents"/>
              <w:bidi w:val="0"/>
              <w:spacing w:before="0" w:after="283"/>
              <w:jc w:val="left"/>
              <w:rPr/>
            </w:pPr>
            <w:r>
              <w:rPr/>
              <w:t> </w:t>
            </w:r>
          </w:p>
        </w:tc>
        <w:tc>
          <w:tcPr>
            <w:tcW w:w="800" w:type="dxa"/>
            <w:tcBorders>
              <w:bottom w:val="single" w:sz="12" w:space="0" w:color="000000"/>
            </w:tcBorders>
            <w:vAlign w:val="center"/>
          </w:tcPr>
          <w:p>
            <w:pPr>
              <w:pStyle w:val="TableContents"/>
              <w:bidi w:val="0"/>
              <w:spacing w:before="0" w:after="283"/>
              <w:jc w:val="left"/>
              <w:rPr/>
            </w:pPr>
            <w:r>
              <w:rPr/>
              <w:t> </w:t>
            </w:r>
          </w:p>
        </w:tc>
      </w:tr>
      <w:tr>
        <w:trPr/>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left"/>
              <w:rPr/>
            </w:pPr>
            <w:r>
              <w:rPr/>
              <w:t> </w:t>
            </w:r>
          </w:p>
        </w:tc>
        <w:tc>
          <w:tcPr>
            <w:tcW w:w="1205" w:type="dxa"/>
            <w:tcBorders/>
            <w:tcMar>
              <w:bottom w:w="0" w:type="dxa"/>
            </w:tcMar>
            <w:vAlign w:val="center"/>
          </w:tcPr>
          <w:p>
            <w:pPr>
              <w:pStyle w:val="TableContents"/>
              <w:bidi w:val="0"/>
              <w:spacing w:before="0" w:after="283"/>
              <w:jc w:val="left"/>
              <w:rPr/>
            </w:pPr>
            <w:r>
              <w:rPr/>
              <w:t> </w:t>
            </w:r>
          </w:p>
        </w:tc>
        <w:tc>
          <w:tcPr>
            <w:tcW w:w="725" w:type="dxa"/>
            <w:tcBorders/>
            <w:tcMar>
              <w:bottom w:w="0" w:type="dxa"/>
            </w:tcMar>
            <w:vAlign w:val="center"/>
          </w:tcPr>
          <w:p>
            <w:pPr>
              <w:pStyle w:val="TableContents"/>
              <w:bidi w:val="0"/>
              <w:spacing w:before="0" w:after="283"/>
              <w:jc w:val="left"/>
              <w:rPr/>
            </w:pPr>
            <w:r>
              <w:rPr/>
              <w:t> </w:t>
            </w:r>
          </w:p>
        </w:tc>
        <w:tc>
          <w:tcPr>
            <w:tcW w:w="890" w:type="dxa"/>
            <w:tcBorders/>
            <w:tcMar>
              <w:bottom w:w="0" w:type="dxa"/>
            </w:tcMar>
            <w:vAlign w:val="center"/>
          </w:tcPr>
          <w:p>
            <w:pPr>
              <w:pStyle w:val="TableContents"/>
              <w:bidi w:val="0"/>
              <w:spacing w:before="0" w:after="283"/>
              <w:jc w:val="left"/>
              <w:rPr/>
            </w:pPr>
            <w:r>
              <w:rPr/>
              <w:t> </w:t>
            </w:r>
          </w:p>
        </w:tc>
        <w:tc>
          <w:tcPr>
            <w:tcW w:w="143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left"/>
              <w:rPr/>
            </w:pPr>
            <w:r>
              <w:rPr/>
              <w:t> </w:t>
            </w:r>
          </w:p>
        </w:tc>
      </w:tr>
      <w:tr>
        <w:trPr/>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left"/>
              <w:rPr/>
            </w:pPr>
            <w:r>
              <w:rPr/>
              <w:t> </w:t>
            </w:r>
          </w:p>
        </w:tc>
        <w:tc>
          <w:tcPr>
            <w:tcW w:w="1205" w:type="dxa"/>
            <w:tcBorders/>
            <w:tcMar>
              <w:bottom w:w="0" w:type="dxa"/>
            </w:tcMar>
            <w:vAlign w:val="center"/>
          </w:tcPr>
          <w:p>
            <w:pPr>
              <w:pStyle w:val="TableContents"/>
              <w:bidi w:val="0"/>
              <w:spacing w:before="0" w:after="0"/>
              <w:jc w:val="left"/>
              <w:rPr/>
            </w:pPr>
            <w:r>
              <w:rPr/>
              <w:t>LC LT IDR</w:t>
            </w:r>
          </w:p>
        </w:tc>
        <w:tc>
          <w:tcPr>
            <w:tcW w:w="725" w:type="dxa"/>
            <w:tcBorders/>
            <w:tcMar>
              <w:bottom w:w="0" w:type="dxa"/>
            </w:tcMar>
            <w:vAlign w:val="center"/>
          </w:tcPr>
          <w:p>
            <w:pPr>
              <w:pStyle w:val="TableContents"/>
              <w:bidi w:val="0"/>
              <w:spacing w:before="0" w:after="0"/>
              <w:jc w:val="left"/>
              <w:rPr/>
            </w:pPr>
            <w:r>
              <w:rPr/>
              <w:t xml:space="preserve">BBB </w:t>
            </w:r>
            <w:r>
              <w:rPr/>
              <w:drawing>
                <wp:inline distT="0" distB="0" distL="0" distR="0">
                  <wp:extent cx="95250" cy="952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5250" cy="95250"/>
                          </a:xfrm>
                          <a:prstGeom prst="rect">
                            <a:avLst/>
                          </a:prstGeom>
                        </pic:spPr>
                      </pic:pic>
                    </a:graphicData>
                  </a:graphic>
                </wp:inline>
              </w:drawing>
            </w:r>
          </w:p>
        </w:tc>
        <w:tc>
          <w:tcPr>
            <w:tcW w:w="890" w:type="dxa"/>
            <w:tcBorders/>
            <w:tcMar>
              <w:bottom w:w="0" w:type="dxa"/>
            </w:tcMar>
            <w:vAlign w:val="center"/>
          </w:tcPr>
          <w:p>
            <w:pPr>
              <w:pStyle w:val="TableContents"/>
              <w:bidi w:val="0"/>
              <w:spacing w:before="0" w:after="0"/>
              <w:jc w:val="left"/>
              <w:rPr/>
            </w:pPr>
            <w:r>
              <w:rPr/>
              <w:t>Affirmed</w:t>
            </w:r>
          </w:p>
        </w:tc>
        <w:tc>
          <w:tcPr>
            <w:tcW w:w="143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0"/>
              <w:jc w:val="left"/>
              <w:rPr/>
            </w:pPr>
            <w:r>
              <w:rPr/>
              <w:t xml:space="preserve">BBB </w:t>
            </w:r>
            <w:r>
              <w:rPr/>
              <w:drawing>
                <wp:inline distT="0" distB="0" distL="0" distR="0">
                  <wp:extent cx="95250" cy="952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5250" cy="95250"/>
                          </a:xfrm>
                          <a:prstGeom prst="rect">
                            <a:avLst/>
                          </a:prstGeom>
                        </pic:spPr>
                      </pic:pic>
                    </a:graphicData>
                  </a:graphic>
                </wp:inline>
              </w:drawing>
            </w:r>
          </w:p>
        </w:tc>
      </w:tr>
      <w:tr>
        <w:trPr/>
        <w:tc>
          <w:tcPr>
            <w:tcW w:w="60" w:type="dxa"/>
            <w:tcBorders>
              <w:bottom w:val="single" w:sz="12" w:space="0" w:color="000000"/>
            </w:tcBorders>
            <w:vAlign w:val="center"/>
          </w:tcPr>
          <w:p>
            <w:pPr>
              <w:pStyle w:val="TableContents"/>
              <w:bidi w:val="0"/>
              <w:spacing w:before="0" w:after="283"/>
              <w:jc w:val="left"/>
              <w:rPr/>
            </w:pPr>
            <w:r>
              <w:rPr/>
              <w:t> </w:t>
            </w:r>
          </w:p>
        </w:tc>
        <w:tc>
          <w:tcPr>
            <w:tcW w:w="1700" w:type="dxa"/>
            <w:tcBorders>
              <w:bottom w:val="single" w:sz="12" w:space="0" w:color="000000"/>
            </w:tcBorders>
            <w:vAlign w:val="center"/>
          </w:tcPr>
          <w:p>
            <w:pPr>
              <w:pStyle w:val="TableContents"/>
              <w:bidi w:val="0"/>
              <w:spacing w:before="0" w:after="283"/>
              <w:jc w:val="left"/>
              <w:rPr/>
            </w:pPr>
            <w:r>
              <w:rPr/>
              <w:t> </w:t>
            </w:r>
          </w:p>
        </w:tc>
        <w:tc>
          <w:tcPr>
            <w:tcW w:w="1205" w:type="dxa"/>
            <w:tcBorders>
              <w:bottom w:val="single" w:sz="12" w:space="0" w:color="000000"/>
            </w:tcBorders>
            <w:vAlign w:val="center"/>
          </w:tcPr>
          <w:p>
            <w:pPr>
              <w:pStyle w:val="TableContents"/>
              <w:bidi w:val="0"/>
              <w:spacing w:before="0" w:after="283"/>
              <w:jc w:val="left"/>
              <w:rPr/>
            </w:pPr>
            <w:r>
              <w:rPr/>
              <w:t> </w:t>
            </w:r>
          </w:p>
        </w:tc>
        <w:tc>
          <w:tcPr>
            <w:tcW w:w="725" w:type="dxa"/>
            <w:tcBorders>
              <w:bottom w:val="single" w:sz="12" w:space="0" w:color="000000"/>
            </w:tcBorders>
            <w:vAlign w:val="center"/>
          </w:tcPr>
          <w:p>
            <w:pPr>
              <w:pStyle w:val="TableContents"/>
              <w:bidi w:val="0"/>
              <w:spacing w:before="0" w:after="283"/>
              <w:jc w:val="left"/>
              <w:rPr/>
            </w:pPr>
            <w:r>
              <w:rPr/>
              <w:t> </w:t>
            </w:r>
          </w:p>
        </w:tc>
        <w:tc>
          <w:tcPr>
            <w:tcW w:w="890" w:type="dxa"/>
            <w:tcBorders>
              <w:bottom w:val="single" w:sz="12" w:space="0" w:color="000000"/>
            </w:tcBorders>
            <w:vAlign w:val="center"/>
          </w:tcPr>
          <w:p>
            <w:pPr>
              <w:pStyle w:val="TableContents"/>
              <w:bidi w:val="0"/>
              <w:spacing w:before="0" w:after="283"/>
              <w:jc w:val="left"/>
              <w:rPr/>
            </w:pPr>
            <w:r>
              <w:rPr/>
              <w:t> </w:t>
            </w:r>
          </w:p>
        </w:tc>
        <w:tc>
          <w:tcPr>
            <w:tcW w:w="1430" w:type="dxa"/>
            <w:tcBorders>
              <w:bottom w:val="single" w:sz="12" w:space="0" w:color="000000"/>
            </w:tcBorders>
            <w:vAlign w:val="center"/>
          </w:tcPr>
          <w:p>
            <w:pPr>
              <w:pStyle w:val="TableContents"/>
              <w:bidi w:val="0"/>
              <w:spacing w:before="0" w:after="283"/>
              <w:jc w:val="left"/>
              <w:rPr/>
            </w:pPr>
            <w:r>
              <w:rPr/>
              <w:t> </w:t>
            </w:r>
          </w:p>
        </w:tc>
        <w:tc>
          <w:tcPr>
            <w:tcW w:w="800" w:type="dxa"/>
            <w:tcBorders>
              <w:bottom w:val="single" w:sz="12" w:space="0" w:color="000000"/>
            </w:tcBorders>
            <w:vAlign w:val="center"/>
          </w:tcPr>
          <w:p>
            <w:pPr>
              <w:pStyle w:val="TableContents"/>
              <w:bidi w:val="0"/>
              <w:spacing w:before="0" w:after="283"/>
              <w:jc w:val="left"/>
              <w:rPr/>
            </w:pPr>
            <w:r>
              <w:rPr/>
              <w:t> </w:t>
            </w:r>
          </w:p>
        </w:tc>
      </w:tr>
      <w:tr>
        <w:trPr/>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left"/>
              <w:rPr/>
            </w:pPr>
            <w:r>
              <w:rPr/>
              <w:t> </w:t>
            </w:r>
          </w:p>
        </w:tc>
        <w:tc>
          <w:tcPr>
            <w:tcW w:w="1205" w:type="dxa"/>
            <w:tcBorders/>
            <w:tcMar>
              <w:bottom w:w="0" w:type="dxa"/>
            </w:tcMar>
            <w:vAlign w:val="center"/>
          </w:tcPr>
          <w:p>
            <w:pPr>
              <w:pStyle w:val="TableContents"/>
              <w:bidi w:val="0"/>
              <w:spacing w:before="0" w:after="283"/>
              <w:jc w:val="left"/>
              <w:rPr/>
            </w:pPr>
            <w:r>
              <w:rPr/>
              <w:t> </w:t>
            </w:r>
          </w:p>
        </w:tc>
        <w:tc>
          <w:tcPr>
            <w:tcW w:w="725" w:type="dxa"/>
            <w:tcBorders/>
            <w:tcMar>
              <w:bottom w:w="0" w:type="dxa"/>
            </w:tcMar>
            <w:vAlign w:val="center"/>
          </w:tcPr>
          <w:p>
            <w:pPr>
              <w:pStyle w:val="TableContents"/>
              <w:bidi w:val="0"/>
              <w:spacing w:before="0" w:after="283"/>
              <w:jc w:val="left"/>
              <w:rPr/>
            </w:pPr>
            <w:r>
              <w:rPr/>
              <w:t> </w:t>
            </w:r>
          </w:p>
        </w:tc>
        <w:tc>
          <w:tcPr>
            <w:tcW w:w="890" w:type="dxa"/>
            <w:tcBorders/>
            <w:tcMar>
              <w:bottom w:w="0" w:type="dxa"/>
            </w:tcMar>
            <w:vAlign w:val="center"/>
          </w:tcPr>
          <w:p>
            <w:pPr>
              <w:pStyle w:val="TableContents"/>
              <w:bidi w:val="0"/>
              <w:spacing w:before="0" w:after="283"/>
              <w:jc w:val="left"/>
              <w:rPr/>
            </w:pPr>
            <w:r>
              <w:rPr/>
              <w:t> </w:t>
            </w:r>
          </w:p>
        </w:tc>
        <w:tc>
          <w:tcPr>
            <w:tcW w:w="143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left"/>
              <w:rPr/>
            </w:pPr>
            <w:r>
              <w:rPr/>
              <w:t> </w:t>
            </w:r>
          </w:p>
        </w:tc>
      </w:tr>
      <w:tr>
        <w:trPr/>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left"/>
              <w:rPr/>
            </w:pPr>
            <w:r>
              <w:rPr/>
              <w:t> </w:t>
            </w:r>
          </w:p>
        </w:tc>
        <w:tc>
          <w:tcPr>
            <w:tcW w:w="1205" w:type="dxa"/>
            <w:tcBorders/>
            <w:tcMar>
              <w:bottom w:w="0" w:type="dxa"/>
            </w:tcMar>
            <w:vAlign w:val="center"/>
          </w:tcPr>
          <w:p>
            <w:pPr>
              <w:pStyle w:val="TableContents"/>
              <w:bidi w:val="0"/>
              <w:spacing w:before="0" w:after="0"/>
              <w:jc w:val="left"/>
              <w:rPr/>
            </w:pPr>
            <w:r>
              <w:rPr/>
              <w:t>LC ST IDR</w:t>
            </w:r>
          </w:p>
        </w:tc>
        <w:tc>
          <w:tcPr>
            <w:tcW w:w="725" w:type="dxa"/>
            <w:tcBorders/>
            <w:tcMar>
              <w:bottom w:w="0" w:type="dxa"/>
            </w:tcMar>
            <w:vAlign w:val="center"/>
          </w:tcPr>
          <w:p>
            <w:pPr>
              <w:pStyle w:val="TableContents"/>
              <w:bidi w:val="0"/>
              <w:spacing w:before="0" w:after="0"/>
              <w:jc w:val="left"/>
              <w:rPr/>
            </w:pPr>
            <w:r>
              <w:rPr/>
              <w:t>F2</w:t>
            </w:r>
          </w:p>
        </w:tc>
        <w:tc>
          <w:tcPr>
            <w:tcW w:w="890" w:type="dxa"/>
            <w:tcBorders/>
            <w:tcMar>
              <w:bottom w:w="0" w:type="dxa"/>
            </w:tcMar>
            <w:vAlign w:val="center"/>
          </w:tcPr>
          <w:p>
            <w:pPr>
              <w:pStyle w:val="TableContents"/>
              <w:bidi w:val="0"/>
              <w:spacing w:before="0" w:after="0"/>
              <w:jc w:val="left"/>
              <w:rPr/>
            </w:pPr>
            <w:r>
              <w:rPr/>
              <w:t>Affirmed</w:t>
            </w:r>
          </w:p>
        </w:tc>
        <w:tc>
          <w:tcPr>
            <w:tcW w:w="143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0"/>
              <w:jc w:val="left"/>
              <w:rPr/>
            </w:pPr>
            <w:r>
              <w:rPr/>
              <w:t>F2</w:t>
            </w:r>
          </w:p>
        </w:tc>
      </w:tr>
      <w:tr>
        <w:trPr/>
        <w:tc>
          <w:tcPr>
            <w:tcW w:w="60" w:type="dxa"/>
            <w:tcBorders>
              <w:bottom w:val="single" w:sz="12" w:space="0" w:color="000000"/>
            </w:tcBorders>
            <w:vAlign w:val="center"/>
          </w:tcPr>
          <w:p>
            <w:pPr>
              <w:pStyle w:val="TableContents"/>
              <w:bidi w:val="0"/>
              <w:spacing w:before="0" w:after="283"/>
              <w:jc w:val="left"/>
              <w:rPr/>
            </w:pPr>
            <w:r>
              <w:rPr/>
              <w:t> </w:t>
            </w:r>
          </w:p>
        </w:tc>
        <w:tc>
          <w:tcPr>
            <w:tcW w:w="1700" w:type="dxa"/>
            <w:tcBorders>
              <w:bottom w:val="single" w:sz="12" w:space="0" w:color="000000"/>
            </w:tcBorders>
            <w:vAlign w:val="center"/>
          </w:tcPr>
          <w:p>
            <w:pPr>
              <w:pStyle w:val="TableContents"/>
              <w:bidi w:val="0"/>
              <w:spacing w:before="0" w:after="283"/>
              <w:jc w:val="left"/>
              <w:rPr/>
            </w:pPr>
            <w:r>
              <w:rPr/>
              <w:t> </w:t>
            </w:r>
          </w:p>
        </w:tc>
        <w:tc>
          <w:tcPr>
            <w:tcW w:w="1205" w:type="dxa"/>
            <w:tcBorders>
              <w:bottom w:val="single" w:sz="12" w:space="0" w:color="000000"/>
            </w:tcBorders>
            <w:vAlign w:val="center"/>
          </w:tcPr>
          <w:p>
            <w:pPr>
              <w:pStyle w:val="TableContents"/>
              <w:bidi w:val="0"/>
              <w:spacing w:before="0" w:after="283"/>
              <w:jc w:val="left"/>
              <w:rPr/>
            </w:pPr>
            <w:r>
              <w:rPr/>
              <w:t> </w:t>
            </w:r>
          </w:p>
        </w:tc>
        <w:tc>
          <w:tcPr>
            <w:tcW w:w="725" w:type="dxa"/>
            <w:tcBorders>
              <w:bottom w:val="single" w:sz="12" w:space="0" w:color="000000"/>
            </w:tcBorders>
            <w:vAlign w:val="center"/>
          </w:tcPr>
          <w:p>
            <w:pPr>
              <w:pStyle w:val="TableContents"/>
              <w:bidi w:val="0"/>
              <w:spacing w:before="0" w:after="283"/>
              <w:jc w:val="left"/>
              <w:rPr/>
            </w:pPr>
            <w:r>
              <w:rPr/>
              <w:t> </w:t>
            </w:r>
          </w:p>
        </w:tc>
        <w:tc>
          <w:tcPr>
            <w:tcW w:w="890" w:type="dxa"/>
            <w:tcBorders>
              <w:bottom w:val="single" w:sz="12" w:space="0" w:color="000000"/>
            </w:tcBorders>
            <w:vAlign w:val="center"/>
          </w:tcPr>
          <w:p>
            <w:pPr>
              <w:pStyle w:val="TableContents"/>
              <w:bidi w:val="0"/>
              <w:spacing w:before="0" w:after="283"/>
              <w:jc w:val="left"/>
              <w:rPr/>
            </w:pPr>
            <w:r>
              <w:rPr/>
              <w:t> </w:t>
            </w:r>
          </w:p>
        </w:tc>
        <w:tc>
          <w:tcPr>
            <w:tcW w:w="1430" w:type="dxa"/>
            <w:tcBorders>
              <w:bottom w:val="single" w:sz="12" w:space="0" w:color="000000"/>
            </w:tcBorders>
            <w:vAlign w:val="center"/>
          </w:tcPr>
          <w:p>
            <w:pPr>
              <w:pStyle w:val="TableContents"/>
              <w:bidi w:val="0"/>
              <w:spacing w:before="0" w:after="283"/>
              <w:jc w:val="left"/>
              <w:rPr/>
            </w:pPr>
            <w:r>
              <w:rPr/>
              <w:t> </w:t>
            </w:r>
          </w:p>
        </w:tc>
        <w:tc>
          <w:tcPr>
            <w:tcW w:w="800" w:type="dxa"/>
            <w:tcBorders>
              <w:bottom w:val="single" w:sz="12" w:space="0" w:color="000000"/>
            </w:tcBorders>
            <w:vAlign w:val="center"/>
          </w:tcPr>
          <w:p>
            <w:pPr>
              <w:pStyle w:val="TableContents"/>
              <w:bidi w:val="0"/>
              <w:spacing w:before="0" w:after="283"/>
              <w:jc w:val="left"/>
              <w:rPr/>
            </w:pPr>
            <w:r>
              <w:rPr/>
              <w:t> </w:t>
            </w:r>
          </w:p>
        </w:tc>
      </w:tr>
      <w:tr>
        <w:trPr/>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left"/>
              <w:rPr/>
            </w:pPr>
            <w:r>
              <w:rPr/>
              <w:t> </w:t>
            </w:r>
          </w:p>
        </w:tc>
        <w:tc>
          <w:tcPr>
            <w:tcW w:w="1205" w:type="dxa"/>
            <w:tcBorders/>
            <w:tcMar>
              <w:bottom w:w="0" w:type="dxa"/>
            </w:tcMar>
            <w:vAlign w:val="center"/>
          </w:tcPr>
          <w:p>
            <w:pPr>
              <w:pStyle w:val="TableContents"/>
              <w:bidi w:val="0"/>
              <w:spacing w:before="0" w:after="283"/>
              <w:jc w:val="left"/>
              <w:rPr/>
            </w:pPr>
            <w:r>
              <w:rPr/>
              <w:t> </w:t>
            </w:r>
          </w:p>
        </w:tc>
        <w:tc>
          <w:tcPr>
            <w:tcW w:w="725" w:type="dxa"/>
            <w:tcBorders/>
            <w:tcMar>
              <w:bottom w:w="0" w:type="dxa"/>
            </w:tcMar>
            <w:vAlign w:val="center"/>
          </w:tcPr>
          <w:p>
            <w:pPr>
              <w:pStyle w:val="TableContents"/>
              <w:bidi w:val="0"/>
              <w:spacing w:before="0" w:after="283"/>
              <w:jc w:val="left"/>
              <w:rPr/>
            </w:pPr>
            <w:r>
              <w:rPr/>
              <w:t> </w:t>
            </w:r>
          </w:p>
        </w:tc>
        <w:tc>
          <w:tcPr>
            <w:tcW w:w="890" w:type="dxa"/>
            <w:tcBorders/>
            <w:tcMar>
              <w:bottom w:w="0" w:type="dxa"/>
            </w:tcMar>
            <w:vAlign w:val="center"/>
          </w:tcPr>
          <w:p>
            <w:pPr>
              <w:pStyle w:val="TableContents"/>
              <w:bidi w:val="0"/>
              <w:spacing w:before="0" w:after="283"/>
              <w:jc w:val="left"/>
              <w:rPr/>
            </w:pPr>
            <w:r>
              <w:rPr/>
              <w:t> </w:t>
            </w:r>
          </w:p>
        </w:tc>
        <w:tc>
          <w:tcPr>
            <w:tcW w:w="143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left"/>
              <w:rPr/>
            </w:pPr>
            <w:r>
              <w:rPr/>
              <w:t> </w:t>
            </w:r>
          </w:p>
        </w:tc>
      </w:tr>
      <w:tr>
        <w:trPr/>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left"/>
              <w:rPr/>
            </w:pPr>
            <w:r>
              <w:rPr/>
              <w:t> </w:t>
            </w:r>
          </w:p>
        </w:tc>
        <w:tc>
          <w:tcPr>
            <w:tcW w:w="1205" w:type="dxa"/>
            <w:tcBorders/>
            <w:tcMar>
              <w:bottom w:w="0" w:type="dxa"/>
            </w:tcMar>
            <w:vAlign w:val="center"/>
          </w:tcPr>
          <w:p>
            <w:pPr>
              <w:pStyle w:val="TableContents"/>
              <w:bidi w:val="0"/>
              <w:spacing w:before="0" w:after="0"/>
              <w:jc w:val="left"/>
              <w:rPr/>
            </w:pPr>
            <w:r>
              <w:rPr/>
              <w:t>Viability</w:t>
            </w:r>
          </w:p>
        </w:tc>
        <w:tc>
          <w:tcPr>
            <w:tcW w:w="725" w:type="dxa"/>
            <w:tcBorders/>
            <w:tcMar>
              <w:bottom w:w="0" w:type="dxa"/>
            </w:tcMar>
            <w:vAlign w:val="center"/>
          </w:tcPr>
          <w:p>
            <w:pPr>
              <w:pStyle w:val="TableContents"/>
              <w:bidi w:val="0"/>
              <w:spacing w:before="0" w:after="0"/>
              <w:jc w:val="left"/>
              <w:rPr/>
            </w:pPr>
            <w:r>
              <w:rPr/>
              <w:t>bbb</w:t>
            </w:r>
          </w:p>
        </w:tc>
        <w:tc>
          <w:tcPr>
            <w:tcW w:w="890" w:type="dxa"/>
            <w:tcBorders/>
            <w:tcMar>
              <w:bottom w:w="0" w:type="dxa"/>
            </w:tcMar>
            <w:vAlign w:val="center"/>
          </w:tcPr>
          <w:p>
            <w:pPr>
              <w:pStyle w:val="TableContents"/>
              <w:bidi w:val="0"/>
              <w:spacing w:before="0" w:after="0"/>
              <w:jc w:val="left"/>
              <w:rPr/>
            </w:pPr>
            <w:r>
              <w:rPr/>
              <w:t>Affirmed</w:t>
            </w:r>
          </w:p>
        </w:tc>
        <w:tc>
          <w:tcPr>
            <w:tcW w:w="143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0"/>
              <w:jc w:val="left"/>
              <w:rPr/>
            </w:pPr>
            <w:r>
              <w:rPr/>
              <w:t>bbb</w:t>
            </w:r>
          </w:p>
        </w:tc>
      </w:tr>
      <w:tr>
        <w:trPr/>
        <w:tc>
          <w:tcPr>
            <w:tcW w:w="60" w:type="dxa"/>
            <w:tcBorders>
              <w:bottom w:val="single" w:sz="12" w:space="0" w:color="000000"/>
            </w:tcBorders>
            <w:vAlign w:val="center"/>
          </w:tcPr>
          <w:p>
            <w:pPr>
              <w:pStyle w:val="TableContents"/>
              <w:bidi w:val="0"/>
              <w:spacing w:before="0" w:after="283"/>
              <w:jc w:val="left"/>
              <w:rPr/>
            </w:pPr>
            <w:r>
              <w:rPr/>
              <w:t> </w:t>
            </w:r>
          </w:p>
        </w:tc>
        <w:tc>
          <w:tcPr>
            <w:tcW w:w="1700" w:type="dxa"/>
            <w:tcBorders>
              <w:bottom w:val="single" w:sz="12" w:space="0" w:color="000000"/>
            </w:tcBorders>
            <w:vAlign w:val="center"/>
          </w:tcPr>
          <w:p>
            <w:pPr>
              <w:pStyle w:val="TableContents"/>
              <w:bidi w:val="0"/>
              <w:spacing w:before="0" w:after="283"/>
              <w:jc w:val="left"/>
              <w:rPr/>
            </w:pPr>
            <w:r>
              <w:rPr/>
              <w:t> </w:t>
            </w:r>
          </w:p>
        </w:tc>
        <w:tc>
          <w:tcPr>
            <w:tcW w:w="1205" w:type="dxa"/>
            <w:tcBorders>
              <w:bottom w:val="single" w:sz="12" w:space="0" w:color="000000"/>
            </w:tcBorders>
            <w:vAlign w:val="center"/>
          </w:tcPr>
          <w:p>
            <w:pPr>
              <w:pStyle w:val="TableContents"/>
              <w:bidi w:val="0"/>
              <w:spacing w:before="0" w:after="283"/>
              <w:jc w:val="left"/>
              <w:rPr/>
            </w:pPr>
            <w:r>
              <w:rPr/>
              <w:t> </w:t>
            </w:r>
          </w:p>
        </w:tc>
        <w:tc>
          <w:tcPr>
            <w:tcW w:w="725" w:type="dxa"/>
            <w:tcBorders>
              <w:bottom w:val="single" w:sz="12" w:space="0" w:color="000000"/>
            </w:tcBorders>
            <w:vAlign w:val="center"/>
          </w:tcPr>
          <w:p>
            <w:pPr>
              <w:pStyle w:val="TableContents"/>
              <w:bidi w:val="0"/>
              <w:spacing w:before="0" w:after="283"/>
              <w:jc w:val="left"/>
              <w:rPr/>
            </w:pPr>
            <w:r>
              <w:rPr/>
              <w:t> </w:t>
            </w:r>
          </w:p>
        </w:tc>
        <w:tc>
          <w:tcPr>
            <w:tcW w:w="890" w:type="dxa"/>
            <w:tcBorders>
              <w:bottom w:val="single" w:sz="12" w:space="0" w:color="000000"/>
            </w:tcBorders>
            <w:vAlign w:val="center"/>
          </w:tcPr>
          <w:p>
            <w:pPr>
              <w:pStyle w:val="TableContents"/>
              <w:bidi w:val="0"/>
              <w:spacing w:before="0" w:after="283"/>
              <w:jc w:val="left"/>
              <w:rPr/>
            </w:pPr>
            <w:r>
              <w:rPr/>
              <w:t> </w:t>
            </w:r>
          </w:p>
        </w:tc>
        <w:tc>
          <w:tcPr>
            <w:tcW w:w="1430" w:type="dxa"/>
            <w:tcBorders>
              <w:bottom w:val="single" w:sz="12" w:space="0" w:color="000000"/>
            </w:tcBorders>
            <w:vAlign w:val="center"/>
          </w:tcPr>
          <w:p>
            <w:pPr>
              <w:pStyle w:val="TableContents"/>
              <w:bidi w:val="0"/>
              <w:spacing w:before="0" w:after="283"/>
              <w:jc w:val="left"/>
              <w:rPr/>
            </w:pPr>
            <w:r>
              <w:rPr/>
              <w:t> </w:t>
            </w:r>
          </w:p>
        </w:tc>
        <w:tc>
          <w:tcPr>
            <w:tcW w:w="800" w:type="dxa"/>
            <w:tcBorders>
              <w:bottom w:val="single" w:sz="12" w:space="0" w:color="000000"/>
            </w:tcBorders>
            <w:vAlign w:val="center"/>
          </w:tcPr>
          <w:p>
            <w:pPr>
              <w:pStyle w:val="TableContents"/>
              <w:bidi w:val="0"/>
              <w:spacing w:before="0" w:after="283"/>
              <w:jc w:val="left"/>
              <w:rPr/>
            </w:pPr>
            <w:r>
              <w:rPr/>
              <w:t> </w:t>
            </w:r>
          </w:p>
        </w:tc>
      </w:tr>
      <w:tr>
        <w:trPr/>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left"/>
              <w:rPr/>
            </w:pPr>
            <w:r>
              <w:rPr/>
              <w:t> </w:t>
            </w:r>
          </w:p>
        </w:tc>
        <w:tc>
          <w:tcPr>
            <w:tcW w:w="1205" w:type="dxa"/>
            <w:tcBorders/>
            <w:tcMar>
              <w:bottom w:w="0" w:type="dxa"/>
            </w:tcMar>
            <w:vAlign w:val="center"/>
          </w:tcPr>
          <w:p>
            <w:pPr>
              <w:pStyle w:val="TableContents"/>
              <w:bidi w:val="0"/>
              <w:spacing w:before="0" w:after="283"/>
              <w:jc w:val="left"/>
              <w:rPr/>
            </w:pPr>
            <w:r>
              <w:rPr/>
              <w:t> </w:t>
            </w:r>
          </w:p>
        </w:tc>
        <w:tc>
          <w:tcPr>
            <w:tcW w:w="725" w:type="dxa"/>
            <w:tcBorders/>
            <w:tcMar>
              <w:bottom w:w="0" w:type="dxa"/>
            </w:tcMar>
            <w:vAlign w:val="center"/>
          </w:tcPr>
          <w:p>
            <w:pPr>
              <w:pStyle w:val="TableContents"/>
              <w:bidi w:val="0"/>
              <w:spacing w:before="0" w:after="283"/>
              <w:jc w:val="left"/>
              <w:rPr/>
            </w:pPr>
            <w:r>
              <w:rPr/>
              <w:t> </w:t>
            </w:r>
          </w:p>
        </w:tc>
        <w:tc>
          <w:tcPr>
            <w:tcW w:w="890" w:type="dxa"/>
            <w:tcBorders/>
            <w:tcMar>
              <w:bottom w:w="0" w:type="dxa"/>
            </w:tcMar>
            <w:vAlign w:val="center"/>
          </w:tcPr>
          <w:p>
            <w:pPr>
              <w:pStyle w:val="TableContents"/>
              <w:bidi w:val="0"/>
              <w:spacing w:before="0" w:after="283"/>
              <w:jc w:val="left"/>
              <w:rPr/>
            </w:pPr>
            <w:r>
              <w:rPr/>
              <w:t> </w:t>
            </w:r>
          </w:p>
        </w:tc>
        <w:tc>
          <w:tcPr>
            <w:tcW w:w="143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left"/>
              <w:rPr/>
            </w:pPr>
            <w:r>
              <w:rPr/>
              <w:t> </w:t>
            </w:r>
          </w:p>
        </w:tc>
      </w:tr>
      <w:tr>
        <w:trPr/>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left"/>
              <w:rPr/>
            </w:pPr>
            <w:r>
              <w:rPr/>
              <w:t> </w:t>
            </w:r>
          </w:p>
        </w:tc>
        <w:tc>
          <w:tcPr>
            <w:tcW w:w="1205" w:type="dxa"/>
            <w:tcBorders/>
            <w:tcMar>
              <w:bottom w:w="0" w:type="dxa"/>
            </w:tcMar>
            <w:vAlign w:val="center"/>
          </w:tcPr>
          <w:p>
            <w:pPr>
              <w:pStyle w:val="TableContents"/>
              <w:bidi w:val="0"/>
              <w:spacing w:before="0" w:after="0"/>
              <w:jc w:val="left"/>
              <w:rPr/>
            </w:pPr>
            <w:r>
              <w:rPr/>
              <w:t>Shareholder</w:t>
            </w:r>
          </w:p>
          <w:p>
            <w:pPr>
              <w:pStyle w:val="TableContents"/>
              <w:bidi w:val="0"/>
              <w:spacing w:before="0" w:after="0"/>
              <w:jc w:val="left"/>
              <w:rPr/>
            </w:pPr>
            <w:r>
              <w:rPr/>
              <w:t>Support</w:t>
            </w:r>
          </w:p>
        </w:tc>
        <w:tc>
          <w:tcPr>
            <w:tcW w:w="725" w:type="dxa"/>
            <w:tcBorders/>
            <w:tcMar>
              <w:bottom w:w="0" w:type="dxa"/>
            </w:tcMar>
            <w:vAlign w:val="center"/>
          </w:tcPr>
          <w:p>
            <w:pPr>
              <w:pStyle w:val="TableContents"/>
              <w:bidi w:val="0"/>
              <w:spacing w:before="0" w:after="0"/>
              <w:jc w:val="left"/>
              <w:rPr/>
            </w:pPr>
            <w:r>
              <w:rPr/>
              <w:t>bbb</w:t>
            </w:r>
          </w:p>
        </w:tc>
        <w:tc>
          <w:tcPr>
            <w:tcW w:w="890" w:type="dxa"/>
            <w:tcBorders/>
            <w:tcMar>
              <w:bottom w:w="0" w:type="dxa"/>
            </w:tcMar>
            <w:vAlign w:val="center"/>
          </w:tcPr>
          <w:p>
            <w:pPr>
              <w:pStyle w:val="TableContents"/>
              <w:bidi w:val="0"/>
              <w:spacing w:before="0" w:after="0"/>
              <w:jc w:val="left"/>
              <w:rPr/>
            </w:pPr>
            <w:r>
              <w:rPr/>
              <w:t>Affirmed</w:t>
            </w:r>
          </w:p>
        </w:tc>
        <w:tc>
          <w:tcPr>
            <w:tcW w:w="143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0"/>
              <w:jc w:val="left"/>
              <w:rPr/>
            </w:pPr>
            <w:r>
              <w:rPr/>
              <w:t>bbb</w:t>
            </w:r>
          </w:p>
        </w:tc>
      </w:tr>
      <w:tr>
        <w:trPr/>
        <w:tc>
          <w:tcPr>
            <w:tcW w:w="60" w:type="dxa"/>
            <w:tcBorders>
              <w:bottom w:val="single" w:sz="12" w:space="0" w:color="000000"/>
            </w:tcBorders>
            <w:vAlign w:val="center"/>
          </w:tcPr>
          <w:p>
            <w:pPr>
              <w:pStyle w:val="TableContents"/>
              <w:bidi w:val="0"/>
              <w:spacing w:before="0" w:after="283"/>
              <w:jc w:val="left"/>
              <w:rPr/>
            </w:pPr>
            <w:r>
              <w:rPr/>
              <w:t> </w:t>
            </w:r>
          </w:p>
        </w:tc>
        <w:tc>
          <w:tcPr>
            <w:tcW w:w="1700" w:type="dxa"/>
            <w:tcBorders>
              <w:bottom w:val="single" w:sz="12" w:space="0" w:color="000000"/>
            </w:tcBorders>
            <w:vAlign w:val="center"/>
          </w:tcPr>
          <w:p>
            <w:pPr>
              <w:pStyle w:val="TableContents"/>
              <w:bidi w:val="0"/>
              <w:spacing w:before="0" w:after="283"/>
              <w:jc w:val="left"/>
              <w:rPr/>
            </w:pPr>
            <w:r>
              <w:rPr/>
              <w:t> </w:t>
            </w:r>
          </w:p>
        </w:tc>
        <w:tc>
          <w:tcPr>
            <w:tcW w:w="1205" w:type="dxa"/>
            <w:tcBorders>
              <w:bottom w:val="single" w:sz="12" w:space="0" w:color="000000"/>
            </w:tcBorders>
            <w:vAlign w:val="center"/>
          </w:tcPr>
          <w:p>
            <w:pPr>
              <w:pStyle w:val="TableContents"/>
              <w:bidi w:val="0"/>
              <w:spacing w:before="0" w:after="283"/>
              <w:jc w:val="left"/>
              <w:rPr/>
            </w:pPr>
            <w:r>
              <w:rPr/>
              <w:t> </w:t>
            </w:r>
          </w:p>
        </w:tc>
        <w:tc>
          <w:tcPr>
            <w:tcW w:w="725" w:type="dxa"/>
            <w:tcBorders>
              <w:bottom w:val="single" w:sz="12" w:space="0" w:color="000000"/>
            </w:tcBorders>
            <w:vAlign w:val="center"/>
          </w:tcPr>
          <w:p>
            <w:pPr>
              <w:pStyle w:val="TableContents"/>
              <w:bidi w:val="0"/>
              <w:spacing w:before="0" w:after="283"/>
              <w:jc w:val="left"/>
              <w:rPr/>
            </w:pPr>
            <w:r>
              <w:rPr/>
              <w:t> </w:t>
            </w:r>
          </w:p>
        </w:tc>
        <w:tc>
          <w:tcPr>
            <w:tcW w:w="890" w:type="dxa"/>
            <w:tcBorders>
              <w:bottom w:val="single" w:sz="12" w:space="0" w:color="000000"/>
            </w:tcBorders>
            <w:vAlign w:val="center"/>
          </w:tcPr>
          <w:p>
            <w:pPr>
              <w:pStyle w:val="TableContents"/>
              <w:bidi w:val="0"/>
              <w:spacing w:before="0" w:after="283"/>
              <w:jc w:val="left"/>
              <w:rPr/>
            </w:pPr>
            <w:r>
              <w:rPr/>
              <w:t> </w:t>
            </w:r>
          </w:p>
        </w:tc>
        <w:tc>
          <w:tcPr>
            <w:tcW w:w="1430" w:type="dxa"/>
            <w:tcBorders>
              <w:bottom w:val="single" w:sz="12" w:space="0" w:color="000000"/>
            </w:tcBorders>
            <w:vAlign w:val="center"/>
          </w:tcPr>
          <w:p>
            <w:pPr>
              <w:pStyle w:val="TableContents"/>
              <w:bidi w:val="0"/>
              <w:spacing w:before="0" w:after="283"/>
              <w:jc w:val="left"/>
              <w:rPr/>
            </w:pPr>
            <w:r>
              <w:rPr/>
              <w:t> </w:t>
            </w:r>
          </w:p>
        </w:tc>
        <w:tc>
          <w:tcPr>
            <w:tcW w:w="800" w:type="dxa"/>
            <w:tcBorders>
              <w:bottom w:val="single" w:sz="12" w:space="0" w:color="000000"/>
            </w:tcBorders>
            <w:vAlign w:val="center"/>
          </w:tcPr>
          <w:p>
            <w:pPr>
              <w:pStyle w:val="TableContents"/>
              <w:bidi w:val="0"/>
              <w:spacing w:before="0" w:after="283"/>
              <w:jc w:val="left"/>
              <w:rPr/>
            </w:pPr>
            <w:r>
              <w:rPr/>
              <w:t> </w:t>
            </w:r>
          </w:p>
        </w:tc>
      </w:tr>
      <w:tr>
        <w:trPr/>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left"/>
              <w:rPr/>
            </w:pPr>
            <w:r>
              <w:rPr/>
              <w:t> </w:t>
            </w:r>
          </w:p>
        </w:tc>
        <w:tc>
          <w:tcPr>
            <w:tcW w:w="1205" w:type="dxa"/>
            <w:tcBorders/>
            <w:tcMar>
              <w:bottom w:w="0" w:type="dxa"/>
            </w:tcMar>
            <w:vAlign w:val="center"/>
          </w:tcPr>
          <w:p>
            <w:pPr>
              <w:pStyle w:val="TableContents"/>
              <w:bidi w:val="0"/>
              <w:spacing w:before="0" w:after="283"/>
              <w:jc w:val="left"/>
              <w:rPr/>
            </w:pPr>
            <w:r>
              <w:rPr/>
              <w:t> </w:t>
            </w:r>
          </w:p>
        </w:tc>
        <w:tc>
          <w:tcPr>
            <w:tcW w:w="725" w:type="dxa"/>
            <w:tcBorders/>
            <w:tcMar>
              <w:bottom w:w="0" w:type="dxa"/>
            </w:tcMar>
            <w:vAlign w:val="center"/>
          </w:tcPr>
          <w:p>
            <w:pPr>
              <w:pStyle w:val="TableContents"/>
              <w:bidi w:val="0"/>
              <w:spacing w:before="0" w:after="283"/>
              <w:jc w:val="left"/>
              <w:rPr/>
            </w:pPr>
            <w:r>
              <w:rPr/>
              <w:t> </w:t>
            </w:r>
          </w:p>
        </w:tc>
        <w:tc>
          <w:tcPr>
            <w:tcW w:w="890" w:type="dxa"/>
            <w:tcBorders/>
            <w:tcMar>
              <w:bottom w:w="0" w:type="dxa"/>
            </w:tcMar>
            <w:vAlign w:val="center"/>
          </w:tcPr>
          <w:p>
            <w:pPr>
              <w:pStyle w:val="TableContents"/>
              <w:bidi w:val="0"/>
              <w:spacing w:before="0" w:after="283"/>
              <w:jc w:val="left"/>
              <w:rPr/>
            </w:pPr>
            <w:r>
              <w:rPr/>
              <w:t> </w:t>
            </w:r>
          </w:p>
        </w:tc>
        <w:tc>
          <w:tcPr>
            <w:tcW w:w="143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left"/>
              <w:rPr/>
            </w:pPr>
            <w:r>
              <w:rPr/>
              <w:t> </w:t>
            </w:r>
          </w:p>
        </w:tc>
      </w:tr>
      <w:tr>
        <w:trPr/>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0"/>
              <w:jc w:val="left"/>
              <w:rPr/>
            </w:pPr>
            <w:r>
              <w:rPr/>
              <w:t>Corporacion</w:t>
            </w:r>
          </w:p>
          <w:p>
            <w:pPr>
              <w:pStyle w:val="TableContents"/>
              <w:bidi w:val="0"/>
              <w:spacing w:before="0" w:after="0"/>
              <w:jc w:val="left"/>
              <w:rPr/>
            </w:pPr>
            <w:r>
              <w:rPr/>
              <w:t>Financiera de</w:t>
            </w:r>
          </w:p>
          <w:p>
            <w:pPr>
              <w:pStyle w:val="TableContents"/>
              <w:bidi w:val="0"/>
              <w:spacing w:before="0" w:after="0"/>
              <w:jc w:val="left"/>
              <w:rPr/>
            </w:pPr>
            <w:r>
              <w:rPr/>
              <w:t>Desarrollo</w:t>
            </w:r>
          </w:p>
          <w:p>
            <w:pPr>
              <w:pStyle w:val="TableContents"/>
              <w:bidi w:val="0"/>
              <w:spacing w:before="0" w:after="0"/>
              <w:jc w:val="left"/>
              <w:rPr/>
            </w:pPr>
            <w:r>
              <w:rPr/>
              <w:t>S.A. (COFIDE)</w:t>
            </w:r>
          </w:p>
        </w:tc>
        <w:tc>
          <w:tcPr>
            <w:tcW w:w="1205" w:type="dxa"/>
            <w:tcBorders/>
            <w:tcMar>
              <w:bottom w:w="0" w:type="dxa"/>
            </w:tcMar>
            <w:vAlign w:val="center"/>
          </w:tcPr>
          <w:p>
            <w:pPr>
              <w:pStyle w:val="TableContents"/>
              <w:bidi w:val="0"/>
              <w:spacing w:before="0" w:after="0"/>
              <w:jc w:val="left"/>
              <w:rPr/>
            </w:pPr>
            <w:r>
              <w:rPr/>
              <w:t>LT IDR</w:t>
            </w:r>
          </w:p>
        </w:tc>
        <w:tc>
          <w:tcPr>
            <w:tcW w:w="725" w:type="dxa"/>
            <w:tcBorders/>
            <w:tcMar>
              <w:bottom w:w="0" w:type="dxa"/>
            </w:tcMar>
            <w:vAlign w:val="center"/>
          </w:tcPr>
          <w:p>
            <w:pPr>
              <w:pStyle w:val="TableContents"/>
              <w:bidi w:val="0"/>
              <w:spacing w:before="0" w:after="0"/>
              <w:jc w:val="left"/>
              <w:rPr/>
            </w:pPr>
            <w:r>
              <w:rPr/>
              <w:t xml:space="preserve">BBB </w:t>
            </w:r>
            <w:r>
              <w:rPr/>
              <w:drawing>
                <wp:inline distT="0" distB="0" distL="0" distR="0">
                  <wp:extent cx="95250" cy="952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5250" cy="95250"/>
                          </a:xfrm>
                          <a:prstGeom prst="rect">
                            <a:avLst/>
                          </a:prstGeom>
                        </pic:spPr>
                      </pic:pic>
                    </a:graphicData>
                  </a:graphic>
                </wp:inline>
              </w:drawing>
            </w:r>
          </w:p>
        </w:tc>
        <w:tc>
          <w:tcPr>
            <w:tcW w:w="890" w:type="dxa"/>
            <w:tcBorders/>
            <w:tcMar>
              <w:bottom w:w="0" w:type="dxa"/>
            </w:tcMar>
            <w:vAlign w:val="center"/>
          </w:tcPr>
          <w:p>
            <w:pPr>
              <w:pStyle w:val="TableContents"/>
              <w:bidi w:val="0"/>
              <w:spacing w:before="0" w:after="0"/>
              <w:jc w:val="left"/>
              <w:rPr/>
            </w:pPr>
            <w:r>
              <w:rPr/>
              <w:t>Affirmed</w:t>
            </w:r>
          </w:p>
        </w:tc>
        <w:tc>
          <w:tcPr>
            <w:tcW w:w="143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0"/>
              <w:jc w:val="left"/>
              <w:rPr/>
            </w:pPr>
            <w:r>
              <w:rPr/>
              <w:t xml:space="preserve">BBB </w:t>
            </w:r>
            <w:r>
              <w:rPr/>
              <w:drawing>
                <wp:inline distT="0" distB="0" distL="0" distR="0">
                  <wp:extent cx="95250" cy="952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5250" cy="95250"/>
                          </a:xfrm>
                          <a:prstGeom prst="rect">
                            <a:avLst/>
                          </a:prstGeom>
                        </pic:spPr>
                      </pic:pic>
                    </a:graphicData>
                  </a:graphic>
                </wp:inline>
              </w:drawing>
            </w:r>
          </w:p>
        </w:tc>
      </w:tr>
      <w:tr>
        <w:trPr/>
        <w:tc>
          <w:tcPr>
            <w:tcW w:w="60" w:type="dxa"/>
            <w:tcBorders>
              <w:bottom w:val="single" w:sz="12" w:space="0" w:color="000000"/>
            </w:tcBorders>
            <w:vAlign w:val="center"/>
          </w:tcPr>
          <w:p>
            <w:pPr>
              <w:pStyle w:val="TableContents"/>
              <w:bidi w:val="0"/>
              <w:spacing w:before="0" w:after="283"/>
              <w:jc w:val="left"/>
              <w:rPr/>
            </w:pPr>
            <w:r>
              <w:rPr/>
              <w:t> </w:t>
            </w:r>
          </w:p>
        </w:tc>
        <w:tc>
          <w:tcPr>
            <w:tcW w:w="1700" w:type="dxa"/>
            <w:tcBorders>
              <w:bottom w:val="single" w:sz="12" w:space="0" w:color="000000"/>
            </w:tcBorders>
            <w:vAlign w:val="center"/>
          </w:tcPr>
          <w:p>
            <w:pPr>
              <w:pStyle w:val="TableContents"/>
              <w:bidi w:val="0"/>
              <w:spacing w:before="0" w:after="283"/>
              <w:jc w:val="left"/>
              <w:rPr/>
            </w:pPr>
            <w:r>
              <w:rPr/>
              <w:t> </w:t>
            </w:r>
          </w:p>
        </w:tc>
        <w:tc>
          <w:tcPr>
            <w:tcW w:w="1205" w:type="dxa"/>
            <w:tcBorders>
              <w:bottom w:val="single" w:sz="12" w:space="0" w:color="000000"/>
            </w:tcBorders>
            <w:vAlign w:val="center"/>
          </w:tcPr>
          <w:p>
            <w:pPr>
              <w:pStyle w:val="TableContents"/>
              <w:bidi w:val="0"/>
              <w:spacing w:before="0" w:after="283"/>
              <w:jc w:val="left"/>
              <w:rPr/>
            </w:pPr>
            <w:r>
              <w:rPr/>
              <w:t> </w:t>
            </w:r>
          </w:p>
        </w:tc>
        <w:tc>
          <w:tcPr>
            <w:tcW w:w="725" w:type="dxa"/>
            <w:tcBorders>
              <w:bottom w:val="single" w:sz="12" w:space="0" w:color="000000"/>
            </w:tcBorders>
            <w:vAlign w:val="center"/>
          </w:tcPr>
          <w:p>
            <w:pPr>
              <w:pStyle w:val="TableContents"/>
              <w:bidi w:val="0"/>
              <w:spacing w:before="0" w:after="283"/>
              <w:jc w:val="left"/>
              <w:rPr/>
            </w:pPr>
            <w:r>
              <w:rPr/>
              <w:t> </w:t>
            </w:r>
          </w:p>
        </w:tc>
        <w:tc>
          <w:tcPr>
            <w:tcW w:w="890" w:type="dxa"/>
            <w:tcBorders>
              <w:bottom w:val="single" w:sz="12" w:space="0" w:color="000000"/>
            </w:tcBorders>
            <w:vAlign w:val="center"/>
          </w:tcPr>
          <w:p>
            <w:pPr>
              <w:pStyle w:val="TableContents"/>
              <w:bidi w:val="0"/>
              <w:spacing w:before="0" w:after="283"/>
              <w:jc w:val="left"/>
              <w:rPr/>
            </w:pPr>
            <w:r>
              <w:rPr/>
              <w:t> </w:t>
            </w:r>
          </w:p>
        </w:tc>
        <w:tc>
          <w:tcPr>
            <w:tcW w:w="1430" w:type="dxa"/>
            <w:tcBorders>
              <w:bottom w:val="single" w:sz="12" w:space="0" w:color="000000"/>
            </w:tcBorders>
            <w:vAlign w:val="center"/>
          </w:tcPr>
          <w:p>
            <w:pPr>
              <w:pStyle w:val="TableContents"/>
              <w:bidi w:val="0"/>
              <w:spacing w:before="0" w:after="283"/>
              <w:jc w:val="left"/>
              <w:rPr/>
            </w:pPr>
            <w:r>
              <w:rPr/>
              <w:t> </w:t>
            </w:r>
          </w:p>
        </w:tc>
        <w:tc>
          <w:tcPr>
            <w:tcW w:w="800" w:type="dxa"/>
            <w:tcBorders>
              <w:bottom w:val="single" w:sz="12" w:space="0" w:color="000000"/>
            </w:tcBorders>
            <w:vAlign w:val="center"/>
          </w:tcPr>
          <w:p>
            <w:pPr>
              <w:pStyle w:val="TableContents"/>
              <w:bidi w:val="0"/>
              <w:spacing w:before="0" w:after="283"/>
              <w:jc w:val="left"/>
              <w:rPr/>
            </w:pPr>
            <w:r>
              <w:rPr/>
              <w:t> </w:t>
            </w:r>
          </w:p>
        </w:tc>
      </w:tr>
      <w:tr>
        <w:trPr/>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left"/>
              <w:rPr/>
            </w:pPr>
            <w:r>
              <w:rPr/>
              <w:t> </w:t>
            </w:r>
          </w:p>
        </w:tc>
        <w:tc>
          <w:tcPr>
            <w:tcW w:w="1205" w:type="dxa"/>
            <w:tcBorders/>
            <w:tcMar>
              <w:bottom w:w="0" w:type="dxa"/>
            </w:tcMar>
            <w:vAlign w:val="center"/>
          </w:tcPr>
          <w:p>
            <w:pPr>
              <w:pStyle w:val="TableContents"/>
              <w:bidi w:val="0"/>
              <w:spacing w:before="0" w:after="283"/>
              <w:jc w:val="left"/>
              <w:rPr/>
            </w:pPr>
            <w:r>
              <w:rPr/>
              <w:t> </w:t>
            </w:r>
          </w:p>
        </w:tc>
        <w:tc>
          <w:tcPr>
            <w:tcW w:w="725" w:type="dxa"/>
            <w:tcBorders/>
            <w:tcMar>
              <w:bottom w:w="0" w:type="dxa"/>
            </w:tcMar>
            <w:vAlign w:val="center"/>
          </w:tcPr>
          <w:p>
            <w:pPr>
              <w:pStyle w:val="TableContents"/>
              <w:bidi w:val="0"/>
              <w:spacing w:before="0" w:after="283"/>
              <w:jc w:val="left"/>
              <w:rPr/>
            </w:pPr>
            <w:r>
              <w:rPr/>
              <w:t> </w:t>
            </w:r>
          </w:p>
        </w:tc>
        <w:tc>
          <w:tcPr>
            <w:tcW w:w="890" w:type="dxa"/>
            <w:tcBorders/>
            <w:tcMar>
              <w:bottom w:w="0" w:type="dxa"/>
            </w:tcMar>
            <w:vAlign w:val="center"/>
          </w:tcPr>
          <w:p>
            <w:pPr>
              <w:pStyle w:val="TableContents"/>
              <w:bidi w:val="0"/>
              <w:spacing w:before="0" w:after="283"/>
              <w:jc w:val="left"/>
              <w:rPr/>
            </w:pPr>
            <w:r>
              <w:rPr/>
              <w:t> </w:t>
            </w:r>
          </w:p>
        </w:tc>
        <w:tc>
          <w:tcPr>
            <w:tcW w:w="143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left"/>
              <w:rPr/>
            </w:pPr>
            <w:r>
              <w:rPr/>
              <w:t> </w:t>
            </w:r>
          </w:p>
        </w:tc>
      </w:tr>
      <w:tr>
        <w:trPr/>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left"/>
              <w:rPr/>
            </w:pPr>
            <w:r>
              <w:rPr/>
              <w:t> </w:t>
            </w:r>
          </w:p>
        </w:tc>
        <w:tc>
          <w:tcPr>
            <w:tcW w:w="1205" w:type="dxa"/>
            <w:tcBorders/>
            <w:tcMar>
              <w:bottom w:w="0" w:type="dxa"/>
            </w:tcMar>
            <w:vAlign w:val="center"/>
          </w:tcPr>
          <w:p>
            <w:pPr>
              <w:pStyle w:val="TableContents"/>
              <w:bidi w:val="0"/>
              <w:spacing w:before="0" w:after="0"/>
              <w:jc w:val="left"/>
              <w:rPr/>
            </w:pPr>
            <w:r>
              <w:rPr/>
              <w:t>ST IDR</w:t>
            </w:r>
          </w:p>
        </w:tc>
        <w:tc>
          <w:tcPr>
            <w:tcW w:w="725" w:type="dxa"/>
            <w:tcBorders/>
            <w:tcMar>
              <w:bottom w:w="0" w:type="dxa"/>
            </w:tcMar>
            <w:vAlign w:val="center"/>
          </w:tcPr>
          <w:p>
            <w:pPr>
              <w:pStyle w:val="TableContents"/>
              <w:bidi w:val="0"/>
              <w:spacing w:before="0" w:after="0"/>
              <w:jc w:val="left"/>
              <w:rPr/>
            </w:pPr>
            <w:r>
              <w:rPr/>
              <w:t>F2</w:t>
            </w:r>
          </w:p>
        </w:tc>
        <w:tc>
          <w:tcPr>
            <w:tcW w:w="890" w:type="dxa"/>
            <w:tcBorders/>
            <w:tcMar>
              <w:bottom w:w="0" w:type="dxa"/>
            </w:tcMar>
            <w:vAlign w:val="center"/>
          </w:tcPr>
          <w:p>
            <w:pPr>
              <w:pStyle w:val="TableContents"/>
              <w:bidi w:val="0"/>
              <w:spacing w:before="0" w:after="0"/>
              <w:jc w:val="left"/>
              <w:rPr/>
            </w:pPr>
            <w:r>
              <w:rPr/>
              <w:t>Affirmed</w:t>
            </w:r>
          </w:p>
        </w:tc>
        <w:tc>
          <w:tcPr>
            <w:tcW w:w="143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0"/>
              <w:jc w:val="left"/>
              <w:rPr/>
            </w:pPr>
            <w:r>
              <w:rPr/>
              <w:t>F2</w:t>
            </w:r>
          </w:p>
        </w:tc>
      </w:tr>
      <w:tr>
        <w:trPr/>
        <w:tc>
          <w:tcPr>
            <w:tcW w:w="60" w:type="dxa"/>
            <w:tcBorders>
              <w:bottom w:val="single" w:sz="12" w:space="0" w:color="000000"/>
            </w:tcBorders>
            <w:vAlign w:val="center"/>
          </w:tcPr>
          <w:p>
            <w:pPr>
              <w:pStyle w:val="TableContents"/>
              <w:bidi w:val="0"/>
              <w:spacing w:before="0" w:after="283"/>
              <w:jc w:val="left"/>
              <w:rPr/>
            </w:pPr>
            <w:r>
              <w:rPr/>
              <w:t> </w:t>
            </w:r>
          </w:p>
        </w:tc>
        <w:tc>
          <w:tcPr>
            <w:tcW w:w="1700" w:type="dxa"/>
            <w:tcBorders>
              <w:bottom w:val="single" w:sz="12" w:space="0" w:color="000000"/>
            </w:tcBorders>
            <w:vAlign w:val="center"/>
          </w:tcPr>
          <w:p>
            <w:pPr>
              <w:pStyle w:val="TableContents"/>
              <w:bidi w:val="0"/>
              <w:spacing w:before="0" w:after="283"/>
              <w:jc w:val="left"/>
              <w:rPr/>
            </w:pPr>
            <w:r>
              <w:rPr/>
              <w:t> </w:t>
            </w:r>
          </w:p>
        </w:tc>
        <w:tc>
          <w:tcPr>
            <w:tcW w:w="1205" w:type="dxa"/>
            <w:tcBorders>
              <w:bottom w:val="single" w:sz="12" w:space="0" w:color="000000"/>
            </w:tcBorders>
            <w:vAlign w:val="center"/>
          </w:tcPr>
          <w:p>
            <w:pPr>
              <w:pStyle w:val="TableContents"/>
              <w:bidi w:val="0"/>
              <w:spacing w:before="0" w:after="283"/>
              <w:jc w:val="left"/>
              <w:rPr/>
            </w:pPr>
            <w:r>
              <w:rPr/>
              <w:t> </w:t>
            </w:r>
          </w:p>
        </w:tc>
        <w:tc>
          <w:tcPr>
            <w:tcW w:w="725" w:type="dxa"/>
            <w:tcBorders>
              <w:bottom w:val="single" w:sz="12" w:space="0" w:color="000000"/>
            </w:tcBorders>
            <w:vAlign w:val="center"/>
          </w:tcPr>
          <w:p>
            <w:pPr>
              <w:pStyle w:val="TableContents"/>
              <w:bidi w:val="0"/>
              <w:spacing w:before="0" w:after="283"/>
              <w:jc w:val="left"/>
              <w:rPr/>
            </w:pPr>
            <w:r>
              <w:rPr/>
              <w:t> </w:t>
            </w:r>
          </w:p>
        </w:tc>
        <w:tc>
          <w:tcPr>
            <w:tcW w:w="890" w:type="dxa"/>
            <w:tcBorders>
              <w:bottom w:val="single" w:sz="12" w:space="0" w:color="000000"/>
            </w:tcBorders>
            <w:vAlign w:val="center"/>
          </w:tcPr>
          <w:p>
            <w:pPr>
              <w:pStyle w:val="TableContents"/>
              <w:bidi w:val="0"/>
              <w:spacing w:before="0" w:after="283"/>
              <w:jc w:val="left"/>
              <w:rPr/>
            </w:pPr>
            <w:r>
              <w:rPr/>
              <w:t> </w:t>
            </w:r>
          </w:p>
        </w:tc>
        <w:tc>
          <w:tcPr>
            <w:tcW w:w="1430" w:type="dxa"/>
            <w:tcBorders>
              <w:bottom w:val="single" w:sz="12" w:space="0" w:color="000000"/>
            </w:tcBorders>
            <w:vAlign w:val="center"/>
          </w:tcPr>
          <w:p>
            <w:pPr>
              <w:pStyle w:val="TableContents"/>
              <w:bidi w:val="0"/>
              <w:spacing w:before="0" w:after="283"/>
              <w:jc w:val="left"/>
              <w:rPr/>
            </w:pPr>
            <w:r>
              <w:rPr/>
              <w:t> </w:t>
            </w:r>
          </w:p>
        </w:tc>
        <w:tc>
          <w:tcPr>
            <w:tcW w:w="800" w:type="dxa"/>
            <w:tcBorders>
              <w:bottom w:val="single" w:sz="12" w:space="0" w:color="000000"/>
            </w:tcBorders>
            <w:vAlign w:val="center"/>
          </w:tcPr>
          <w:p>
            <w:pPr>
              <w:pStyle w:val="TableContents"/>
              <w:bidi w:val="0"/>
              <w:spacing w:before="0" w:after="283"/>
              <w:jc w:val="left"/>
              <w:rPr/>
            </w:pPr>
            <w:r>
              <w:rPr/>
              <w:t> </w:t>
            </w:r>
          </w:p>
        </w:tc>
      </w:tr>
      <w:tr>
        <w:trPr/>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left"/>
              <w:rPr/>
            </w:pPr>
            <w:r>
              <w:rPr/>
              <w:t> </w:t>
            </w:r>
          </w:p>
        </w:tc>
        <w:tc>
          <w:tcPr>
            <w:tcW w:w="1205" w:type="dxa"/>
            <w:tcBorders/>
            <w:tcMar>
              <w:bottom w:w="0" w:type="dxa"/>
            </w:tcMar>
            <w:vAlign w:val="center"/>
          </w:tcPr>
          <w:p>
            <w:pPr>
              <w:pStyle w:val="TableContents"/>
              <w:bidi w:val="0"/>
              <w:spacing w:before="0" w:after="283"/>
              <w:jc w:val="left"/>
              <w:rPr/>
            </w:pPr>
            <w:r>
              <w:rPr/>
              <w:t> </w:t>
            </w:r>
          </w:p>
        </w:tc>
        <w:tc>
          <w:tcPr>
            <w:tcW w:w="725" w:type="dxa"/>
            <w:tcBorders/>
            <w:tcMar>
              <w:bottom w:w="0" w:type="dxa"/>
            </w:tcMar>
            <w:vAlign w:val="center"/>
          </w:tcPr>
          <w:p>
            <w:pPr>
              <w:pStyle w:val="TableContents"/>
              <w:bidi w:val="0"/>
              <w:spacing w:before="0" w:after="283"/>
              <w:jc w:val="left"/>
              <w:rPr/>
            </w:pPr>
            <w:r>
              <w:rPr/>
              <w:t> </w:t>
            </w:r>
          </w:p>
        </w:tc>
        <w:tc>
          <w:tcPr>
            <w:tcW w:w="890" w:type="dxa"/>
            <w:tcBorders/>
            <w:tcMar>
              <w:bottom w:w="0" w:type="dxa"/>
            </w:tcMar>
            <w:vAlign w:val="center"/>
          </w:tcPr>
          <w:p>
            <w:pPr>
              <w:pStyle w:val="TableContents"/>
              <w:bidi w:val="0"/>
              <w:spacing w:before="0" w:after="283"/>
              <w:jc w:val="left"/>
              <w:rPr/>
            </w:pPr>
            <w:r>
              <w:rPr/>
              <w:t> </w:t>
            </w:r>
          </w:p>
        </w:tc>
        <w:tc>
          <w:tcPr>
            <w:tcW w:w="143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left"/>
              <w:rPr/>
            </w:pPr>
            <w:r>
              <w:rPr/>
              <w:t> </w:t>
            </w:r>
          </w:p>
        </w:tc>
      </w:tr>
      <w:tr>
        <w:trPr/>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left"/>
              <w:rPr/>
            </w:pPr>
            <w:r>
              <w:rPr/>
              <w:t> </w:t>
            </w:r>
          </w:p>
        </w:tc>
        <w:tc>
          <w:tcPr>
            <w:tcW w:w="1205" w:type="dxa"/>
            <w:tcBorders/>
            <w:tcMar>
              <w:bottom w:w="0" w:type="dxa"/>
            </w:tcMar>
            <w:vAlign w:val="center"/>
          </w:tcPr>
          <w:p>
            <w:pPr>
              <w:pStyle w:val="TableContents"/>
              <w:bidi w:val="0"/>
              <w:spacing w:before="0" w:after="0"/>
              <w:jc w:val="left"/>
              <w:rPr/>
            </w:pPr>
            <w:r>
              <w:rPr/>
              <w:t>LC LT IDR</w:t>
            </w:r>
          </w:p>
        </w:tc>
        <w:tc>
          <w:tcPr>
            <w:tcW w:w="725" w:type="dxa"/>
            <w:tcBorders/>
            <w:tcMar>
              <w:bottom w:w="0" w:type="dxa"/>
            </w:tcMar>
            <w:vAlign w:val="center"/>
          </w:tcPr>
          <w:p>
            <w:pPr>
              <w:pStyle w:val="TableContents"/>
              <w:bidi w:val="0"/>
              <w:spacing w:before="0" w:after="0"/>
              <w:jc w:val="left"/>
              <w:rPr/>
            </w:pPr>
            <w:r>
              <w:rPr/>
              <w:t xml:space="preserve">BBB </w:t>
            </w:r>
            <w:r>
              <w:rPr/>
              <w:drawing>
                <wp:inline distT="0" distB="0" distL="0" distR="0">
                  <wp:extent cx="95250" cy="952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5250" cy="95250"/>
                          </a:xfrm>
                          <a:prstGeom prst="rect">
                            <a:avLst/>
                          </a:prstGeom>
                        </pic:spPr>
                      </pic:pic>
                    </a:graphicData>
                  </a:graphic>
                </wp:inline>
              </w:drawing>
            </w:r>
          </w:p>
        </w:tc>
        <w:tc>
          <w:tcPr>
            <w:tcW w:w="890" w:type="dxa"/>
            <w:tcBorders/>
            <w:tcMar>
              <w:bottom w:w="0" w:type="dxa"/>
            </w:tcMar>
            <w:vAlign w:val="center"/>
          </w:tcPr>
          <w:p>
            <w:pPr>
              <w:pStyle w:val="TableContents"/>
              <w:bidi w:val="0"/>
              <w:spacing w:before="0" w:after="0"/>
              <w:jc w:val="left"/>
              <w:rPr/>
            </w:pPr>
            <w:r>
              <w:rPr/>
              <w:t>Affirmed</w:t>
            </w:r>
          </w:p>
        </w:tc>
        <w:tc>
          <w:tcPr>
            <w:tcW w:w="143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0"/>
              <w:jc w:val="left"/>
              <w:rPr/>
            </w:pPr>
            <w:r>
              <w:rPr/>
              <w:t xml:space="preserve">BBB </w:t>
            </w:r>
            <w:r>
              <w:rPr/>
              <w:drawing>
                <wp:inline distT="0" distB="0" distL="0" distR="0">
                  <wp:extent cx="95250" cy="952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5250" cy="95250"/>
                          </a:xfrm>
                          <a:prstGeom prst="rect">
                            <a:avLst/>
                          </a:prstGeom>
                        </pic:spPr>
                      </pic:pic>
                    </a:graphicData>
                  </a:graphic>
                </wp:inline>
              </w:drawing>
            </w:r>
          </w:p>
        </w:tc>
      </w:tr>
      <w:tr>
        <w:trPr/>
        <w:tc>
          <w:tcPr>
            <w:tcW w:w="60" w:type="dxa"/>
            <w:tcBorders>
              <w:bottom w:val="single" w:sz="12" w:space="0" w:color="000000"/>
            </w:tcBorders>
            <w:vAlign w:val="center"/>
          </w:tcPr>
          <w:p>
            <w:pPr>
              <w:pStyle w:val="TableContents"/>
              <w:bidi w:val="0"/>
              <w:spacing w:before="0" w:after="283"/>
              <w:jc w:val="left"/>
              <w:rPr/>
            </w:pPr>
            <w:r>
              <w:rPr/>
              <w:t> </w:t>
            </w:r>
          </w:p>
        </w:tc>
        <w:tc>
          <w:tcPr>
            <w:tcW w:w="1700" w:type="dxa"/>
            <w:tcBorders>
              <w:bottom w:val="single" w:sz="12" w:space="0" w:color="000000"/>
            </w:tcBorders>
            <w:vAlign w:val="center"/>
          </w:tcPr>
          <w:p>
            <w:pPr>
              <w:pStyle w:val="TableContents"/>
              <w:bidi w:val="0"/>
              <w:spacing w:before="0" w:after="283"/>
              <w:jc w:val="left"/>
              <w:rPr/>
            </w:pPr>
            <w:r>
              <w:rPr/>
              <w:t> </w:t>
            </w:r>
          </w:p>
        </w:tc>
        <w:tc>
          <w:tcPr>
            <w:tcW w:w="1205" w:type="dxa"/>
            <w:tcBorders>
              <w:bottom w:val="single" w:sz="12" w:space="0" w:color="000000"/>
            </w:tcBorders>
            <w:vAlign w:val="center"/>
          </w:tcPr>
          <w:p>
            <w:pPr>
              <w:pStyle w:val="TableContents"/>
              <w:bidi w:val="0"/>
              <w:spacing w:before="0" w:after="283"/>
              <w:jc w:val="left"/>
              <w:rPr/>
            </w:pPr>
            <w:r>
              <w:rPr/>
              <w:t> </w:t>
            </w:r>
          </w:p>
        </w:tc>
        <w:tc>
          <w:tcPr>
            <w:tcW w:w="725" w:type="dxa"/>
            <w:tcBorders>
              <w:bottom w:val="single" w:sz="12" w:space="0" w:color="000000"/>
            </w:tcBorders>
            <w:vAlign w:val="center"/>
          </w:tcPr>
          <w:p>
            <w:pPr>
              <w:pStyle w:val="TableContents"/>
              <w:bidi w:val="0"/>
              <w:spacing w:before="0" w:after="283"/>
              <w:jc w:val="left"/>
              <w:rPr/>
            </w:pPr>
            <w:r>
              <w:rPr/>
              <w:t> </w:t>
            </w:r>
          </w:p>
        </w:tc>
        <w:tc>
          <w:tcPr>
            <w:tcW w:w="890" w:type="dxa"/>
            <w:tcBorders>
              <w:bottom w:val="single" w:sz="12" w:space="0" w:color="000000"/>
            </w:tcBorders>
            <w:vAlign w:val="center"/>
          </w:tcPr>
          <w:p>
            <w:pPr>
              <w:pStyle w:val="TableContents"/>
              <w:bidi w:val="0"/>
              <w:spacing w:before="0" w:after="283"/>
              <w:jc w:val="left"/>
              <w:rPr/>
            </w:pPr>
            <w:r>
              <w:rPr/>
              <w:t> </w:t>
            </w:r>
          </w:p>
        </w:tc>
        <w:tc>
          <w:tcPr>
            <w:tcW w:w="1430" w:type="dxa"/>
            <w:tcBorders>
              <w:bottom w:val="single" w:sz="12" w:space="0" w:color="000000"/>
            </w:tcBorders>
            <w:vAlign w:val="center"/>
          </w:tcPr>
          <w:p>
            <w:pPr>
              <w:pStyle w:val="TableContents"/>
              <w:bidi w:val="0"/>
              <w:spacing w:before="0" w:after="283"/>
              <w:jc w:val="left"/>
              <w:rPr/>
            </w:pPr>
            <w:r>
              <w:rPr/>
              <w:t> </w:t>
            </w:r>
          </w:p>
        </w:tc>
        <w:tc>
          <w:tcPr>
            <w:tcW w:w="800" w:type="dxa"/>
            <w:tcBorders>
              <w:bottom w:val="single" w:sz="12" w:space="0" w:color="000000"/>
            </w:tcBorders>
            <w:vAlign w:val="center"/>
          </w:tcPr>
          <w:p>
            <w:pPr>
              <w:pStyle w:val="TableContents"/>
              <w:bidi w:val="0"/>
              <w:spacing w:before="0" w:after="283"/>
              <w:jc w:val="left"/>
              <w:rPr/>
            </w:pPr>
            <w:r>
              <w:rPr/>
              <w:t> </w:t>
            </w:r>
          </w:p>
        </w:tc>
      </w:tr>
      <w:tr>
        <w:trPr/>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left"/>
              <w:rPr/>
            </w:pPr>
            <w:r>
              <w:rPr/>
              <w:t> </w:t>
            </w:r>
          </w:p>
        </w:tc>
        <w:tc>
          <w:tcPr>
            <w:tcW w:w="1205" w:type="dxa"/>
            <w:tcBorders/>
            <w:tcMar>
              <w:bottom w:w="0" w:type="dxa"/>
            </w:tcMar>
            <w:vAlign w:val="center"/>
          </w:tcPr>
          <w:p>
            <w:pPr>
              <w:pStyle w:val="TableContents"/>
              <w:bidi w:val="0"/>
              <w:spacing w:before="0" w:after="283"/>
              <w:jc w:val="left"/>
              <w:rPr/>
            </w:pPr>
            <w:r>
              <w:rPr/>
              <w:t> </w:t>
            </w:r>
          </w:p>
        </w:tc>
        <w:tc>
          <w:tcPr>
            <w:tcW w:w="725" w:type="dxa"/>
            <w:tcBorders/>
            <w:tcMar>
              <w:bottom w:w="0" w:type="dxa"/>
            </w:tcMar>
            <w:vAlign w:val="center"/>
          </w:tcPr>
          <w:p>
            <w:pPr>
              <w:pStyle w:val="TableContents"/>
              <w:bidi w:val="0"/>
              <w:spacing w:before="0" w:after="283"/>
              <w:jc w:val="left"/>
              <w:rPr/>
            </w:pPr>
            <w:r>
              <w:rPr/>
              <w:t> </w:t>
            </w:r>
          </w:p>
        </w:tc>
        <w:tc>
          <w:tcPr>
            <w:tcW w:w="890" w:type="dxa"/>
            <w:tcBorders/>
            <w:tcMar>
              <w:bottom w:w="0" w:type="dxa"/>
            </w:tcMar>
            <w:vAlign w:val="center"/>
          </w:tcPr>
          <w:p>
            <w:pPr>
              <w:pStyle w:val="TableContents"/>
              <w:bidi w:val="0"/>
              <w:spacing w:before="0" w:after="283"/>
              <w:jc w:val="left"/>
              <w:rPr/>
            </w:pPr>
            <w:r>
              <w:rPr/>
              <w:t> </w:t>
            </w:r>
          </w:p>
        </w:tc>
        <w:tc>
          <w:tcPr>
            <w:tcW w:w="143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left"/>
              <w:rPr/>
            </w:pPr>
            <w:r>
              <w:rPr/>
              <w:t> </w:t>
            </w:r>
          </w:p>
        </w:tc>
      </w:tr>
      <w:tr>
        <w:trPr/>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left"/>
              <w:rPr/>
            </w:pPr>
            <w:r>
              <w:rPr/>
              <w:t> </w:t>
            </w:r>
          </w:p>
        </w:tc>
        <w:tc>
          <w:tcPr>
            <w:tcW w:w="1205" w:type="dxa"/>
            <w:tcBorders/>
            <w:tcMar>
              <w:bottom w:w="0" w:type="dxa"/>
            </w:tcMar>
            <w:vAlign w:val="center"/>
          </w:tcPr>
          <w:p>
            <w:pPr>
              <w:pStyle w:val="TableContents"/>
              <w:bidi w:val="0"/>
              <w:spacing w:before="0" w:after="0"/>
              <w:jc w:val="left"/>
              <w:rPr/>
            </w:pPr>
            <w:r>
              <w:rPr/>
              <w:t>LC ST IDR</w:t>
            </w:r>
          </w:p>
        </w:tc>
        <w:tc>
          <w:tcPr>
            <w:tcW w:w="725" w:type="dxa"/>
            <w:tcBorders/>
            <w:tcMar>
              <w:bottom w:w="0" w:type="dxa"/>
            </w:tcMar>
            <w:vAlign w:val="center"/>
          </w:tcPr>
          <w:p>
            <w:pPr>
              <w:pStyle w:val="TableContents"/>
              <w:bidi w:val="0"/>
              <w:spacing w:before="0" w:after="0"/>
              <w:jc w:val="left"/>
              <w:rPr/>
            </w:pPr>
            <w:r>
              <w:rPr/>
              <w:t>F2</w:t>
            </w:r>
          </w:p>
        </w:tc>
        <w:tc>
          <w:tcPr>
            <w:tcW w:w="890" w:type="dxa"/>
            <w:tcBorders/>
            <w:tcMar>
              <w:bottom w:w="0" w:type="dxa"/>
            </w:tcMar>
            <w:vAlign w:val="center"/>
          </w:tcPr>
          <w:p>
            <w:pPr>
              <w:pStyle w:val="TableContents"/>
              <w:bidi w:val="0"/>
              <w:spacing w:before="0" w:after="0"/>
              <w:jc w:val="left"/>
              <w:rPr/>
            </w:pPr>
            <w:r>
              <w:rPr/>
              <w:t>Affirmed</w:t>
            </w:r>
          </w:p>
        </w:tc>
        <w:tc>
          <w:tcPr>
            <w:tcW w:w="143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0"/>
              <w:jc w:val="left"/>
              <w:rPr/>
            </w:pPr>
            <w:r>
              <w:rPr/>
              <w:t>F2</w:t>
            </w:r>
          </w:p>
        </w:tc>
      </w:tr>
      <w:tr>
        <w:trPr/>
        <w:tc>
          <w:tcPr>
            <w:tcW w:w="60" w:type="dxa"/>
            <w:tcBorders>
              <w:bottom w:val="single" w:sz="12" w:space="0" w:color="000000"/>
            </w:tcBorders>
            <w:vAlign w:val="center"/>
          </w:tcPr>
          <w:p>
            <w:pPr>
              <w:pStyle w:val="TableContents"/>
              <w:bidi w:val="0"/>
              <w:spacing w:before="0" w:after="283"/>
              <w:jc w:val="left"/>
              <w:rPr/>
            </w:pPr>
            <w:r>
              <w:rPr/>
              <w:t> </w:t>
            </w:r>
          </w:p>
        </w:tc>
        <w:tc>
          <w:tcPr>
            <w:tcW w:w="1700" w:type="dxa"/>
            <w:tcBorders>
              <w:bottom w:val="single" w:sz="12" w:space="0" w:color="000000"/>
            </w:tcBorders>
            <w:vAlign w:val="center"/>
          </w:tcPr>
          <w:p>
            <w:pPr>
              <w:pStyle w:val="TableContents"/>
              <w:bidi w:val="0"/>
              <w:spacing w:before="0" w:after="283"/>
              <w:jc w:val="left"/>
              <w:rPr/>
            </w:pPr>
            <w:r>
              <w:rPr/>
              <w:t> </w:t>
            </w:r>
          </w:p>
        </w:tc>
        <w:tc>
          <w:tcPr>
            <w:tcW w:w="1205" w:type="dxa"/>
            <w:tcBorders>
              <w:bottom w:val="single" w:sz="12" w:space="0" w:color="000000"/>
            </w:tcBorders>
            <w:vAlign w:val="center"/>
          </w:tcPr>
          <w:p>
            <w:pPr>
              <w:pStyle w:val="TableContents"/>
              <w:bidi w:val="0"/>
              <w:spacing w:before="0" w:after="283"/>
              <w:jc w:val="left"/>
              <w:rPr/>
            </w:pPr>
            <w:r>
              <w:rPr/>
              <w:t> </w:t>
            </w:r>
          </w:p>
        </w:tc>
        <w:tc>
          <w:tcPr>
            <w:tcW w:w="725" w:type="dxa"/>
            <w:tcBorders>
              <w:bottom w:val="single" w:sz="12" w:space="0" w:color="000000"/>
            </w:tcBorders>
            <w:vAlign w:val="center"/>
          </w:tcPr>
          <w:p>
            <w:pPr>
              <w:pStyle w:val="TableContents"/>
              <w:bidi w:val="0"/>
              <w:spacing w:before="0" w:after="283"/>
              <w:jc w:val="left"/>
              <w:rPr/>
            </w:pPr>
            <w:r>
              <w:rPr/>
              <w:t> </w:t>
            </w:r>
          </w:p>
        </w:tc>
        <w:tc>
          <w:tcPr>
            <w:tcW w:w="890" w:type="dxa"/>
            <w:tcBorders>
              <w:bottom w:val="single" w:sz="12" w:space="0" w:color="000000"/>
            </w:tcBorders>
            <w:vAlign w:val="center"/>
          </w:tcPr>
          <w:p>
            <w:pPr>
              <w:pStyle w:val="TableContents"/>
              <w:bidi w:val="0"/>
              <w:spacing w:before="0" w:after="283"/>
              <w:jc w:val="left"/>
              <w:rPr/>
            </w:pPr>
            <w:r>
              <w:rPr/>
              <w:t> </w:t>
            </w:r>
          </w:p>
        </w:tc>
        <w:tc>
          <w:tcPr>
            <w:tcW w:w="1430" w:type="dxa"/>
            <w:tcBorders>
              <w:bottom w:val="single" w:sz="12" w:space="0" w:color="000000"/>
            </w:tcBorders>
            <w:vAlign w:val="center"/>
          </w:tcPr>
          <w:p>
            <w:pPr>
              <w:pStyle w:val="TableContents"/>
              <w:bidi w:val="0"/>
              <w:spacing w:before="0" w:after="283"/>
              <w:jc w:val="left"/>
              <w:rPr/>
            </w:pPr>
            <w:r>
              <w:rPr/>
              <w:t> </w:t>
            </w:r>
          </w:p>
        </w:tc>
        <w:tc>
          <w:tcPr>
            <w:tcW w:w="800" w:type="dxa"/>
            <w:tcBorders>
              <w:bottom w:val="single" w:sz="12" w:space="0" w:color="000000"/>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HorizontalLine"/>
        <w:pBdr>
          <w:bottom w:val="single" w:sz="12" w:space="0" w:color="808080"/>
        </w:pBdr>
        <w:bidi w:val="0"/>
        <w:spacing w:before="180" w:after="180"/>
        <w:jc w:val="left"/>
        <w:rPr/>
      </w:pPr>
      <w:r>
        <w:rPr/>
      </w:r>
    </w:p>
    <w:p>
      <w:pPr>
        <w:pStyle w:val="Normal"/>
        <w:bidi w:val="0"/>
        <w:spacing w:before="0" w:after="0"/>
        <w:jc w:val="left"/>
        <w:rPr>
          <w:sz w:val="4"/>
          <w:szCs w:val="4"/>
        </w:rPr>
      </w:pPr>
      <w:r>
        <w:rPr>
          <w:sz w:val="4"/>
          <w:szCs w:val="4"/>
        </w:rPr>
      </w:r>
      <w:bookmarkStart w:id="14" w:name="zffa9295e90f0449fa5b27043c34f55bc"/>
      <w:bookmarkStart w:id="15" w:name="zffa9295e90f0449fa5b27043c34f55bc"/>
      <w:bookmarkEnd w:id="15"/>
    </w:p>
    <w:tbl>
      <w:tblPr>
        <w:tblW w:w="5670" w:type="dxa"/>
        <w:jc w:val="left"/>
        <w:tblInd w:w="0" w:type="dxa"/>
        <w:tblLayout w:type="fixed"/>
        <w:tblCellMar>
          <w:top w:w="0" w:type="dxa"/>
          <w:left w:w="0" w:type="dxa"/>
          <w:bottom w:w="28" w:type="dxa"/>
          <w:right w:w="0" w:type="dxa"/>
        </w:tblCellMar>
      </w:tblPr>
      <w:tblGrid>
        <w:gridCol w:w="60"/>
        <w:gridCol w:w="1370"/>
        <w:gridCol w:w="1025"/>
        <w:gridCol w:w="680"/>
        <w:gridCol w:w="740"/>
        <w:gridCol w:w="1115"/>
        <w:gridCol w:w="680"/>
      </w:tblGrid>
      <w:tr>
        <w:trPr/>
        <w:tc>
          <w:tcPr>
            <w:tcW w:w="60" w:type="dxa"/>
            <w:tcBorders>
              <w:bottom w:val="single" w:sz="12" w:space="0" w:color="000000"/>
            </w:tcBorders>
            <w:vAlign w:val="center"/>
          </w:tcPr>
          <w:p>
            <w:pPr>
              <w:pStyle w:val="TableContents"/>
              <w:bidi w:val="0"/>
              <w:spacing w:before="0" w:after="283"/>
              <w:jc w:val="left"/>
              <w:rPr/>
            </w:pPr>
            <w:r>
              <w:rPr/>
              <w:t> </w:t>
            </w:r>
          </w:p>
        </w:tc>
        <w:tc>
          <w:tcPr>
            <w:tcW w:w="1370" w:type="dxa"/>
            <w:tcBorders>
              <w:bottom w:val="single" w:sz="12" w:space="0" w:color="000000"/>
            </w:tcBorders>
            <w:vAlign w:val="center"/>
          </w:tcPr>
          <w:p>
            <w:pPr>
              <w:pStyle w:val="TableContents"/>
              <w:bidi w:val="0"/>
              <w:spacing w:before="0" w:after="0"/>
              <w:jc w:val="left"/>
              <w:rPr>
                <w:b/>
                <w:sz w:val="20"/>
              </w:rPr>
            </w:pPr>
            <w:r>
              <w:rPr>
                <w:b/>
                <w:sz w:val="20"/>
              </w:rPr>
              <w:t>ENTITY/DEBT</w:t>
            </w:r>
          </w:p>
        </w:tc>
        <w:tc>
          <w:tcPr>
            <w:tcW w:w="1025" w:type="dxa"/>
            <w:tcBorders>
              <w:bottom w:val="single" w:sz="12" w:space="0" w:color="000000"/>
            </w:tcBorders>
            <w:vAlign w:val="center"/>
          </w:tcPr>
          <w:p>
            <w:pPr>
              <w:pStyle w:val="TableContents"/>
              <w:bidi w:val="0"/>
              <w:spacing w:before="0" w:after="0"/>
              <w:jc w:val="left"/>
              <w:rPr>
                <w:b/>
                <w:sz w:val="20"/>
              </w:rPr>
            </w:pPr>
            <w:r>
              <w:rPr>
                <w:b/>
                <w:sz w:val="20"/>
              </w:rPr>
              <w:t>RATING</w:t>
            </w:r>
          </w:p>
        </w:tc>
        <w:tc>
          <w:tcPr>
            <w:tcW w:w="680" w:type="dxa"/>
            <w:tcBorders>
              <w:bottom w:val="single" w:sz="12" w:space="0" w:color="000000"/>
            </w:tcBorders>
            <w:vAlign w:val="center"/>
          </w:tcPr>
          <w:p>
            <w:pPr>
              <w:pStyle w:val="TableContents"/>
              <w:bidi w:val="0"/>
              <w:spacing w:before="0" w:after="283"/>
              <w:jc w:val="left"/>
              <w:rPr/>
            </w:pPr>
            <w:r>
              <w:rPr/>
              <w:t> </w:t>
            </w:r>
          </w:p>
        </w:tc>
        <w:tc>
          <w:tcPr>
            <w:tcW w:w="740" w:type="dxa"/>
            <w:tcBorders>
              <w:bottom w:val="single" w:sz="12" w:space="0" w:color="000000"/>
            </w:tcBorders>
            <w:vAlign w:val="center"/>
          </w:tcPr>
          <w:p>
            <w:pPr>
              <w:pStyle w:val="TableContents"/>
              <w:bidi w:val="0"/>
              <w:spacing w:before="0" w:after="283"/>
              <w:jc w:val="left"/>
              <w:rPr/>
            </w:pPr>
            <w:r>
              <w:rPr/>
              <w:t> </w:t>
            </w:r>
          </w:p>
        </w:tc>
        <w:tc>
          <w:tcPr>
            <w:tcW w:w="1115" w:type="dxa"/>
            <w:tcBorders>
              <w:bottom w:val="single" w:sz="12" w:space="0" w:color="000000"/>
            </w:tcBorders>
            <w:vAlign w:val="center"/>
          </w:tcPr>
          <w:p>
            <w:pPr>
              <w:pStyle w:val="TableContents"/>
              <w:bidi w:val="0"/>
              <w:spacing w:before="0" w:after="0"/>
              <w:jc w:val="left"/>
              <w:rPr>
                <w:b/>
                <w:sz w:val="20"/>
              </w:rPr>
            </w:pPr>
            <w:r>
              <w:rPr>
                <w:b/>
                <w:sz w:val="20"/>
              </w:rPr>
              <w:t>RECOVERY</w:t>
            </w:r>
          </w:p>
        </w:tc>
        <w:tc>
          <w:tcPr>
            <w:tcW w:w="680" w:type="dxa"/>
            <w:tcBorders>
              <w:bottom w:val="single" w:sz="12" w:space="0" w:color="000000"/>
            </w:tcBorders>
            <w:vAlign w:val="center"/>
          </w:tcPr>
          <w:p>
            <w:pPr>
              <w:pStyle w:val="TableContents"/>
              <w:bidi w:val="0"/>
              <w:spacing w:before="0" w:after="0"/>
              <w:jc w:val="left"/>
              <w:rPr>
                <w:b/>
                <w:sz w:val="20"/>
              </w:rPr>
            </w:pPr>
            <w:r>
              <w:rPr>
                <w:b/>
                <w:sz w:val="20"/>
              </w:rPr>
              <w:t>PRIOR</w:t>
            </w:r>
          </w:p>
        </w:tc>
      </w:tr>
      <w:tr>
        <w:trPr/>
        <w:tc>
          <w:tcPr>
            <w:tcW w:w="60" w:type="dxa"/>
            <w:tcBorders/>
            <w:tcMar>
              <w:bottom w:w="0" w:type="dxa"/>
            </w:tcMar>
            <w:vAlign w:val="center"/>
          </w:tcPr>
          <w:p>
            <w:pPr>
              <w:pStyle w:val="TableContents"/>
              <w:bidi w:val="0"/>
              <w:spacing w:before="0" w:after="283"/>
              <w:jc w:val="left"/>
              <w:rPr/>
            </w:pPr>
            <w:r>
              <w:rPr/>
            </w:r>
          </w:p>
        </w:tc>
        <w:tc>
          <w:tcPr>
            <w:tcW w:w="1370" w:type="dxa"/>
            <w:tcBorders/>
            <w:tcMar>
              <w:bottom w:w="0" w:type="dxa"/>
            </w:tcMar>
            <w:vAlign w:val="center"/>
          </w:tcPr>
          <w:p>
            <w:pPr>
              <w:pStyle w:val="TableContents"/>
              <w:bidi w:val="0"/>
              <w:spacing w:before="0" w:after="283"/>
              <w:jc w:val="left"/>
              <w:rPr/>
            </w:pPr>
            <w:r>
              <w:rPr/>
            </w:r>
          </w:p>
        </w:tc>
        <w:tc>
          <w:tcPr>
            <w:tcW w:w="1025" w:type="dxa"/>
            <w:tcBorders/>
            <w:tcMar>
              <w:bottom w:w="0" w:type="dxa"/>
            </w:tcMar>
            <w:vAlign w:val="center"/>
          </w:tcPr>
          <w:p>
            <w:pPr>
              <w:pStyle w:val="TableContents"/>
              <w:bidi w:val="0"/>
              <w:spacing w:before="0" w:after="283"/>
              <w:jc w:val="left"/>
              <w:rPr/>
            </w:pPr>
            <w:r>
              <w:rPr/>
            </w:r>
          </w:p>
        </w:tc>
        <w:tc>
          <w:tcPr>
            <w:tcW w:w="680" w:type="dxa"/>
            <w:tcBorders/>
            <w:tcMar>
              <w:bottom w:w="0" w:type="dxa"/>
            </w:tcMar>
            <w:vAlign w:val="center"/>
          </w:tcPr>
          <w:p>
            <w:pPr>
              <w:pStyle w:val="TableContents"/>
              <w:bidi w:val="0"/>
              <w:spacing w:before="0" w:after="283"/>
              <w:jc w:val="left"/>
              <w:rPr/>
            </w:pPr>
            <w:r>
              <w:rPr/>
            </w:r>
          </w:p>
        </w:tc>
        <w:tc>
          <w:tcPr>
            <w:tcW w:w="740" w:type="dxa"/>
            <w:tcBorders/>
            <w:tcMar>
              <w:bottom w:w="0" w:type="dxa"/>
            </w:tcMar>
            <w:vAlign w:val="center"/>
          </w:tcPr>
          <w:p>
            <w:pPr>
              <w:pStyle w:val="TableContents"/>
              <w:bidi w:val="0"/>
              <w:spacing w:before="0" w:after="283"/>
              <w:jc w:val="left"/>
              <w:rPr/>
            </w:pPr>
            <w:r>
              <w:rPr/>
            </w:r>
          </w:p>
        </w:tc>
        <w:tc>
          <w:tcPr>
            <w:tcW w:w="1115" w:type="dxa"/>
            <w:tcBorders/>
            <w:tcMar>
              <w:bottom w:w="0" w:type="dxa"/>
            </w:tcMar>
            <w:vAlign w:val="center"/>
          </w:tcPr>
          <w:p>
            <w:pPr>
              <w:pStyle w:val="TableContents"/>
              <w:bidi w:val="0"/>
              <w:spacing w:before="0" w:after="283"/>
              <w:jc w:val="left"/>
              <w:rPr/>
            </w:pPr>
            <w:r>
              <w:rPr/>
            </w:r>
          </w:p>
        </w:tc>
        <w:tc>
          <w:tcPr>
            <w:tcW w:w="680" w:type="dxa"/>
            <w:tcBorders/>
            <w:tcMar>
              <w:bottom w:w="0" w:type="dxa"/>
            </w:tcMar>
            <w:vAlign w:val="center"/>
          </w:tcPr>
          <w:p>
            <w:pPr>
              <w:pStyle w:val="TableContents"/>
              <w:bidi w:val="0"/>
              <w:spacing w:before="0" w:after="283"/>
              <w:jc w:val="left"/>
              <w:rPr/>
            </w:pPr>
            <w:r>
              <w:rPr/>
            </w:r>
          </w:p>
        </w:tc>
      </w:tr>
      <w:tr>
        <w:trPr/>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left"/>
              <w:rPr/>
            </w:pPr>
            <w:r>
              <w:rPr/>
              <w:t> </w:t>
            </w:r>
          </w:p>
        </w:tc>
        <w:tc>
          <w:tcPr>
            <w:tcW w:w="1025" w:type="dxa"/>
            <w:tcBorders/>
            <w:tcMar>
              <w:bottom w:w="0" w:type="dxa"/>
            </w:tcMar>
            <w:vAlign w:val="center"/>
          </w:tcPr>
          <w:p>
            <w:pPr>
              <w:pStyle w:val="TableContents"/>
              <w:bidi w:val="0"/>
              <w:spacing w:before="0" w:after="0"/>
              <w:jc w:val="left"/>
              <w:rPr>
                <w:sz w:val="20"/>
              </w:rPr>
            </w:pPr>
            <w:r>
              <w:rPr>
                <w:sz w:val="20"/>
              </w:rPr>
              <w:t>Government</w:t>
            </w:r>
          </w:p>
          <w:p>
            <w:pPr>
              <w:pStyle w:val="TableContents"/>
              <w:bidi w:val="0"/>
              <w:spacing w:before="0" w:after="0"/>
              <w:jc w:val="left"/>
              <w:rPr>
                <w:sz w:val="20"/>
              </w:rPr>
            </w:pPr>
            <w:r>
              <w:rPr>
                <w:sz w:val="20"/>
              </w:rPr>
              <w:t>Support</w:t>
            </w:r>
          </w:p>
        </w:tc>
        <w:tc>
          <w:tcPr>
            <w:tcW w:w="680" w:type="dxa"/>
            <w:tcBorders/>
            <w:tcMar>
              <w:bottom w:w="0" w:type="dxa"/>
            </w:tcMar>
            <w:vAlign w:val="center"/>
          </w:tcPr>
          <w:p>
            <w:pPr>
              <w:pStyle w:val="TableContents"/>
              <w:bidi w:val="0"/>
              <w:spacing w:before="0" w:after="0"/>
              <w:jc w:val="left"/>
              <w:rPr>
                <w:sz w:val="20"/>
              </w:rPr>
            </w:pPr>
            <w:r>
              <w:rPr>
                <w:sz w:val="20"/>
              </w:rPr>
              <w:t>bbb</w:t>
            </w:r>
          </w:p>
        </w:tc>
        <w:tc>
          <w:tcPr>
            <w:tcW w:w="740" w:type="dxa"/>
            <w:tcBorders/>
            <w:tcMar>
              <w:bottom w:w="0" w:type="dxa"/>
            </w:tcMar>
            <w:vAlign w:val="center"/>
          </w:tcPr>
          <w:p>
            <w:pPr>
              <w:pStyle w:val="TableContents"/>
              <w:bidi w:val="0"/>
              <w:spacing w:before="0" w:after="0"/>
              <w:jc w:val="left"/>
              <w:rPr>
                <w:sz w:val="20"/>
              </w:rPr>
            </w:pPr>
            <w:r>
              <w:rPr>
                <w:sz w:val="20"/>
              </w:rPr>
              <w:t>Affirmed</w:t>
            </w:r>
          </w:p>
        </w:tc>
        <w:tc>
          <w:tcPr>
            <w:tcW w:w="1115" w:type="dxa"/>
            <w:tcBorders/>
            <w:tcMar>
              <w:bottom w:w="0" w:type="dxa"/>
            </w:tcMar>
            <w:vAlign w:val="center"/>
          </w:tcPr>
          <w:p>
            <w:pPr>
              <w:pStyle w:val="TableContents"/>
              <w:bidi w:val="0"/>
              <w:spacing w:before="0" w:after="283"/>
              <w:jc w:val="left"/>
              <w:rPr/>
            </w:pPr>
            <w:r>
              <w:rPr/>
              <w:t> </w:t>
            </w:r>
          </w:p>
        </w:tc>
        <w:tc>
          <w:tcPr>
            <w:tcW w:w="680" w:type="dxa"/>
            <w:tcBorders/>
            <w:tcMar>
              <w:bottom w:w="0" w:type="dxa"/>
            </w:tcMar>
            <w:vAlign w:val="center"/>
          </w:tcPr>
          <w:p>
            <w:pPr>
              <w:pStyle w:val="TableContents"/>
              <w:bidi w:val="0"/>
              <w:spacing w:before="0" w:after="0"/>
              <w:jc w:val="left"/>
              <w:rPr>
                <w:sz w:val="20"/>
              </w:rPr>
            </w:pPr>
            <w:r>
              <w:rPr>
                <w:sz w:val="20"/>
              </w:rPr>
              <w:t>bbb</w:t>
            </w:r>
          </w:p>
        </w:tc>
      </w:tr>
      <w:tr>
        <w:trPr/>
        <w:tc>
          <w:tcPr>
            <w:tcW w:w="60" w:type="dxa"/>
            <w:tcBorders>
              <w:bottom w:val="single" w:sz="12" w:space="0" w:color="000000"/>
            </w:tcBorders>
            <w:vAlign w:val="center"/>
          </w:tcPr>
          <w:p>
            <w:pPr>
              <w:pStyle w:val="TableContents"/>
              <w:bidi w:val="0"/>
              <w:spacing w:before="0" w:after="283"/>
              <w:jc w:val="left"/>
              <w:rPr/>
            </w:pPr>
            <w:r>
              <w:rPr/>
              <w:t> </w:t>
            </w:r>
          </w:p>
        </w:tc>
        <w:tc>
          <w:tcPr>
            <w:tcW w:w="1370" w:type="dxa"/>
            <w:tcBorders>
              <w:bottom w:val="single" w:sz="12" w:space="0" w:color="000000"/>
            </w:tcBorders>
            <w:vAlign w:val="center"/>
          </w:tcPr>
          <w:p>
            <w:pPr>
              <w:pStyle w:val="TableContents"/>
              <w:bidi w:val="0"/>
              <w:spacing w:before="0" w:after="283"/>
              <w:jc w:val="left"/>
              <w:rPr/>
            </w:pPr>
            <w:r>
              <w:rPr/>
            </w:r>
          </w:p>
        </w:tc>
        <w:tc>
          <w:tcPr>
            <w:tcW w:w="1025" w:type="dxa"/>
            <w:tcBorders>
              <w:bottom w:val="single" w:sz="12" w:space="0" w:color="000000"/>
            </w:tcBorders>
            <w:vAlign w:val="center"/>
          </w:tcPr>
          <w:p>
            <w:pPr>
              <w:pStyle w:val="TableContents"/>
              <w:bidi w:val="0"/>
              <w:spacing w:before="0" w:after="283"/>
              <w:jc w:val="left"/>
              <w:rPr/>
            </w:pPr>
            <w:r>
              <w:rPr/>
            </w:r>
          </w:p>
        </w:tc>
        <w:tc>
          <w:tcPr>
            <w:tcW w:w="680" w:type="dxa"/>
            <w:tcBorders>
              <w:bottom w:val="single" w:sz="12" w:space="0" w:color="000000"/>
            </w:tcBorders>
            <w:vAlign w:val="center"/>
          </w:tcPr>
          <w:p>
            <w:pPr>
              <w:pStyle w:val="TableContents"/>
              <w:bidi w:val="0"/>
              <w:spacing w:before="0" w:after="283"/>
              <w:jc w:val="left"/>
              <w:rPr/>
            </w:pPr>
            <w:r>
              <w:rPr/>
            </w:r>
          </w:p>
        </w:tc>
        <w:tc>
          <w:tcPr>
            <w:tcW w:w="740" w:type="dxa"/>
            <w:tcBorders>
              <w:bottom w:val="single" w:sz="12" w:space="0" w:color="000000"/>
            </w:tcBorders>
            <w:vAlign w:val="center"/>
          </w:tcPr>
          <w:p>
            <w:pPr>
              <w:pStyle w:val="TableContents"/>
              <w:bidi w:val="0"/>
              <w:spacing w:before="0" w:after="283"/>
              <w:jc w:val="left"/>
              <w:rPr/>
            </w:pPr>
            <w:r>
              <w:rPr/>
            </w:r>
          </w:p>
        </w:tc>
        <w:tc>
          <w:tcPr>
            <w:tcW w:w="1115" w:type="dxa"/>
            <w:tcBorders>
              <w:bottom w:val="single" w:sz="12" w:space="0" w:color="000000"/>
            </w:tcBorders>
            <w:vAlign w:val="center"/>
          </w:tcPr>
          <w:p>
            <w:pPr>
              <w:pStyle w:val="TableContents"/>
              <w:bidi w:val="0"/>
              <w:spacing w:before="0" w:after="283"/>
              <w:jc w:val="left"/>
              <w:rPr/>
            </w:pPr>
            <w:r>
              <w:rPr/>
            </w:r>
          </w:p>
        </w:tc>
        <w:tc>
          <w:tcPr>
            <w:tcW w:w="680" w:type="dxa"/>
            <w:tcBorders>
              <w:bottom w:val="single" w:sz="12" w:space="0" w:color="000000"/>
            </w:tcBorders>
            <w:vAlign w:val="center"/>
          </w:tcPr>
          <w:p>
            <w:pPr>
              <w:pStyle w:val="TableContents"/>
              <w:bidi w:val="0"/>
              <w:spacing w:before="0" w:after="283"/>
              <w:jc w:val="left"/>
              <w:rPr/>
            </w:pPr>
            <w:r>
              <w:rPr/>
            </w:r>
          </w:p>
        </w:tc>
      </w:tr>
      <w:tr>
        <w:trPr/>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left"/>
              <w:rPr/>
            </w:pPr>
            <w:r>
              <w:rPr/>
            </w:r>
          </w:p>
        </w:tc>
        <w:tc>
          <w:tcPr>
            <w:tcW w:w="1025" w:type="dxa"/>
            <w:tcBorders/>
            <w:tcMar>
              <w:bottom w:w="0" w:type="dxa"/>
            </w:tcMar>
            <w:vAlign w:val="center"/>
          </w:tcPr>
          <w:p>
            <w:pPr>
              <w:pStyle w:val="TableContents"/>
              <w:bidi w:val="0"/>
              <w:spacing w:before="0" w:after="283"/>
              <w:jc w:val="left"/>
              <w:rPr/>
            </w:pPr>
            <w:r>
              <w:rPr/>
            </w:r>
          </w:p>
        </w:tc>
        <w:tc>
          <w:tcPr>
            <w:tcW w:w="680" w:type="dxa"/>
            <w:tcBorders/>
            <w:tcMar>
              <w:bottom w:w="0" w:type="dxa"/>
            </w:tcMar>
            <w:vAlign w:val="center"/>
          </w:tcPr>
          <w:p>
            <w:pPr>
              <w:pStyle w:val="TableContents"/>
              <w:bidi w:val="0"/>
              <w:spacing w:before="0" w:after="283"/>
              <w:jc w:val="left"/>
              <w:rPr/>
            </w:pPr>
            <w:r>
              <w:rPr/>
            </w:r>
          </w:p>
        </w:tc>
        <w:tc>
          <w:tcPr>
            <w:tcW w:w="740" w:type="dxa"/>
            <w:tcBorders/>
            <w:tcMar>
              <w:bottom w:w="0" w:type="dxa"/>
            </w:tcMar>
            <w:vAlign w:val="center"/>
          </w:tcPr>
          <w:p>
            <w:pPr>
              <w:pStyle w:val="TableContents"/>
              <w:bidi w:val="0"/>
              <w:spacing w:before="0" w:after="283"/>
              <w:jc w:val="left"/>
              <w:rPr/>
            </w:pPr>
            <w:r>
              <w:rPr/>
            </w:r>
          </w:p>
        </w:tc>
        <w:tc>
          <w:tcPr>
            <w:tcW w:w="1115" w:type="dxa"/>
            <w:tcBorders/>
            <w:tcMar>
              <w:bottom w:w="0" w:type="dxa"/>
            </w:tcMar>
            <w:vAlign w:val="center"/>
          </w:tcPr>
          <w:p>
            <w:pPr>
              <w:pStyle w:val="TableContents"/>
              <w:bidi w:val="0"/>
              <w:spacing w:before="0" w:after="283"/>
              <w:jc w:val="left"/>
              <w:rPr/>
            </w:pPr>
            <w:r>
              <w:rPr/>
            </w:r>
          </w:p>
        </w:tc>
        <w:tc>
          <w:tcPr>
            <w:tcW w:w="680" w:type="dxa"/>
            <w:tcBorders/>
            <w:tcMar>
              <w:bottom w:w="0" w:type="dxa"/>
            </w:tcMar>
            <w:vAlign w:val="center"/>
          </w:tcPr>
          <w:p>
            <w:pPr>
              <w:pStyle w:val="TableContents"/>
              <w:bidi w:val="0"/>
              <w:spacing w:before="0" w:after="283"/>
              <w:jc w:val="left"/>
              <w:rPr/>
            </w:pPr>
            <w:r>
              <w:rPr/>
            </w:r>
          </w:p>
        </w:tc>
      </w:tr>
      <w:tr>
        <w:trPr/>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0"/>
              <w:ind w:left="180" w:right="0" w:hanging="0"/>
              <w:jc w:val="left"/>
              <w:rPr/>
            </w:pPr>
            <w:r>
              <w:rPr/>
              <w:t xml:space="preserve">•  </w:t>
            </w:r>
            <w:r>
              <w:rPr>
                <w:sz w:val="20"/>
              </w:rPr>
              <w:t>senior</w:t>
            </w:r>
          </w:p>
          <w:p>
            <w:pPr>
              <w:pStyle w:val="TableContents"/>
              <w:bidi w:val="0"/>
              <w:spacing w:before="0" w:after="0"/>
              <w:ind w:left="360" w:right="0" w:hanging="0"/>
              <w:jc w:val="left"/>
              <w:rPr>
                <w:sz w:val="20"/>
              </w:rPr>
            </w:pPr>
            <w:r>
              <w:rPr>
                <w:sz w:val="20"/>
              </w:rPr>
              <w:t>unsecured</w:t>
            </w:r>
          </w:p>
        </w:tc>
        <w:tc>
          <w:tcPr>
            <w:tcW w:w="1025" w:type="dxa"/>
            <w:tcBorders/>
            <w:tcMar>
              <w:bottom w:w="0" w:type="dxa"/>
            </w:tcMar>
            <w:vAlign w:val="center"/>
          </w:tcPr>
          <w:p>
            <w:pPr>
              <w:pStyle w:val="TableContents"/>
              <w:bidi w:val="0"/>
              <w:spacing w:before="0" w:after="0"/>
              <w:jc w:val="left"/>
              <w:rPr>
                <w:sz w:val="20"/>
              </w:rPr>
            </w:pPr>
            <w:r>
              <w:rPr>
                <w:sz w:val="20"/>
              </w:rPr>
              <w:t>LT</w:t>
            </w:r>
          </w:p>
        </w:tc>
        <w:tc>
          <w:tcPr>
            <w:tcW w:w="680" w:type="dxa"/>
            <w:tcBorders/>
            <w:tcMar>
              <w:bottom w:w="0" w:type="dxa"/>
            </w:tcMar>
            <w:vAlign w:val="center"/>
          </w:tcPr>
          <w:p>
            <w:pPr>
              <w:pStyle w:val="TableContents"/>
              <w:bidi w:val="0"/>
              <w:spacing w:before="0" w:after="0"/>
              <w:jc w:val="left"/>
              <w:rPr>
                <w:sz w:val="20"/>
              </w:rPr>
            </w:pPr>
            <w:r>
              <w:rPr>
                <w:sz w:val="20"/>
              </w:rPr>
              <w:t>BBB</w:t>
            </w:r>
          </w:p>
        </w:tc>
        <w:tc>
          <w:tcPr>
            <w:tcW w:w="740" w:type="dxa"/>
            <w:tcBorders/>
            <w:tcMar>
              <w:bottom w:w="0" w:type="dxa"/>
            </w:tcMar>
            <w:vAlign w:val="center"/>
          </w:tcPr>
          <w:p>
            <w:pPr>
              <w:pStyle w:val="TableContents"/>
              <w:bidi w:val="0"/>
              <w:spacing w:before="0" w:after="0"/>
              <w:jc w:val="left"/>
              <w:rPr>
                <w:sz w:val="20"/>
              </w:rPr>
            </w:pPr>
            <w:r>
              <w:rPr>
                <w:sz w:val="20"/>
              </w:rPr>
              <w:t>Affirmed</w:t>
            </w:r>
          </w:p>
        </w:tc>
        <w:tc>
          <w:tcPr>
            <w:tcW w:w="1115" w:type="dxa"/>
            <w:tcBorders/>
            <w:tcMar>
              <w:bottom w:w="0" w:type="dxa"/>
            </w:tcMar>
            <w:vAlign w:val="center"/>
          </w:tcPr>
          <w:p>
            <w:pPr>
              <w:pStyle w:val="TableContents"/>
              <w:bidi w:val="0"/>
              <w:spacing w:before="0" w:after="283"/>
              <w:jc w:val="left"/>
              <w:rPr/>
            </w:pPr>
            <w:r>
              <w:rPr/>
              <w:t> </w:t>
            </w:r>
          </w:p>
        </w:tc>
        <w:tc>
          <w:tcPr>
            <w:tcW w:w="680" w:type="dxa"/>
            <w:tcBorders/>
            <w:tcMar>
              <w:bottom w:w="0" w:type="dxa"/>
            </w:tcMar>
            <w:vAlign w:val="center"/>
          </w:tcPr>
          <w:p>
            <w:pPr>
              <w:pStyle w:val="TableContents"/>
              <w:bidi w:val="0"/>
              <w:spacing w:before="0" w:after="0"/>
              <w:jc w:val="left"/>
              <w:rPr>
                <w:sz w:val="20"/>
              </w:rPr>
            </w:pPr>
            <w:r>
              <w:rPr>
                <w:sz w:val="20"/>
              </w:rPr>
              <w:t>BBB</w:t>
            </w:r>
          </w:p>
        </w:tc>
      </w:tr>
      <w:tr>
        <w:trPr/>
        <w:tc>
          <w:tcPr>
            <w:tcW w:w="60" w:type="dxa"/>
            <w:tcBorders>
              <w:bottom w:val="single" w:sz="12" w:space="0" w:color="000000"/>
            </w:tcBorders>
            <w:vAlign w:val="center"/>
          </w:tcPr>
          <w:p>
            <w:pPr>
              <w:pStyle w:val="TableContents"/>
              <w:bidi w:val="0"/>
              <w:spacing w:before="0" w:after="283"/>
              <w:jc w:val="left"/>
              <w:rPr/>
            </w:pPr>
            <w:r>
              <w:rPr/>
              <w:t> </w:t>
            </w:r>
          </w:p>
        </w:tc>
        <w:tc>
          <w:tcPr>
            <w:tcW w:w="1370" w:type="dxa"/>
            <w:tcBorders>
              <w:bottom w:val="single" w:sz="12" w:space="0" w:color="000000"/>
            </w:tcBorders>
            <w:vAlign w:val="center"/>
          </w:tcPr>
          <w:p>
            <w:pPr>
              <w:pStyle w:val="TableContents"/>
              <w:bidi w:val="0"/>
              <w:spacing w:before="0" w:after="283"/>
              <w:jc w:val="left"/>
              <w:rPr/>
            </w:pPr>
            <w:r>
              <w:rPr/>
            </w:r>
          </w:p>
        </w:tc>
        <w:tc>
          <w:tcPr>
            <w:tcW w:w="1025" w:type="dxa"/>
            <w:tcBorders>
              <w:bottom w:val="single" w:sz="12" w:space="0" w:color="000000"/>
            </w:tcBorders>
            <w:vAlign w:val="center"/>
          </w:tcPr>
          <w:p>
            <w:pPr>
              <w:pStyle w:val="TableContents"/>
              <w:bidi w:val="0"/>
              <w:spacing w:before="0" w:after="283"/>
              <w:jc w:val="left"/>
              <w:rPr/>
            </w:pPr>
            <w:r>
              <w:rPr/>
            </w:r>
          </w:p>
        </w:tc>
        <w:tc>
          <w:tcPr>
            <w:tcW w:w="680" w:type="dxa"/>
            <w:tcBorders>
              <w:bottom w:val="single" w:sz="12" w:space="0" w:color="000000"/>
            </w:tcBorders>
            <w:vAlign w:val="center"/>
          </w:tcPr>
          <w:p>
            <w:pPr>
              <w:pStyle w:val="TableContents"/>
              <w:bidi w:val="0"/>
              <w:spacing w:before="0" w:after="283"/>
              <w:jc w:val="left"/>
              <w:rPr/>
            </w:pPr>
            <w:r>
              <w:rPr/>
            </w:r>
          </w:p>
        </w:tc>
        <w:tc>
          <w:tcPr>
            <w:tcW w:w="740" w:type="dxa"/>
            <w:tcBorders>
              <w:bottom w:val="single" w:sz="12" w:space="0" w:color="000000"/>
            </w:tcBorders>
            <w:vAlign w:val="center"/>
          </w:tcPr>
          <w:p>
            <w:pPr>
              <w:pStyle w:val="TableContents"/>
              <w:bidi w:val="0"/>
              <w:spacing w:before="0" w:after="283"/>
              <w:jc w:val="left"/>
              <w:rPr/>
            </w:pPr>
            <w:r>
              <w:rPr/>
            </w:r>
          </w:p>
        </w:tc>
        <w:tc>
          <w:tcPr>
            <w:tcW w:w="1115" w:type="dxa"/>
            <w:tcBorders>
              <w:bottom w:val="single" w:sz="12" w:space="0" w:color="000000"/>
            </w:tcBorders>
            <w:vAlign w:val="center"/>
          </w:tcPr>
          <w:p>
            <w:pPr>
              <w:pStyle w:val="TableContents"/>
              <w:bidi w:val="0"/>
              <w:spacing w:before="0" w:after="283"/>
              <w:jc w:val="left"/>
              <w:rPr/>
            </w:pPr>
            <w:r>
              <w:rPr/>
            </w:r>
          </w:p>
        </w:tc>
        <w:tc>
          <w:tcPr>
            <w:tcW w:w="680" w:type="dxa"/>
            <w:tcBorders>
              <w:bottom w:val="single" w:sz="12" w:space="0" w:color="000000"/>
            </w:tcBorders>
            <w:vAlign w:val="center"/>
          </w:tcPr>
          <w:p>
            <w:pPr>
              <w:pStyle w:val="TableContents"/>
              <w:bidi w:val="0"/>
              <w:spacing w:before="0" w:after="283"/>
              <w:jc w:val="left"/>
              <w:rPr/>
            </w:pPr>
            <w:r>
              <w:rPr/>
            </w:r>
          </w:p>
        </w:tc>
      </w:tr>
      <w:tr>
        <w:trPr/>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left"/>
              <w:rPr/>
            </w:pPr>
            <w:r>
              <w:rPr/>
            </w:r>
          </w:p>
        </w:tc>
        <w:tc>
          <w:tcPr>
            <w:tcW w:w="1025" w:type="dxa"/>
            <w:tcBorders/>
            <w:tcMar>
              <w:bottom w:w="0" w:type="dxa"/>
            </w:tcMar>
            <w:vAlign w:val="center"/>
          </w:tcPr>
          <w:p>
            <w:pPr>
              <w:pStyle w:val="TableContents"/>
              <w:bidi w:val="0"/>
              <w:spacing w:before="0" w:after="283"/>
              <w:jc w:val="left"/>
              <w:rPr/>
            </w:pPr>
            <w:r>
              <w:rPr/>
            </w:r>
          </w:p>
        </w:tc>
        <w:tc>
          <w:tcPr>
            <w:tcW w:w="680" w:type="dxa"/>
            <w:tcBorders/>
            <w:tcMar>
              <w:bottom w:w="0" w:type="dxa"/>
            </w:tcMar>
            <w:vAlign w:val="center"/>
          </w:tcPr>
          <w:p>
            <w:pPr>
              <w:pStyle w:val="TableContents"/>
              <w:bidi w:val="0"/>
              <w:spacing w:before="0" w:after="283"/>
              <w:jc w:val="left"/>
              <w:rPr/>
            </w:pPr>
            <w:r>
              <w:rPr/>
            </w:r>
          </w:p>
        </w:tc>
        <w:tc>
          <w:tcPr>
            <w:tcW w:w="740" w:type="dxa"/>
            <w:tcBorders/>
            <w:tcMar>
              <w:bottom w:w="0" w:type="dxa"/>
            </w:tcMar>
            <w:vAlign w:val="center"/>
          </w:tcPr>
          <w:p>
            <w:pPr>
              <w:pStyle w:val="TableContents"/>
              <w:bidi w:val="0"/>
              <w:spacing w:before="0" w:after="283"/>
              <w:jc w:val="left"/>
              <w:rPr/>
            </w:pPr>
            <w:r>
              <w:rPr/>
            </w:r>
          </w:p>
        </w:tc>
        <w:tc>
          <w:tcPr>
            <w:tcW w:w="1115" w:type="dxa"/>
            <w:tcBorders/>
            <w:tcMar>
              <w:bottom w:w="0" w:type="dxa"/>
            </w:tcMar>
            <w:vAlign w:val="center"/>
          </w:tcPr>
          <w:p>
            <w:pPr>
              <w:pStyle w:val="TableContents"/>
              <w:bidi w:val="0"/>
              <w:spacing w:before="0" w:after="283"/>
              <w:jc w:val="left"/>
              <w:rPr/>
            </w:pPr>
            <w:r>
              <w:rPr/>
            </w:r>
          </w:p>
        </w:tc>
        <w:tc>
          <w:tcPr>
            <w:tcW w:w="680" w:type="dxa"/>
            <w:tcBorders/>
            <w:tcMar>
              <w:bottom w:w="0" w:type="dxa"/>
            </w:tcMar>
            <w:vAlign w:val="center"/>
          </w:tcPr>
          <w:p>
            <w:pPr>
              <w:pStyle w:val="TableContents"/>
              <w:bidi w:val="0"/>
              <w:spacing w:before="0" w:after="283"/>
              <w:jc w:val="left"/>
              <w:rPr/>
            </w:pPr>
            <w:r>
              <w:rPr/>
            </w:r>
          </w:p>
        </w:tc>
      </w:tr>
      <w:tr>
        <w:trPr/>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0"/>
              <w:jc w:val="left"/>
              <w:rPr>
                <w:sz w:val="20"/>
              </w:rPr>
            </w:pPr>
            <w:r>
              <w:rPr>
                <w:sz w:val="20"/>
              </w:rPr>
              <w:t>Intercorp</w:t>
            </w:r>
          </w:p>
          <w:p>
            <w:pPr>
              <w:pStyle w:val="TableContents"/>
              <w:bidi w:val="0"/>
              <w:spacing w:before="0" w:after="0"/>
              <w:jc w:val="left"/>
              <w:rPr>
                <w:sz w:val="20"/>
              </w:rPr>
            </w:pPr>
            <w:r>
              <w:rPr>
                <w:sz w:val="20"/>
              </w:rPr>
              <w:t>Financial</w:t>
            </w:r>
          </w:p>
          <w:p>
            <w:pPr>
              <w:pStyle w:val="TableContents"/>
              <w:bidi w:val="0"/>
              <w:spacing w:before="0" w:after="0"/>
              <w:jc w:val="left"/>
              <w:rPr>
                <w:sz w:val="20"/>
              </w:rPr>
            </w:pPr>
            <w:r>
              <w:rPr>
                <w:sz w:val="20"/>
              </w:rPr>
              <w:t>Services Inc</w:t>
            </w:r>
          </w:p>
        </w:tc>
        <w:tc>
          <w:tcPr>
            <w:tcW w:w="1025" w:type="dxa"/>
            <w:tcBorders/>
            <w:tcMar>
              <w:bottom w:w="0" w:type="dxa"/>
            </w:tcMar>
            <w:vAlign w:val="center"/>
          </w:tcPr>
          <w:p>
            <w:pPr>
              <w:pStyle w:val="TableContents"/>
              <w:bidi w:val="0"/>
              <w:spacing w:before="0" w:after="0"/>
              <w:jc w:val="left"/>
              <w:rPr>
                <w:sz w:val="20"/>
              </w:rPr>
            </w:pPr>
            <w:r>
              <w:rPr>
                <w:sz w:val="20"/>
              </w:rPr>
              <w:t>LT IDR</w:t>
            </w:r>
          </w:p>
        </w:tc>
        <w:tc>
          <w:tcPr>
            <w:tcW w:w="680" w:type="dxa"/>
            <w:tcBorders/>
            <w:tcMar>
              <w:bottom w:w="0" w:type="dxa"/>
            </w:tcMar>
            <w:vAlign w:val="center"/>
          </w:tcPr>
          <w:p>
            <w:pPr>
              <w:pStyle w:val="TableContents"/>
              <w:bidi w:val="0"/>
              <w:spacing w:before="0" w:after="0"/>
              <w:jc w:val="left"/>
              <w:rPr>
                <w:sz w:val="20"/>
              </w:rPr>
            </w:pPr>
            <w:r>
              <w:rPr>
                <w:sz w:val="20"/>
              </w:rPr>
              <w:t xml:space="preserve">BBB- </w:t>
            </w:r>
            <w:r>
              <w:rPr>
                <w:sz w:val="20"/>
              </w:rPr>
              <w:drawing>
                <wp:inline distT="0" distB="0" distL="0" distR="0">
                  <wp:extent cx="95250" cy="952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5250" cy="95250"/>
                          </a:xfrm>
                          <a:prstGeom prst="rect">
                            <a:avLst/>
                          </a:prstGeom>
                        </pic:spPr>
                      </pic:pic>
                    </a:graphicData>
                  </a:graphic>
                </wp:inline>
              </w:drawing>
            </w:r>
          </w:p>
        </w:tc>
        <w:tc>
          <w:tcPr>
            <w:tcW w:w="740" w:type="dxa"/>
            <w:tcBorders/>
            <w:tcMar>
              <w:bottom w:w="0" w:type="dxa"/>
            </w:tcMar>
            <w:vAlign w:val="center"/>
          </w:tcPr>
          <w:p>
            <w:pPr>
              <w:pStyle w:val="TableContents"/>
              <w:bidi w:val="0"/>
              <w:spacing w:before="0" w:after="0"/>
              <w:jc w:val="left"/>
              <w:rPr>
                <w:sz w:val="20"/>
              </w:rPr>
            </w:pPr>
            <w:r>
              <w:rPr>
                <w:sz w:val="20"/>
              </w:rPr>
              <w:t>Affirmed</w:t>
            </w:r>
          </w:p>
        </w:tc>
        <w:tc>
          <w:tcPr>
            <w:tcW w:w="1115" w:type="dxa"/>
            <w:tcBorders/>
            <w:tcMar>
              <w:bottom w:w="0" w:type="dxa"/>
            </w:tcMar>
            <w:vAlign w:val="center"/>
          </w:tcPr>
          <w:p>
            <w:pPr>
              <w:pStyle w:val="TableContents"/>
              <w:bidi w:val="0"/>
              <w:spacing w:before="0" w:after="283"/>
              <w:jc w:val="left"/>
              <w:rPr/>
            </w:pPr>
            <w:r>
              <w:rPr/>
              <w:t> </w:t>
            </w:r>
          </w:p>
        </w:tc>
        <w:tc>
          <w:tcPr>
            <w:tcW w:w="680" w:type="dxa"/>
            <w:tcBorders/>
            <w:tcMar>
              <w:bottom w:w="0" w:type="dxa"/>
            </w:tcMar>
            <w:vAlign w:val="center"/>
          </w:tcPr>
          <w:p>
            <w:pPr>
              <w:pStyle w:val="TableContents"/>
              <w:bidi w:val="0"/>
              <w:spacing w:before="0" w:after="0"/>
              <w:jc w:val="left"/>
              <w:rPr>
                <w:sz w:val="20"/>
              </w:rPr>
            </w:pPr>
            <w:r>
              <w:rPr>
                <w:sz w:val="20"/>
              </w:rPr>
              <w:t xml:space="preserve">BBB- </w:t>
            </w:r>
            <w:r>
              <w:rPr>
                <w:sz w:val="20"/>
              </w:rPr>
              <w:drawing>
                <wp:inline distT="0" distB="0" distL="0" distR="0">
                  <wp:extent cx="95250" cy="952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5250" cy="95250"/>
                          </a:xfrm>
                          <a:prstGeom prst="rect">
                            <a:avLst/>
                          </a:prstGeom>
                        </pic:spPr>
                      </pic:pic>
                    </a:graphicData>
                  </a:graphic>
                </wp:inline>
              </w:drawing>
            </w:r>
          </w:p>
        </w:tc>
      </w:tr>
      <w:tr>
        <w:trPr/>
        <w:tc>
          <w:tcPr>
            <w:tcW w:w="60" w:type="dxa"/>
            <w:tcBorders>
              <w:bottom w:val="single" w:sz="12" w:space="0" w:color="000000"/>
            </w:tcBorders>
            <w:vAlign w:val="center"/>
          </w:tcPr>
          <w:p>
            <w:pPr>
              <w:pStyle w:val="TableContents"/>
              <w:bidi w:val="0"/>
              <w:spacing w:before="0" w:after="283"/>
              <w:jc w:val="left"/>
              <w:rPr/>
            </w:pPr>
            <w:r>
              <w:rPr/>
              <w:t> </w:t>
            </w:r>
          </w:p>
        </w:tc>
        <w:tc>
          <w:tcPr>
            <w:tcW w:w="1370" w:type="dxa"/>
            <w:tcBorders>
              <w:bottom w:val="single" w:sz="12" w:space="0" w:color="000000"/>
            </w:tcBorders>
            <w:vAlign w:val="center"/>
          </w:tcPr>
          <w:p>
            <w:pPr>
              <w:pStyle w:val="TableContents"/>
              <w:bidi w:val="0"/>
              <w:spacing w:before="0" w:after="283"/>
              <w:jc w:val="left"/>
              <w:rPr/>
            </w:pPr>
            <w:r>
              <w:rPr/>
            </w:r>
          </w:p>
        </w:tc>
        <w:tc>
          <w:tcPr>
            <w:tcW w:w="1025" w:type="dxa"/>
            <w:tcBorders>
              <w:bottom w:val="single" w:sz="12" w:space="0" w:color="000000"/>
            </w:tcBorders>
            <w:vAlign w:val="center"/>
          </w:tcPr>
          <w:p>
            <w:pPr>
              <w:pStyle w:val="TableContents"/>
              <w:bidi w:val="0"/>
              <w:spacing w:before="0" w:after="283"/>
              <w:jc w:val="left"/>
              <w:rPr/>
            </w:pPr>
            <w:r>
              <w:rPr/>
            </w:r>
          </w:p>
        </w:tc>
        <w:tc>
          <w:tcPr>
            <w:tcW w:w="680" w:type="dxa"/>
            <w:tcBorders>
              <w:bottom w:val="single" w:sz="12" w:space="0" w:color="000000"/>
            </w:tcBorders>
            <w:vAlign w:val="center"/>
          </w:tcPr>
          <w:p>
            <w:pPr>
              <w:pStyle w:val="TableContents"/>
              <w:bidi w:val="0"/>
              <w:spacing w:before="0" w:after="283"/>
              <w:jc w:val="left"/>
              <w:rPr/>
            </w:pPr>
            <w:r>
              <w:rPr/>
            </w:r>
          </w:p>
        </w:tc>
        <w:tc>
          <w:tcPr>
            <w:tcW w:w="740" w:type="dxa"/>
            <w:tcBorders>
              <w:bottom w:val="single" w:sz="12" w:space="0" w:color="000000"/>
            </w:tcBorders>
            <w:vAlign w:val="center"/>
          </w:tcPr>
          <w:p>
            <w:pPr>
              <w:pStyle w:val="TableContents"/>
              <w:bidi w:val="0"/>
              <w:spacing w:before="0" w:after="283"/>
              <w:jc w:val="left"/>
              <w:rPr/>
            </w:pPr>
            <w:r>
              <w:rPr/>
            </w:r>
          </w:p>
        </w:tc>
        <w:tc>
          <w:tcPr>
            <w:tcW w:w="1115" w:type="dxa"/>
            <w:tcBorders>
              <w:bottom w:val="single" w:sz="12" w:space="0" w:color="000000"/>
            </w:tcBorders>
            <w:vAlign w:val="center"/>
          </w:tcPr>
          <w:p>
            <w:pPr>
              <w:pStyle w:val="TableContents"/>
              <w:bidi w:val="0"/>
              <w:spacing w:before="0" w:after="283"/>
              <w:jc w:val="left"/>
              <w:rPr/>
            </w:pPr>
            <w:r>
              <w:rPr/>
            </w:r>
          </w:p>
        </w:tc>
        <w:tc>
          <w:tcPr>
            <w:tcW w:w="680" w:type="dxa"/>
            <w:tcBorders>
              <w:bottom w:val="single" w:sz="12" w:space="0" w:color="000000"/>
            </w:tcBorders>
            <w:vAlign w:val="center"/>
          </w:tcPr>
          <w:p>
            <w:pPr>
              <w:pStyle w:val="TableContents"/>
              <w:bidi w:val="0"/>
              <w:spacing w:before="0" w:after="283"/>
              <w:jc w:val="left"/>
              <w:rPr/>
            </w:pPr>
            <w:r>
              <w:rPr/>
            </w:r>
          </w:p>
        </w:tc>
      </w:tr>
      <w:tr>
        <w:trPr/>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left"/>
              <w:rPr/>
            </w:pPr>
            <w:r>
              <w:rPr/>
            </w:r>
          </w:p>
        </w:tc>
        <w:tc>
          <w:tcPr>
            <w:tcW w:w="1025" w:type="dxa"/>
            <w:tcBorders/>
            <w:tcMar>
              <w:bottom w:w="0" w:type="dxa"/>
            </w:tcMar>
            <w:vAlign w:val="center"/>
          </w:tcPr>
          <w:p>
            <w:pPr>
              <w:pStyle w:val="TableContents"/>
              <w:bidi w:val="0"/>
              <w:spacing w:before="0" w:after="283"/>
              <w:jc w:val="left"/>
              <w:rPr/>
            </w:pPr>
            <w:r>
              <w:rPr/>
            </w:r>
          </w:p>
        </w:tc>
        <w:tc>
          <w:tcPr>
            <w:tcW w:w="680" w:type="dxa"/>
            <w:tcBorders/>
            <w:tcMar>
              <w:bottom w:w="0" w:type="dxa"/>
            </w:tcMar>
            <w:vAlign w:val="center"/>
          </w:tcPr>
          <w:p>
            <w:pPr>
              <w:pStyle w:val="TableContents"/>
              <w:bidi w:val="0"/>
              <w:spacing w:before="0" w:after="283"/>
              <w:jc w:val="left"/>
              <w:rPr/>
            </w:pPr>
            <w:r>
              <w:rPr/>
            </w:r>
          </w:p>
        </w:tc>
        <w:tc>
          <w:tcPr>
            <w:tcW w:w="740" w:type="dxa"/>
            <w:tcBorders/>
            <w:tcMar>
              <w:bottom w:w="0" w:type="dxa"/>
            </w:tcMar>
            <w:vAlign w:val="center"/>
          </w:tcPr>
          <w:p>
            <w:pPr>
              <w:pStyle w:val="TableContents"/>
              <w:bidi w:val="0"/>
              <w:spacing w:before="0" w:after="283"/>
              <w:jc w:val="left"/>
              <w:rPr/>
            </w:pPr>
            <w:r>
              <w:rPr/>
            </w:r>
          </w:p>
        </w:tc>
        <w:tc>
          <w:tcPr>
            <w:tcW w:w="1115" w:type="dxa"/>
            <w:tcBorders/>
            <w:tcMar>
              <w:bottom w:w="0" w:type="dxa"/>
            </w:tcMar>
            <w:vAlign w:val="center"/>
          </w:tcPr>
          <w:p>
            <w:pPr>
              <w:pStyle w:val="TableContents"/>
              <w:bidi w:val="0"/>
              <w:spacing w:before="0" w:after="283"/>
              <w:jc w:val="left"/>
              <w:rPr/>
            </w:pPr>
            <w:r>
              <w:rPr/>
            </w:r>
          </w:p>
        </w:tc>
        <w:tc>
          <w:tcPr>
            <w:tcW w:w="680" w:type="dxa"/>
            <w:tcBorders/>
            <w:tcMar>
              <w:bottom w:w="0" w:type="dxa"/>
            </w:tcMar>
            <w:vAlign w:val="center"/>
          </w:tcPr>
          <w:p>
            <w:pPr>
              <w:pStyle w:val="TableContents"/>
              <w:bidi w:val="0"/>
              <w:spacing w:before="0" w:after="283"/>
              <w:jc w:val="left"/>
              <w:rPr/>
            </w:pPr>
            <w:r>
              <w:rPr/>
            </w:r>
          </w:p>
        </w:tc>
      </w:tr>
      <w:tr>
        <w:trPr/>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left"/>
              <w:rPr/>
            </w:pPr>
            <w:r>
              <w:rPr/>
              <w:t> </w:t>
            </w:r>
          </w:p>
        </w:tc>
        <w:tc>
          <w:tcPr>
            <w:tcW w:w="1025" w:type="dxa"/>
            <w:tcBorders/>
            <w:tcMar>
              <w:bottom w:w="0" w:type="dxa"/>
            </w:tcMar>
            <w:vAlign w:val="center"/>
          </w:tcPr>
          <w:p>
            <w:pPr>
              <w:pStyle w:val="TableContents"/>
              <w:bidi w:val="0"/>
              <w:spacing w:before="0" w:after="0"/>
              <w:jc w:val="left"/>
              <w:rPr>
                <w:sz w:val="20"/>
              </w:rPr>
            </w:pPr>
            <w:r>
              <w:rPr>
                <w:sz w:val="20"/>
              </w:rPr>
              <w:t>ST IDR</w:t>
            </w:r>
          </w:p>
        </w:tc>
        <w:tc>
          <w:tcPr>
            <w:tcW w:w="680" w:type="dxa"/>
            <w:tcBorders/>
            <w:tcMar>
              <w:bottom w:w="0" w:type="dxa"/>
            </w:tcMar>
            <w:vAlign w:val="center"/>
          </w:tcPr>
          <w:p>
            <w:pPr>
              <w:pStyle w:val="TableContents"/>
              <w:bidi w:val="0"/>
              <w:spacing w:before="0" w:after="0"/>
              <w:jc w:val="left"/>
              <w:rPr>
                <w:sz w:val="20"/>
              </w:rPr>
            </w:pPr>
            <w:r>
              <w:rPr>
                <w:sz w:val="20"/>
              </w:rPr>
              <w:t>F3</w:t>
            </w:r>
          </w:p>
        </w:tc>
        <w:tc>
          <w:tcPr>
            <w:tcW w:w="740" w:type="dxa"/>
            <w:tcBorders/>
            <w:tcMar>
              <w:bottom w:w="0" w:type="dxa"/>
            </w:tcMar>
            <w:vAlign w:val="center"/>
          </w:tcPr>
          <w:p>
            <w:pPr>
              <w:pStyle w:val="TableContents"/>
              <w:bidi w:val="0"/>
              <w:spacing w:before="0" w:after="0"/>
              <w:jc w:val="left"/>
              <w:rPr>
                <w:sz w:val="20"/>
              </w:rPr>
            </w:pPr>
            <w:r>
              <w:rPr>
                <w:sz w:val="20"/>
              </w:rPr>
              <w:t>Affirmed</w:t>
            </w:r>
          </w:p>
        </w:tc>
        <w:tc>
          <w:tcPr>
            <w:tcW w:w="1115" w:type="dxa"/>
            <w:tcBorders/>
            <w:tcMar>
              <w:bottom w:w="0" w:type="dxa"/>
            </w:tcMar>
            <w:vAlign w:val="center"/>
          </w:tcPr>
          <w:p>
            <w:pPr>
              <w:pStyle w:val="TableContents"/>
              <w:bidi w:val="0"/>
              <w:spacing w:before="0" w:after="283"/>
              <w:jc w:val="left"/>
              <w:rPr/>
            </w:pPr>
            <w:r>
              <w:rPr/>
              <w:t> </w:t>
            </w:r>
          </w:p>
        </w:tc>
        <w:tc>
          <w:tcPr>
            <w:tcW w:w="680" w:type="dxa"/>
            <w:tcBorders/>
            <w:tcMar>
              <w:bottom w:w="0" w:type="dxa"/>
            </w:tcMar>
            <w:vAlign w:val="center"/>
          </w:tcPr>
          <w:p>
            <w:pPr>
              <w:pStyle w:val="TableContents"/>
              <w:bidi w:val="0"/>
              <w:spacing w:before="0" w:after="0"/>
              <w:jc w:val="left"/>
              <w:rPr>
                <w:sz w:val="20"/>
              </w:rPr>
            </w:pPr>
            <w:r>
              <w:rPr>
                <w:sz w:val="20"/>
              </w:rPr>
              <w:t>F3</w:t>
            </w:r>
          </w:p>
        </w:tc>
      </w:tr>
      <w:tr>
        <w:trPr/>
        <w:tc>
          <w:tcPr>
            <w:tcW w:w="60" w:type="dxa"/>
            <w:tcBorders>
              <w:bottom w:val="single" w:sz="12" w:space="0" w:color="000000"/>
            </w:tcBorders>
            <w:vAlign w:val="center"/>
          </w:tcPr>
          <w:p>
            <w:pPr>
              <w:pStyle w:val="TableContents"/>
              <w:bidi w:val="0"/>
              <w:spacing w:before="0" w:after="283"/>
              <w:jc w:val="left"/>
              <w:rPr/>
            </w:pPr>
            <w:r>
              <w:rPr/>
              <w:t> </w:t>
            </w:r>
          </w:p>
        </w:tc>
        <w:tc>
          <w:tcPr>
            <w:tcW w:w="1370" w:type="dxa"/>
            <w:tcBorders>
              <w:bottom w:val="single" w:sz="12" w:space="0" w:color="000000"/>
            </w:tcBorders>
            <w:vAlign w:val="center"/>
          </w:tcPr>
          <w:p>
            <w:pPr>
              <w:pStyle w:val="TableContents"/>
              <w:bidi w:val="0"/>
              <w:spacing w:before="0" w:after="283"/>
              <w:jc w:val="left"/>
              <w:rPr/>
            </w:pPr>
            <w:r>
              <w:rPr/>
              <w:t> </w:t>
            </w:r>
          </w:p>
        </w:tc>
        <w:tc>
          <w:tcPr>
            <w:tcW w:w="1025" w:type="dxa"/>
            <w:tcBorders>
              <w:bottom w:val="single" w:sz="12" w:space="0" w:color="000000"/>
            </w:tcBorders>
            <w:vAlign w:val="center"/>
          </w:tcPr>
          <w:p>
            <w:pPr>
              <w:pStyle w:val="TableContents"/>
              <w:bidi w:val="0"/>
              <w:spacing w:before="0" w:after="283"/>
              <w:jc w:val="left"/>
              <w:rPr/>
            </w:pPr>
            <w:r>
              <w:rPr/>
              <w:t> </w:t>
            </w:r>
          </w:p>
        </w:tc>
        <w:tc>
          <w:tcPr>
            <w:tcW w:w="680" w:type="dxa"/>
            <w:tcBorders>
              <w:bottom w:val="single" w:sz="12" w:space="0" w:color="000000"/>
            </w:tcBorders>
            <w:vAlign w:val="center"/>
          </w:tcPr>
          <w:p>
            <w:pPr>
              <w:pStyle w:val="TableContents"/>
              <w:bidi w:val="0"/>
              <w:spacing w:before="0" w:after="283"/>
              <w:jc w:val="left"/>
              <w:rPr/>
            </w:pPr>
            <w:r>
              <w:rPr/>
              <w:t> </w:t>
            </w:r>
          </w:p>
        </w:tc>
        <w:tc>
          <w:tcPr>
            <w:tcW w:w="740" w:type="dxa"/>
            <w:tcBorders>
              <w:bottom w:val="single" w:sz="12" w:space="0" w:color="000000"/>
            </w:tcBorders>
            <w:vAlign w:val="center"/>
          </w:tcPr>
          <w:p>
            <w:pPr>
              <w:pStyle w:val="TableContents"/>
              <w:bidi w:val="0"/>
              <w:spacing w:before="0" w:after="283"/>
              <w:jc w:val="left"/>
              <w:rPr/>
            </w:pPr>
            <w:r>
              <w:rPr/>
              <w:t> </w:t>
            </w:r>
          </w:p>
        </w:tc>
        <w:tc>
          <w:tcPr>
            <w:tcW w:w="1115" w:type="dxa"/>
            <w:tcBorders>
              <w:bottom w:val="single" w:sz="12" w:space="0" w:color="000000"/>
            </w:tcBorders>
            <w:vAlign w:val="center"/>
          </w:tcPr>
          <w:p>
            <w:pPr>
              <w:pStyle w:val="TableContents"/>
              <w:bidi w:val="0"/>
              <w:spacing w:before="0" w:after="283"/>
              <w:jc w:val="left"/>
              <w:rPr/>
            </w:pPr>
            <w:r>
              <w:rPr/>
              <w:t> </w:t>
            </w:r>
          </w:p>
        </w:tc>
        <w:tc>
          <w:tcPr>
            <w:tcW w:w="680" w:type="dxa"/>
            <w:tcBorders>
              <w:bottom w:val="single" w:sz="12" w:space="0" w:color="000000"/>
            </w:tcBorders>
            <w:vAlign w:val="center"/>
          </w:tcPr>
          <w:p>
            <w:pPr>
              <w:pStyle w:val="TableContents"/>
              <w:bidi w:val="0"/>
              <w:spacing w:before="0" w:after="283"/>
              <w:jc w:val="left"/>
              <w:rPr/>
            </w:pPr>
            <w:r>
              <w:rPr/>
              <w:t> </w:t>
            </w:r>
          </w:p>
        </w:tc>
      </w:tr>
      <w:tr>
        <w:trPr/>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left"/>
              <w:rPr/>
            </w:pPr>
            <w:r>
              <w:rPr/>
              <w:t> </w:t>
            </w:r>
          </w:p>
        </w:tc>
        <w:tc>
          <w:tcPr>
            <w:tcW w:w="1025" w:type="dxa"/>
            <w:tcBorders/>
            <w:tcMar>
              <w:bottom w:w="0" w:type="dxa"/>
            </w:tcMar>
            <w:vAlign w:val="center"/>
          </w:tcPr>
          <w:p>
            <w:pPr>
              <w:pStyle w:val="TableContents"/>
              <w:bidi w:val="0"/>
              <w:spacing w:before="0" w:after="283"/>
              <w:jc w:val="left"/>
              <w:rPr/>
            </w:pPr>
            <w:r>
              <w:rPr/>
              <w:t> </w:t>
            </w:r>
          </w:p>
        </w:tc>
        <w:tc>
          <w:tcPr>
            <w:tcW w:w="680" w:type="dxa"/>
            <w:tcBorders/>
            <w:tcMar>
              <w:bottom w:w="0" w:type="dxa"/>
            </w:tcMar>
            <w:vAlign w:val="center"/>
          </w:tcPr>
          <w:p>
            <w:pPr>
              <w:pStyle w:val="TableContents"/>
              <w:bidi w:val="0"/>
              <w:spacing w:before="0" w:after="283"/>
              <w:jc w:val="left"/>
              <w:rPr/>
            </w:pPr>
            <w:r>
              <w:rPr/>
              <w:t> </w:t>
            </w:r>
          </w:p>
        </w:tc>
        <w:tc>
          <w:tcPr>
            <w:tcW w:w="740" w:type="dxa"/>
            <w:tcBorders/>
            <w:tcMar>
              <w:bottom w:w="0" w:type="dxa"/>
            </w:tcMar>
            <w:vAlign w:val="center"/>
          </w:tcPr>
          <w:p>
            <w:pPr>
              <w:pStyle w:val="TableContents"/>
              <w:bidi w:val="0"/>
              <w:spacing w:before="0" w:after="283"/>
              <w:jc w:val="left"/>
              <w:rPr/>
            </w:pPr>
            <w:r>
              <w:rPr/>
              <w:t> </w:t>
            </w:r>
          </w:p>
        </w:tc>
        <w:tc>
          <w:tcPr>
            <w:tcW w:w="1115" w:type="dxa"/>
            <w:tcBorders/>
            <w:tcMar>
              <w:bottom w:w="0" w:type="dxa"/>
            </w:tcMar>
            <w:vAlign w:val="center"/>
          </w:tcPr>
          <w:p>
            <w:pPr>
              <w:pStyle w:val="TableContents"/>
              <w:bidi w:val="0"/>
              <w:spacing w:before="0" w:after="283"/>
              <w:jc w:val="left"/>
              <w:rPr/>
            </w:pPr>
            <w:r>
              <w:rPr/>
              <w:t> </w:t>
            </w:r>
          </w:p>
        </w:tc>
        <w:tc>
          <w:tcPr>
            <w:tcW w:w="680" w:type="dxa"/>
            <w:tcBorders/>
            <w:tcMar>
              <w:bottom w:w="0" w:type="dxa"/>
            </w:tcMar>
            <w:vAlign w:val="center"/>
          </w:tcPr>
          <w:p>
            <w:pPr>
              <w:pStyle w:val="TableContents"/>
              <w:bidi w:val="0"/>
              <w:spacing w:before="0" w:after="283"/>
              <w:jc w:val="left"/>
              <w:rPr/>
            </w:pPr>
            <w:r>
              <w:rPr/>
              <w:t> </w:t>
            </w:r>
          </w:p>
        </w:tc>
      </w:tr>
      <w:tr>
        <w:trPr/>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left"/>
              <w:rPr/>
            </w:pPr>
            <w:r>
              <w:rPr/>
              <w:t> </w:t>
            </w:r>
          </w:p>
        </w:tc>
        <w:tc>
          <w:tcPr>
            <w:tcW w:w="1025" w:type="dxa"/>
            <w:tcBorders/>
            <w:tcMar>
              <w:bottom w:w="0" w:type="dxa"/>
            </w:tcMar>
            <w:vAlign w:val="center"/>
          </w:tcPr>
          <w:p>
            <w:pPr>
              <w:pStyle w:val="TableContents"/>
              <w:bidi w:val="0"/>
              <w:spacing w:before="0" w:after="0"/>
              <w:jc w:val="left"/>
              <w:rPr>
                <w:sz w:val="20"/>
              </w:rPr>
            </w:pPr>
            <w:r>
              <w:rPr>
                <w:sz w:val="20"/>
              </w:rPr>
              <w:t>LC LT IDR</w:t>
            </w:r>
          </w:p>
        </w:tc>
        <w:tc>
          <w:tcPr>
            <w:tcW w:w="680" w:type="dxa"/>
            <w:tcBorders/>
            <w:tcMar>
              <w:bottom w:w="0" w:type="dxa"/>
            </w:tcMar>
            <w:vAlign w:val="center"/>
          </w:tcPr>
          <w:p>
            <w:pPr>
              <w:pStyle w:val="TableContents"/>
              <w:bidi w:val="0"/>
              <w:spacing w:before="0" w:after="0"/>
              <w:jc w:val="left"/>
              <w:rPr>
                <w:sz w:val="20"/>
              </w:rPr>
            </w:pPr>
            <w:r>
              <w:rPr>
                <w:sz w:val="20"/>
              </w:rPr>
              <w:t xml:space="preserve">BBB- </w:t>
            </w:r>
            <w:r>
              <w:rPr>
                <w:sz w:val="20"/>
              </w:rPr>
              <w:drawing>
                <wp:inline distT="0" distB="0" distL="0" distR="0">
                  <wp:extent cx="95250" cy="952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5250" cy="95250"/>
                          </a:xfrm>
                          <a:prstGeom prst="rect">
                            <a:avLst/>
                          </a:prstGeom>
                        </pic:spPr>
                      </pic:pic>
                    </a:graphicData>
                  </a:graphic>
                </wp:inline>
              </w:drawing>
            </w:r>
          </w:p>
        </w:tc>
        <w:tc>
          <w:tcPr>
            <w:tcW w:w="740" w:type="dxa"/>
            <w:tcBorders/>
            <w:tcMar>
              <w:bottom w:w="0" w:type="dxa"/>
            </w:tcMar>
            <w:vAlign w:val="center"/>
          </w:tcPr>
          <w:p>
            <w:pPr>
              <w:pStyle w:val="TableContents"/>
              <w:bidi w:val="0"/>
              <w:spacing w:before="0" w:after="0"/>
              <w:jc w:val="left"/>
              <w:rPr>
                <w:sz w:val="20"/>
              </w:rPr>
            </w:pPr>
            <w:r>
              <w:rPr>
                <w:sz w:val="20"/>
              </w:rPr>
              <w:t>Affirmed</w:t>
            </w:r>
          </w:p>
        </w:tc>
        <w:tc>
          <w:tcPr>
            <w:tcW w:w="1115" w:type="dxa"/>
            <w:tcBorders/>
            <w:tcMar>
              <w:bottom w:w="0" w:type="dxa"/>
            </w:tcMar>
            <w:vAlign w:val="center"/>
          </w:tcPr>
          <w:p>
            <w:pPr>
              <w:pStyle w:val="TableContents"/>
              <w:bidi w:val="0"/>
              <w:spacing w:before="0" w:after="283"/>
              <w:jc w:val="left"/>
              <w:rPr/>
            </w:pPr>
            <w:r>
              <w:rPr/>
              <w:t> </w:t>
            </w:r>
          </w:p>
        </w:tc>
        <w:tc>
          <w:tcPr>
            <w:tcW w:w="680" w:type="dxa"/>
            <w:tcBorders/>
            <w:tcMar>
              <w:bottom w:w="0" w:type="dxa"/>
            </w:tcMar>
            <w:vAlign w:val="center"/>
          </w:tcPr>
          <w:p>
            <w:pPr>
              <w:pStyle w:val="TableContents"/>
              <w:bidi w:val="0"/>
              <w:spacing w:before="0" w:after="0"/>
              <w:jc w:val="left"/>
              <w:rPr>
                <w:sz w:val="20"/>
              </w:rPr>
            </w:pPr>
            <w:r>
              <w:rPr>
                <w:sz w:val="20"/>
              </w:rPr>
              <w:t xml:space="preserve">BBB- </w:t>
            </w:r>
            <w:r>
              <w:rPr>
                <w:sz w:val="20"/>
              </w:rPr>
              <w:drawing>
                <wp:inline distT="0" distB="0" distL="0" distR="0">
                  <wp:extent cx="95250" cy="9525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95250" cy="95250"/>
                          </a:xfrm>
                          <a:prstGeom prst="rect">
                            <a:avLst/>
                          </a:prstGeom>
                        </pic:spPr>
                      </pic:pic>
                    </a:graphicData>
                  </a:graphic>
                </wp:inline>
              </w:drawing>
            </w:r>
          </w:p>
        </w:tc>
      </w:tr>
      <w:tr>
        <w:trPr/>
        <w:tc>
          <w:tcPr>
            <w:tcW w:w="60" w:type="dxa"/>
            <w:tcBorders>
              <w:bottom w:val="single" w:sz="12" w:space="0" w:color="000000"/>
            </w:tcBorders>
            <w:vAlign w:val="center"/>
          </w:tcPr>
          <w:p>
            <w:pPr>
              <w:pStyle w:val="TableContents"/>
              <w:bidi w:val="0"/>
              <w:spacing w:before="0" w:after="283"/>
              <w:jc w:val="left"/>
              <w:rPr/>
            </w:pPr>
            <w:r>
              <w:rPr/>
              <w:t> </w:t>
            </w:r>
          </w:p>
        </w:tc>
        <w:tc>
          <w:tcPr>
            <w:tcW w:w="1370" w:type="dxa"/>
            <w:tcBorders>
              <w:bottom w:val="single" w:sz="12" w:space="0" w:color="000000"/>
            </w:tcBorders>
            <w:vAlign w:val="center"/>
          </w:tcPr>
          <w:p>
            <w:pPr>
              <w:pStyle w:val="TableContents"/>
              <w:bidi w:val="0"/>
              <w:spacing w:before="0" w:after="283"/>
              <w:jc w:val="left"/>
              <w:rPr/>
            </w:pPr>
            <w:r>
              <w:rPr/>
            </w:r>
          </w:p>
        </w:tc>
        <w:tc>
          <w:tcPr>
            <w:tcW w:w="1025" w:type="dxa"/>
            <w:tcBorders>
              <w:bottom w:val="single" w:sz="12" w:space="0" w:color="000000"/>
            </w:tcBorders>
            <w:vAlign w:val="center"/>
          </w:tcPr>
          <w:p>
            <w:pPr>
              <w:pStyle w:val="TableContents"/>
              <w:bidi w:val="0"/>
              <w:spacing w:before="0" w:after="283"/>
              <w:jc w:val="left"/>
              <w:rPr/>
            </w:pPr>
            <w:r>
              <w:rPr/>
            </w:r>
          </w:p>
        </w:tc>
        <w:tc>
          <w:tcPr>
            <w:tcW w:w="680" w:type="dxa"/>
            <w:tcBorders>
              <w:bottom w:val="single" w:sz="12" w:space="0" w:color="000000"/>
            </w:tcBorders>
            <w:vAlign w:val="center"/>
          </w:tcPr>
          <w:p>
            <w:pPr>
              <w:pStyle w:val="TableContents"/>
              <w:bidi w:val="0"/>
              <w:spacing w:before="0" w:after="283"/>
              <w:jc w:val="left"/>
              <w:rPr/>
            </w:pPr>
            <w:r>
              <w:rPr/>
            </w:r>
          </w:p>
        </w:tc>
        <w:tc>
          <w:tcPr>
            <w:tcW w:w="740" w:type="dxa"/>
            <w:tcBorders>
              <w:bottom w:val="single" w:sz="12" w:space="0" w:color="000000"/>
            </w:tcBorders>
            <w:vAlign w:val="center"/>
          </w:tcPr>
          <w:p>
            <w:pPr>
              <w:pStyle w:val="TableContents"/>
              <w:bidi w:val="0"/>
              <w:spacing w:before="0" w:after="283"/>
              <w:jc w:val="left"/>
              <w:rPr/>
            </w:pPr>
            <w:r>
              <w:rPr/>
            </w:r>
          </w:p>
        </w:tc>
        <w:tc>
          <w:tcPr>
            <w:tcW w:w="1115" w:type="dxa"/>
            <w:tcBorders>
              <w:bottom w:val="single" w:sz="12" w:space="0" w:color="000000"/>
            </w:tcBorders>
            <w:vAlign w:val="center"/>
          </w:tcPr>
          <w:p>
            <w:pPr>
              <w:pStyle w:val="TableContents"/>
              <w:bidi w:val="0"/>
              <w:spacing w:before="0" w:after="283"/>
              <w:jc w:val="left"/>
              <w:rPr/>
            </w:pPr>
            <w:r>
              <w:rPr/>
            </w:r>
          </w:p>
        </w:tc>
        <w:tc>
          <w:tcPr>
            <w:tcW w:w="680" w:type="dxa"/>
            <w:tcBorders>
              <w:bottom w:val="single" w:sz="12" w:space="0" w:color="000000"/>
            </w:tcBorders>
            <w:vAlign w:val="center"/>
          </w:tcPr>
          <w:p>
            <w:pPr>
              <w:pStyle w:val="TableContents"/>
              <w:bidi w:val="0"/>
              <w:spacing w:before="0" w:after="283"/>
              <w:jc w:val="left"/>
              <w:rPr/>
            </w:pPr>
            <w:r>
              <w:rPr/>
            </w:r>
          </w:p>
        </w:tc>
      </w:tr>
      <w:tr>
        <w:trPr/>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left"/>
              <w:rPr/>
            </w:pPr>
            <w:r>
              <w:rPr/>
            </w:r>
          </w:p>
        </w:tc>
        <w:tc>
          <w:tcPr>
            <w:tcW w:w="1025" w:type="dxa"/>
            <w:tcBorders/>
            <w:tcMar>
              <w:bottom w:w="0" w:type="dxa"/>
            </w:tcMar>
            <w:vAlign w:val="center"/>
          </w:tcPr>
          <w:p>
            <w:pPr>
              <w:pStyle w:val="TableContents"/>
              <w:bidi w:val="0"/>
              <w:spacing w:before="0" w:after="283"/>
              <w:jc w:val="left"/>
              <w:rPr/>
            </w:pPr>
            <w:r>
              <w:rPr/>
            </w:r>
          </w:p>
        </w:tc>
        <w:tc>
          <w:tcPr>
            <w:tcW w:w="680" w:type="dxa"/>
            <w:tcBorders/>
            <w:tcMar>
              <w:bottom w:w="0" w:type="dxa"/>
            </w:tcMar>
            <w:vAlign w:val="center"/>
          </w:tcPr>
          <w:p>
            <w:pPr>
              <w:pStyle w:val="TableContents"/>
              <w:bidi w:val="0"/>
              <w:spacing w:before="0" w:after="283"/>
              <w:jc w:val="left"/>
              <w:rPr/>
            </w:pPr>
            <w:r>
              <w:rPr/>
            </w:r>
          </w:p>
        </w:tc>
        <w:tc>
          <w:tcPr>
            <w:tcW w:w="740" w:type="dxa"/>
            <w:tcBorders/>
            <w:tcMar>
              <w:bottom w:w="0" w:type="dxa"/>
            </w:tcMar>
            <w:vAlign w:val="center"/>
          </w:tcPr>
          <w:p>
            <w:pPr>
              <w:pStyle w:val="TableContents"/>
              <w:bidi w:val="0"/>
              <w:spacing w:before="0" w:after="283"/>
              <w:jc w:val="left"/>
              <w:rPr/>
            </w:pPr>
            <w:r>
              <w:rPr/>
            </w:r>
          </w:p>
        </w:tc>
        <w:tc>
          <w:tcPr>
            <w:tcW w:w="1115" w:type="dxa"/>
            <w:tcBorders/>
            <w:tcMar>
              <w:bottom w:w="0" w:type="dxa"/>
            </w:tcMar>
            <w:vAlign w:val="center"/>
          </w:tcPr>
          <w:p>
            <w:pPr>
              <w:pStyle w:val="TableContents"/>
              <w:bidi w:val="0"/>
              <w:spacing w:before="0" w:after="283"/>
              <w:jc w:val="left"/>
              <w:rPr/>
            </w:pPr>
            <w:r>
              <w:rPr/>
            </w:r>
          </w:p>
        </w:tc>
        <w:tc>
          <w:tcPr>
            <w:tcW w:w="680" w:type="dxa"/>
            <w:tcBorders/>
            <w:tcMar>
              <w:bottom w:w="0" w:type="dxa"/>
            </w:tcMar>
            <w:vAlign w:val="center"/>
          </w:tcPr>
          <w:p>
            <w:pPr>
              <w:pStyle w:val="TableContents"/>
              <w:bidi w:val="0"/>
              <w:spacing w:before="0" w:after="283"/>
              <w:jc w:val="left"/>
              <w:rPr/>
            </w:pPr>
            <w:r>
              <w:rPr/>
            </w:r>
          </w:p>
        </w:tc>
      </w:tr>
      <w:tr>
        <w:trPr/>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left"/>
              <w:rPr/>
            </w:pPr>
            <w:r>
              <w:rPr/>
              <w:t> </w:t>
            </w:r>
          </w:p>
        </w:tc>
        <w:tc>
          <w:tcPr>
            <w:tcW w:w="1025" w:type="dxa"/>
            <w:tcBorders/>
            <w:tcMar>
              <w:bottom w:w="0" w:type="dxa"/>
            </w:tcMar>
            <w:vAlign w:val="center"/>
          </w:tcPr>
          <w:p>
            <w:pPr>
              <w:pStyle w:val="TableContents"/>
              <w:bidi w:val="0"/>
              <w:spacing w:before="0" w:after="0"/>
              <w:jc w:val="left"/>
              <w:rPr>
                <w:sz w:val="20"/>
              </w:rPr>
            </w:pPr>
            <w:r>
              <w:rPr>
                <w:sz w:val="20"/>
              </w:rPr>
              <w:t>LC ST IDR</w:t>
            </w:r>
          </w:p>
        </w:tc>
        <w:tc>
          <w:tcPr>
            <w:tcW w:w="680" w:type="dxa"/>
            <w:tcBorders/>
            <w:tcMar>
              <w:bottom w:w="0" w:type="dxa"/>
            </w:tcMar>
            <w:vAlign w:val="center"/>
          </w:tcPr>
          <w:p>
            <w:pPr>
              <w:pStyle w:val="TableContents"/>
              <w:bidi w:val="0"/>
              <w:spacing w:before="0" w:after="0"/>
              <w:jc w:val="left"/>
              <w:rPr>
                <w:sz w:val="20"/>
              </w:rPr>
            </w:pPr>
            <w:r>
              <w:rPr>
                <w:sz w:val="20"/>
              </w:rPr>
              <w:t>F3</w:t>
            </w:r>
          </w:p>
        </w:tc>
        <w:tc>
          <w:tcPr>
            <w:tcW w:w="740" w:type="dxa"/>
            <w:tcBorders/>
            <w:tcMar>
              <w:bottom w:w="0" w:type="dxa"/>
            </w:tcMar>
            <w:vAlign w:val="center"/>
          </w:tcPr>
          <w:p>
            <w:pPr>
              <w:pStyle w:val="TableContents"/>
              <w:bidi w:val="0"/>
              <w:spacing w:before="0" w:after="0"/>
              <w:jc w:val="left"/>
              <w:rPr>
                <w:sz w:val="20"/>
              </w:rPr>
            </w:pPr>
            <w:r>
              <w:rPr>
                <w:sz w:val="20"/>
              </w:rPr>
              <w:t>Affirmed</w:t>
            </w:r>
          </w:p>
        </w:tc>
        <w:tc>
          <w:tcPr>
            <w:tcW w:w="1115" w:type="dxa"/>
            <w:tcBorders/>
            <w:tcMar>
              <w:bottom w:w="0" w:type="dxa"/>
            </w:tcMar>
            <w:vAlign w:val="center"/>
          </w:tcPr>
          <w:p>
            <w:pPr>
              <w:pStyle w:val="TableContents"/>
              <w:bidi w:val="0"/>
              <w:spacing w:before="0" w:after="283"/>
              <w:jc w:val="left"/>
              <w:rPr/>
            </w:pPr>
            <w:r>
              <w:rPr/>
              <w:t> </w:t>
            </w:r>
          </w:p>
        </w:tc>
        <w:tc>
          <w:tcPr>
            <w:tcW w:w="680" w:type="dxa"/>
            <w:tcBorders/>
            <w:tcMar>
              <w:bottom w:w="0" w:type="dxa"/>
            </w:tcMar>
            <w:vAlign w:val="center"/>
          </w:tcPr>
          <w:p>
            <w:pPr>
              <w:pStyle w:val="TableContents"/>
              <w:bidi w:val="0"/>
              <w:spacing w:before="0" w:after="0"/>
              <w:jc w:val="left"/>
              <w:rPr>
                <w:sz w:val="20"/>
              </w:rPr>
            </w:pPr>
            <w:r>
              <w:rPr>
                <w:sz w:val="20"/>
              </w:rPr>
              <w:t>F3</w:t>
            </w:r>
          </w:p>
        </w:tc>
      </w:tr>
      <w:tr>
        <w:trPr/>
        <w:tc>
          <w:tcPr>
            <w:tcW w:w="60" w:type="dxa"/>
            <w:tcBorders>
              <w:bottom w:val="single" w:sz="12" w:space="0" w:color="000000"/>
            </w:tcBorders>
            <w:vAlign w:val="center"/>
          </w:tcPr>
          <w:p>
            <w:pPr>
              <w:pStyle w:val="TableContents"/>
              <w:bidi w:val="0"/>
              <w:spacing w:before="0" w:after="283"/>
              <w:jc w:val="left"/>
              <w:rPr/>
            </w:pPr>
            <w:r>
              <w:rPr/>
              <w:t> </w:t>
            </w:r>
          </w:p>
        </w:tc>
        <w:tc>
          <w:tcPr>
            <w:tcW w:w="1370" w:type="dxa"/>
            <w:tcBorders>
              <w:bottom w:val="single" w:sz="12" w:space="0" w:color="000000"/>
            </w:tcBorders>
            <w:vAlign w:val="center"/>
          </w:tcPr>
          <w:p>
            <w:pPr>
              <w:pStyle w:val="TableContents"/>
              <w:bidi w:val="0"/>
              <w:spacing w:before="0" w:after="283"/>
              <w:jc w:val="left"/>
              <w:rPr/>
            </w:pPr>
            <w:r>
              <w:rPr/>
            </w:r>
          </w:p>
        </w:tc>
        <w:tc>
          <w:tcPr>
            <w:tcW w:w="1025" w:type="dxa"/>
            <w:tcBorders>
              <w:bottom w:val="single" w:sz="12" w:space="0" w:color="000000"/>
            </w:tcBorders>
            <w:vAlign w:val="center"/>
          </w:tcPr>
          <w:p>
            <w:pPr>
              <w:pStyle w:val="TableContents"/>
              <w:bidi w:val="0"/>
              <w:spacing w:before="0" w:after="283"/>
              <w:jc w:val="left"/>
              <w:rPr/>
            </w:pPr>
            <w:r>
              <w:rPr/>
            </w:r>
          </w:p>
        </w:tc>
        <w:tc>
          <w:tcPr>
            <w:tcW w:w="680" w:type="dxa"/>
            <w:tcBorders>
              <w:bottom w:val="single" w:sz="12" w:space="0" w:color="000000"/>
            </w:tcBorders>
            <w:vAlign w:val="center"/>
          </w:tcPr>
          <w:p>
            <w:pPr>
              <w:pStyle w:val="TableContents"/>
              <w:bidi w:val="0"/>
              <w:spacing w:before="0" w:after="283"/>
              <w:jc w:val="left"/>
              <w:rPr/>
            </w:pPr>
            <w:r>
              <w:rPr/>
            </w:r>
          </w:p>
        </w:tc>
        <w:tc>
          <w:tcPr>
            <w:tcW w:w="740" w:type="dxa"/>
            <w:tcBorders>
              <w:bottom w:val="single" w:sz="12" w:space="0" w:color="000000"/>
            </w:tcBorders>
            <w:vAlign w:val="center"/>
          </w:tcPr>
          <w:p>
            <w:pPr>
              <w:pStyle w:val="TableContents"/>
              <w:bidi w:val="0"/>
              <w:spacing w:before="0" w:after="283"/>
              <w:jc w:val="left"/>
              <w:rPr/>
            </w:pPr>
            <w:r>
              <w:rPr/>
            </w:r>
          </w:p>
        </w:tc>
        <w:tc>
          <w:tcPr>
            <w:tcW w:w="1115" w:type="dxa"/>
            <w:tcBorders>
              <w:bottom w:val="single" w:sz="12" w:space="0" w:color="000000"/>
            </w:tcBorders>
            <w:vAlign w:val="center"/>
          </w:tcPr>
          <w:p>
            <w:pPr>
              <w:pStyle w:val="TableContents"/>
              <w:bidi w:val="0"/>
              <w:spacing w:before="0" w:after="283"/>
              <w:jc w:val="left"/>
              <w:rPr/>
            </w:pPr>
            <w:r>
              <w:rPr/>
            </w:r>
          </w:p>
        </w:tc>
        <w:tc>
          <w:tcPr>
            <w:tcW w:w="680" w:type="dxa"/>
            <w:tcBorders>
              <w:bottom w:val="single" w:sz="12" w:space="0" w:color="000000"/>
            </w:tcBorders>
            <w:vAlign w:val="center"/>
          </w:tcPr>
          <w:p>
            <w:pPr>
              <w:pStyle w:val="TableContents"/>
              <w:bidi w:val="0"/>
              <w:spacing w:before="0" w:after="283"/>
              <w:jc w:val="left"/>
              <w:rPr/>
            </w:pPr>
            <w:r>
              <w:rPr/>
            </w:r>
          </w:p>
        </w:tc>
      </w:tr>
      <w:tr>
        <w:trPr/>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left"/>
              <w:rPr/>
            </w:pPr>
            <w:r>
              <w:rPr/>
            </w:r>
          </w:p>
        </w:tc>
        <w:tc>
          <w:tcPr>
            <w:tcW w:w="1025" w:type="dxa"/>
            <w:tcBorders/>
            <w:tcMar>
              <w:bottom w:w="0" w:type="dxa"/>
            </w:tcMar>
            <w:vAlign w:val="center"/>
          </w:tcPr>
          <w:p>
            <w:pPr>
              <w:pStyle w:val="TableContents"/>
              <w:bidi w:val="0"/>
              <w:spacing w:before="0" w:after="283"/>
              <w:jc w:val="left"/>
              <w:rPr/>
            </w:pPr>
            <w:r>
              <w:rPr/>
            </w:r>
          </w:p>
        </w:tc>
        <w:tc>
          <w:tcPr>
            <w:tcW w:w="680" w:type="dxa"/>
            <w:tcBorders/>
            <w:tcMar>
              <w:bottom w:w="0" w:type="dxa"/>
            </w:tcMar>
            <w:vAlign w:val="center"/>
          </w:tcPr>
          <w:p>
            <w:pPr>
              <w:pStyle w:val="TableContents"/>
              <w:bidi w:val="0"/>
              <w:spacing w:before="0" w:after="283"/>
              <w:jc w:val="left"/>
              <w:rPr/>
            </w:pPr>
            <w:r>
              <w:rPr/>
            </w:r>
          </w:p>
        </w:tc>
        <w:tc>
          <w:tcPr>
            <w:tcW w:w="740" w:type="dxa"/>
            <w:tcBorders/>
            <w:tcMar>
              <w:bottom w:w="0" w:type="dxa"/>
            </w:tcMar>
            <w:vAlign w:val="center"/>
          </w:tcPr>
          <w:p>
            <w:pPr>
              <w:pStyle w:val="TableContents"/>
              <w:bidi w:val="0"/>
              <w:spacing w:before="0" w:after="283"/>
              <w:jc w:val="left"/>
              <w:rPr/>
            </w:pPr>
            <w:r>
              <w:rPr/>
            </w:r>
          </w:p>
        </w:tc>
        <w:tc>
          <w:tcPr>
            <w:tcW w:w="1115" w:type="dxa"/>
            <w:tcBorders/>
            <w:tcMar>
              <w:bottom w:w="0" w:type="dxa"/>
            </w:tcMar>
            <w:vAlign w:val="center"/>
          </w:tcPr>
          <w:p>
            <w:pPr>
              <w:pStyle w:val="TableContents"/>
              <w:bidi w:val="0"/>
              <w:spacing w:before="0" w:after="283"/>
              <w:jc w:val="left"/>
              <w:rPr/>
            </w:pPr>
            <w:r>
              <w:rPr/>
            </w:r>
          </w:p>
        </w:tc>
        <w:tc>
          <w:tcPr>
            <w:tcW w:w="680" w:type="dxa"/>
            <w:tcBorders/>
            <w:tcMar>
              <w:bottom w:w="0" w:type="dxa"/>
            </w:tcMar>
            <w:vAlign w:val="center"/>
          </w:tcPr>
          <w:p>
            <w:pPr>
              <w:pStyle w:val="TableContents"/>
              <w:bidi w:val="0"/>
              <w:spacing w:before="0" w:after="283"/>
              <w:jc w:val="left"/>
              <w:rPr/>
            </w:pPr>
            <w:r>
              <w:rPr/>
            </w:r>
          </w:p>
        </w:tc>
      </w:tr>
      <w:tr>
        <w:trPr/>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0"/>
              <w:ind w:left="180" w:right="0" w:hanging="0"/>
              <w:jc w:val="left"/>
              <w:rPr/>
            </w:pPr>
            <w:r>
              <w:rPr/>
              <w:t xml:space="preserve">•  </w:t>
            </w:r>
            <w:r>
              <w:rPr>
                <w:sz w:val="20"/>
              </w:rPr>
              <w:t>senior</w:t>
            </w:r>
          </w:p>
          <w:p>
            <w:pPr>
              <w:pStyle w:val="TableContents"/>
              <w:bidi w:val="0"/>
              <w:spacing w:before="0" w:after="0"/>
              <w:ind w:left="360" w:right="0" w:hanging="0"/>
              <w:jc w:val="left"/>
              <w:rPr>
                <w:sz w:val="20"/>
              </w:rPr>
            </w:pPr>
            <w:r>
              <w:rPr>
                <w:sz w:val="20"/>
              </w:rPr>
              <w:t>unsecured</w:t>
            </w:r>
          </w:p>
        </w:tc>
        <w:tc>
          <w:tcPr>
            <w:tcW w:w="1025" w:type="dxa"/>
            <w:tcBorders/>
            <w:tcMar>
              <w:bottom w:w="0" w:type="dxa"/>
            </w:tcMar>
            <w:vAlign w:val="center"/>
          </w:tcPr>
          <w:p>
            <w:pPr>
              <w:pStyle w:val="TableContents"/>
              <w:bidi w:val="0"/>
              <w:spacing w:before="0" w:after="0"/>
              <w:jc w:val="left"/>
              <w:rPr>
                <w:sz w:val="20"/>
              </w:rPr>
            </w:pPr>
            <w:r>
              <w:rPr>
                <w:sz w:val="20"/>
              </w:rPr>
              <w:t>LT</w:t>
            </w:r>
          </w:p>
        </w:tc>
        <w:tc>
          <w:tcPr>
            <w:tcW w:w="680" w:type="dxa"/>
            <w:tcBorders/>
            <w:tcMar>
              <w:bottom w:w="0" w:type="dxa"/>
            </w:tcMar>
            <w:vAlign w:val="center"/>
          </w:tcPr>
          <w:p>
            <w:pPr>
              <w:pStyle w:val="TableContents"/>
              <w:bidi w:val="0"/>
              <w:spacing w:before="0" w:after="0"/>
              <w:jc w:val="left"/>
              <w:rPr>
                <w:sz w:val="20"/>
              </w:rPr>
            </w:pPr>
            <w:r>
              <w:rPr>
                <w:sz w:val="20"/>
              </w:rPr>
              <w:t>BBB-</w:t>
            </w:r>
          </w:p>
        </w:tc>
        <w:tc>
          <w:tcPr>
            <w:tcW w:w="740" w:type="dxa"/>
            <w:tcBorders/>
            <w:tcMar>
              <w:bottom w:w="0" w:type="dxa"/>
            </w:tcMar>
            <w:vAlign w:val="center"/>
          </w:tcPr>
          <w:p>
            <w:pPr>
              <w:pStyle w:val="TableContents"/>
              <w:bidi w:val="0"/>
              <w:spacing w:before="0" w:after="0"/>
              <w:jc w:val="left"/>
              <w:rPr>
                <w:sz w:val="20"/>
              </w:rPr>
            </w:pPr>
            <w:r>
              <w:rPr>
                <w:sz w:val="20"/>
              </w:rPr>
              <w:t>Affirmed</w:t>
            </w:r>
          </w:p>
        </w:tc>
        <w:tc>
          <w:tcPr>
            <w:tcW w:w="1115" w:type="dxa"/>
            <w:tcBorders/>
            <w:tcMar>
              <w:bottom w:w="0" w:type="dxa"/>
            </w:tcMar>
            <w:vAlign w:val="center"/>
          </w:tcPr>
          <w:p>
            <w:pPr>
              <w:pStyle w:val="TableContents"/>
              <w:bidi w:val="0"/>
              <w:spacing w:before="0" w:after="283"/>
              <w:jc w:val="left"/>
              <w:rPr/>
            </w:pPr>
            <w:r>
              <w:rPr/>
              <w:t> </w:t>
            </w:r>
          </w:p>
        </w:tc>
        <w:tc>
          <w:tcPr>
            <w:tcW w:w="680" w:type="dxa"/>
            <w:tcBorders/>
            <w:tcMar>
              <w:bottom w:w="0" w:type="dxa"/>
            </w:tcMar>
            <w:vAlign w:val="center"/>
          </w:tcPr>
          <w:p>
            <w:pPr>
              <w:pStyle w:val="TableContents"/>
              <w:bidi w:val="0"/>
              <w:spacing w:before="0" w:after="0"/>
              <w:jc w:val="left"/>
              <w:rPr>
                <w:sz w:val="20"/>
              </w:rPr>
            </w:pPr>
            <w:r>
              <w:rPr>
                <w:sz w:val="20"/>
              </w:rPr>
              <w:t>BBB-</w:t>
            </w:r>
          </w:p>
        </w:tc>
      </w:tr>
      <w:tr>
        <w:trPr/>
        <w:tc>
          <w:tcPr>
            <w:tcW w:w="60" w:type="dxa"/>
            <w:tcBorders>
              <w:bottom w:val="single" w:sz="12" w:space="0" w:color="000000"/>
            </w:tcBorders>
            <w:vAlign w:val="center"/>
          </w:tcPr>
          <w:p>
            <w:pPr>
              <w:pStyle w:val="TableContents"/>
              <w:bidi w:val="0"/>
              <w:spacing w:before="0" w:after="283"/>
              <w:jc w:val="left"/>
              <w:rPr/>
            </w:pPr>
            <w:r>
              <w:rPr/>
              <w:t> </w:t>
            </w:r>
          </w:p>
        </w:tc>
        <w:tc>
          <w:tcPr>
            <w:tcW w:w="1370" w:type="dxa"/>
            <w:tcBorders>
              <w:bottom w:val="single" w:sz="12" w:space="0" w:color="000000"/>
            </w:tcBorders>
            <w:vAlign w:val="center"/>
          </w:tcPr>
          <w:p>
            <w:pPr>
              <w:pStyle w:val="TableContents"/>
              <w:bidi w:val="0"/>
              <w:spacing w:before="0" w:after="283"/>
              <w:jc w:val="left"/>
              <w:rPr/>
            </w:pPr>
            <w:r>
              <w:rPr/>
              <w:t> </w:t>
            </w:r>
          </w:p>
        </w:tc>
        <w:tc>
          <w:tcPr>
            <w:tcW w:w="1025" w:type="dxa"/>
            <w:tcBorders>
              <w:bottom w:val="single" w:sz="12" w:space="0" w:color="000000"/>
            </w:tcBorders>
            <w:vAlign w:val="center"/>
          </w:tcPr>
          <w:p>
            <w:pPr>
              <w:pStyle w:val="TableContents"/>
              <w:bidi w:val="0"/>
              <w:spacing w:before="0" w:after="283"/>
              <w:jc w:val="left"/>
              <w:rPr/>
            </w:pPr>
            <w:r>
              <w:rPr/>
              <w:t> </w:t>
            </w:r>
          </w:p>
        </w:tc>
        <w:tc>
          <w:tcPr>
            <w:tcW w:w="680" w:type="dxa"/>
            <w:tcBorders>
              <w:bottom w:val="single" w:sz="12" w:space="0" w:color="000000"/>
            </w:tcBorders>
            <w:vAlign w:val="center"/>
          </w:tcPr>
          <w:p>
            <w:pPr>
              <w:pStyle w:val="TableContents"/>
              <w:bidi w:val="0"/>
              <w:spacing w:before="0" w:after="283"/>
              <w:jc w:val="left"/>
              <w:rPr/>
            </w:pPr>
            <w:r>
              <w:rPr/>
              <w:t> </w:t>
            </w:r>
          </w:p>
        </w:tc>
        <w:tc>
          <w:tcPr>
            <w:tcW w:w="740" w:type="dxa"/>
            <w:tcBorders>
              <w:bottom w:val="single" w:sz="12" w:space="0" w:color="000000"/>
            </w:tcBorders>
            <w:vAlign w:val="center"/>
          </w:tcPr>
          <w:p>
            <w:pPr>
              <w:pStyle w:val="TableContents"/>
              <w:bidi w:val="0"/>
              <w:spacing w:before="0" w:after="283"/>
              <w:jc w:val="left"/>
              <w:rPr/>
            </w:pPr>
            <w:r>
              <w:rPr/>
              <w:t> </w:t>
            </w:r>
          </w:p>
        </w:tc>
        <w:tc>
          <w:tcPr>
            <w:tcW w:w="1115" w:type="dxa"/>
            <w:tcBorders>
              <w:bottom w:val="single" w:sz="12" w:space="0" w:color="000000"/>
            </w:tcBorders>
            <w:vAlign w:val="center"/>
          </w:tcPr>
          <w:p>
            <w:pPr>
              <w:pStyle w:val="TableContents"/>
              <w:bidi w:val="0"/>
              <w:spacing w:before="0" w:after="283"/>
              <w:jc w:val="left"/>
              <w:rPr/>
            </w:pPr>
            <w:r>
              <w:rPr/>
              <w:t> </w:t>
            </w:r>
          </w:p>
        </w:tc>
        <w:tc>
          <w:tcPr>
            <w:tcW w:w="680" w:type="dxa"/>
            <w:tcBorders>
              <w:bottom w:val="single" w:sz="12" w:space="0" w:color="000000"/>
            </w:tcBorders>
            <w:vAlign w:val="center"/>
          </w:tcPr>
          <w:p>
            <w:pPr>
              <w:pStyle w:val="TableContents"/>
              <w:bidi w:val="0"/>
              <w:spacing w:before="0" w:after="283"/>
              <w:jc w:val="left"/>
              <w:rPr/>
            </w:pPr>
            <w:r>
              <w:rPr/>
              <w:t> </w:t>
            </w:r>
          </w:p>
        </w:tc>
      </w:tr>
      <w:tr>
        <w:trPr/>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left"/>
              <w:rPr/>
            </w:pPr>
            <w:r>
              <w:rPr/>
              <w:t> </w:t>
            </w:r>
          </w:p>
        </w:tc>
        <w:tc>
          <w:tcPr>
            <w:tcW w:w="1025" w:type="dxa"/>
            <w:tcBorders/>
            <w:tcMar>
              <w:bottom w:w="0" w:type="dxa"/>
            </w:tcMar>
            <w:vAlign w:val="center"/>
          </w:tcPr>
          <w:p>
            <w:pPr>
              <w:pStyle w:val="TableContents"/>
              <w:bidi w:val="0"/>
              <w:spacing w:before="0" w:after="283"/>
              <w:jc w:val="left"/>
              <w:rPr/>
            </w:pPr>
            <w:r>
              <w:rPr/>
              <w:t> </w:t>
            </w:r>
          </w:p>
        </w:tc>
        <w:tc>
          <w:tcPr>
            <w:tcW w:w="680" w:type="dxa"/>
            <w:tcBorders/>
            <w:tcMar>
              <w:bottom w:w="0" w:type="dxa"/>
            </w:tcMar>
            <w:vAlign w:val="center"/>
          </w:tcPr>
          <w:p>
            <w:pPr>
              <w:pStyle w:val="TableContents"/>
              <w:bidi w:val="0"/>
              <w:spacing w:before="0" w:after="283"/>
              <w:jc w:val="left"/>
              <w:rPr/>
            </w:pPr>
            <w:r>
              <w:rPr/>
              <w:t> </w:t>
            </w:r>
          </w:p>
        </w:tc>
        <w:tc>
          <w:tcPr>
            <w:tcW w:w="740" w:type="dxa"/>
            <w:tcBorders/>
            <w:tcMar>
              <w:bottom w:w="0" w:type="dxa"/>
            </w:tcMar>
            <w:vAlign w:val="center"/>
          </w:tcPr>
          <w:p>
            <w:pPr>
              <w:pStyle w:val="TableContents"/>
              <w:bidi w:val="0"/>
              <w:spacing w:before="0" w:after="283"/>
              <w:jc w:val="left"/>
              <w:rPr/>
            </w:pPr>
            <w:r>
              <w:rPr/>
              <w:t> </w:t>
            </w:r>
          </w:p>
        </w:tc>
        <w:tc>
          <w:tcPr>
            <w:tcW w:w="1115" w:type="dxa"/>
            <w:tcBorders/>
            <w:tcMar>
              <w:bottom w:w="0" w:type="dxa"/>
            </w:tcMar>
            <w:vAlign w:val="center"/>
          </w:tcPr>
          <w:p>
            <w:pPr>
              <w:pStyle w:val="TableContents"/>
              <w:bidi w:val="0"/>
              <w:spacing w:before="0" w:after="283"/>
              <w:jc w:val="left"/>
              <w:rPr/>
            </w:pPr>
            <w:r>
              <w:rPr/>
              <w:t> </w:t>
            </w:r>
          </w:p>
        </w:tc>
        <w:tc>
          <w:tcPr>
            <w:tcW w:w="680" w:type="dxa"/>
            <w:tcBorders/>
            <w:tcMar>
              <w:bottom w:w="0" w:type="dxa"/>
            </w:tcMar>
            <w:vAlign w:val="center"/>
          </w:tcPr>
          <w:p>
            <w:pPr>
              <w:pStyle w:val="TableContents"/>
              <w:bidi w:val="0"/>
              <w:spacing w:before="0" w:after="283"/>
              <w:jc w:val="left"/>
              <w:rPr/>
            </w:pPr>
            <w:r>
              <w:rPr/>
              <w:t> </w:t>
            </w:r>
          </w:p>
        </w:tc>
      </w:tr>
      <w:tr>
        <w:trPr/>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0"/>
              <w:jc w:val="left"/>
              <w:rPr>
                <w:sz w:val="20"/>
              </w:rPr>
            </w:pPr>
            <w:r>
              <w:rPr>
                <w:sz w:val="20"/>
              </w:rPr>
              <w:t>Fondo</w:t>
            </w:r>
          </w:p>
          <w:p>
            <w:pPr>
              <w:pStyle w:val="TableContents"/>
              <w:bidi w:val="0"/>
              <w:spacing w:before="0" w:after="0"/>
              <w:jc w:val="left"/>
              <w:rPr>
                <w:sz w:val="20"/>
              </w:rPr>
            </w:pPr>
            <w:r>
              <w:rPr>
                <w:sz w:val="20"/>
              </w:rPr>
              <w:t>Mivivienda</w:t>
            </w:r>
          </w:p>
          <w:p>
            <w:pPr>
              <w:pStyle w:val="TableContents"/>
              <w:bidi w:val="0"/>
              <w:spacing w:before="0" w:after="0"/>
              <w:jc w:val="left"/>
              <w:rPr>
                <w:sz w:val="20"/>
              </w:rPr>
            </w:pPr>
            <w:r>
              <w:rPr>
                <w:sz w:val="20"/>
              </w:rPr>
              <w:t>S.A.</w:t>
            </w:r>
          </w:p>
        </w:tc>
        <w:tc>
          <w:tcPr>
            <w:tcW w:w="1025" w:type="dxa"/>
            <w:tcBorders/>
            <w:tcMar>
              <w:bottom w:w="0" w:type="dxa"/>
            </w:tcMar>
            <w:vAlign w:val="center"/>
          </w:tcPr>
          <w:p>
            <w:pPr>
              <w:pStyle w:val="TableContents"/>
              <w:bidi w:val="0"/>
              <w:spacing w:before="0" w:after="0"/>
              <w:jc w:val="left"/>
              <w:rPr>
                <w:sz w:val="20"/>
              </w:rPr>
            </w:pPr>
            <w:r>
              <w:rPr>
                <w:sz w:val="20"/>
              </w:rPr>
              <w:t>LT IDR</w:t>
            </w:r>
          </w:p>
        </w:tc>
        <w:tc>
          <w:tcPr>
            <w:tcW w:w="680" w:type="dxa"/>
            <w:tcBorders/>
            <w:tcMar>
              <w:bottom w:w="0" w:type="dxa"/>
            </w:tcMar>
            <w:vAlign w:val="center"/>
          </w:tcPr>
          <w:p>
            <w:pPr>
              <w:pStyle w:val="TableContents"/>
              <w:bidi w:val="0"/>
              <w:spacing w:before="0" w:after="0"/>
              <w:jc w:val="left"/>
              <w:rPr>
                <w:sz w:val="20"/>
              </w:rPr>
            </w:pPr>
            <w:r>
              <w:rPr>
                <w:sz w:val="20"/>
              </w:rPr>
              <w:t xml:space="preserve">BBB </w:t>
            </w:r>
            <w:r>
              <w:rPr>
                <w:sz w:val="20"/>
              </w:rPr>
              <w:drawing>
                <wp:inline distT="0" distB="0" distL="0" distR="0">
                  <wp:extent cx="95250" cy="9525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95250" cy="95250"/>
                          </a:xfrm>
                          <a:prstGeom prst="rect">
                            <a:avLst/>
                          </a:prstGeom>
                        </pic:spPr>
                      </pic:pic>
                    </a:graphicData>
                  </a:graphic>
                </wp:inline>
              </w:drawing>
            </w:r>
          </w:p>
        </w:tc>
        <w:tc>
          <w:tcPr>
            <w:tcW w:w="740" w:type="dxa"/>
            <w:tcBorders/>
            <w:tcMar>
              <w:bottom w:w="0" w:type="dxa"/>
            </w:tcMar>
            <w:vAlign w:val="center"/>
          </w:tcPr>
          <w:p>
            <w:pPr>
              <w:pStyle w:val="TableContents"/>
              <w:bidi w:val="0"/>
              <w:spacing w:before="0" w:after="0"/>
              <w:jc w:val="left"/>
              <w:rPr>
                <w:sz w:val="20"/>
              </w:rPr>
            </w:pPr>
            <w:r>
              <w:rPr>
                <w:sz w:val="20"/>
              </w:rPr>
              <w:t>Affirmed</w:t>
            </w:r>
          </w:p>
        </w:tc>
        <w:tc>
          <w:tcPr>
            <w:tcW w:w="1115" w:type="dxa"/>
            <w:tcBorders/>
            <w:tcMar>
              <w:bottom w:w="0" w:type="dxa"/>
            </w:tcMar>
            <w:vAlign w:val="center"/>
          </w:tcPr>
          <w:p>
            <w:pPr>
              <w:pStyle w:val="TableContents"/>
              <w:bidi w:val="0"/>
              <w:spacing w:before="0" w:after="283"/>
              <w:jc w:val="left"/>
              <w:rPr/>
            </w:pPr>
            <w:r>
              <w:rPr/>
              <w:t> </w:t>
            </w:r>
          </w:p>
        </w:tc>
        <w:tc>
          <w:tcPr>
            <w:tcW w:w="680" w:type="dxa"/>
            <w:tcBorders/>
            <w:tcMar>
              <w:bottom w:w="0" w:type="dxa"/>
            </w:tcMar>
            <w:vAlign w:val="center"/>
          </w:tcPr>
          <w:p>
            <w:pPr>
              <w:pStyle w:val="TableContents"/>
              <w:bidi w:val="0"/>
              <w:spacing w:before="0" w:after="0"/>
              <w:jc w:val="left"/>
              <w:rPr>
                <w:sz w:val="20"/>
              </w:rPr>
            </w:pPr>
            <w:r>
              <w:rPr>
                <w:sz w:val="20"/>
              </w:rPr>
              <w:t xml:space="preserve">BBB </w:t>
            </w:r>
            <w:r>
              <w:rPr>
                <w:sz w:val="20"/>
              </w:rPr>
              <w:drawing>
                <wp:inline distT="0" distB="0" distL="0" distR="0">
                  <wp:extent cx="95250" cy="9525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95250" cy="95250"/>
                          </a:xfrm>
                          <a:prstGeom prst="rect">
                            <a:avLst/>
                          </a:prstGeom>
                        </pic:spPr>
                      </pic:pic>
                    </a:graphicData>
                  </a:graphic>
                </wp:inline>
              </w:drawing>
            </w:r>
          </w:p>
        </w:tc>
      </w:tr>
      <w:tr>
        <w:trPr/>
        <w:tc>
          <w:tcPr>
            <w:tcW w:w="60" w:type="dxa"/>
            <w:tcBorders>
              <w:bottom w:val="single" w:sz="12" w:space="0" w:color="000000"/>
            </w:tcBorders>
            <w:vAlign w:val="center"/>
          </w:tcPr>
          <w:p>
            <w:pPr>
              <w:pStyle w:val="TableContents"/>
              <w:bidi w:val="0"/>
              <w:spacing w:before="0" w:after="283"/>
              <w:jc w:val="left"/>
              <w:rPr/>
            </w:pPr>
            <w:r>
              <w:rPr/>
              <w:t> </w:t>
            </w:r>
          </w:p>
        </w:tc>
        <w:tc>
          <w:tcPr>
            <w:tcW w:w="1370" w:type="dxa"/>
            <w:tcBorders>
              <w:bottom w:val="single" w:sz="12" w:space="0" w:color="000000"/>
            </w:tcBorders>
            <w:vAlign w:val="center"/>
          </w:tcPr>
          <w:p>
            <w:pPr>
              <w:pStyle w:val="TableContents"/>
              <w:bidi w:val="0"/>
              <w:spacing w:before="0" w:after="283"/>
              <w:jc w:val="left"/>
              <w:rPr/>
            </w:pPr>
            <w:r>
              <w:rPr/>
            </w:r>
          </w:p>
        </w:tc>
        <w:tc>
          <w:tcPr>
            <w:tcW w:w="1025" w:type="dxa"/>
            <w:tcBorders>
              <w:bottom w:val="single" w:sz="12" w:space="0" w:color="000000"/>
            </w:tcBorders>
            <w:vAlign w:val="center"/>
          </w:tcPr>
          <w:p>
            <w:pPr>
              <w:pStyle w:val="TableContents"/>
              <w:bidi w:val="0"/>
              <w:spacing w:before="0" w:after="283"/>
              <w:jc w:val="left"/>
              <w:rPr/>
            </w:pPr>
            <w:r>
              <w:rPr/>
            </w:r>
          </w:p>
        </w:tc>
        <w:tc>
          <w:tcPr>
            <w:tcW w:w="680" w:type="dxa"/>
            <w:tcBorders>
              <w:bottom w:val="single" w:sz="12" w:space="0" w:color="000000"/>
            </w:tcBorders>
            <w:vAlign w:val="center"/>
          </w:tcPr>
          <w:p>
            <w:pPr>
              <w:pStyle w:val="TableContents"/>
              <w:bidi w:val="0"/>
              <w:spacing w:before="0" w:after="283"/>
              <w:jc w:val="left"/>
              <w:rPr/>
            </w:pPr>
            <w:r>
              <w:rPr/>
            </w:r>
          </w:p>
        </w:tc>
        <w:tc>
          <w:tcPr>
            <w:tcW w:w="740" w:type="dxa"/>
            <w:tcBorders>
              <w:bottom w:val="single" w:sz="12" w:space="0" w:color="000000"/>
            </w:tcBorders>
            <w:vAlign w:val="center"/>
          </w:tcPr>
          <w:p>
            <w:pPr>
              <w:pStyle w:val="TableContents"/>
              <w:bidi w:val="0"/>
              <w:spacing w:before="0" w:after="283"/>
              <w:jc w:val="left"/>
              <w:rPr/>
            </w:pPr>
            <w:r>
              <w:rPr/>
            </w:r>
          </w:p>
        </w:tc>
        <w:tc>
          <w:tcPr>
            <w:tcW w:w="1115" w:type="dxa"/>
            <w:tcBorders>
              <w:bottom w:val="single" w:sz="12" w:space="0" w:color="000000"/>
            </w:tcBorders>
            <w:vAlign w:val="center"/>
          </w:tcPr>
          <w:p>
            <w:pPr>
              <w:pStyle w:val="TableContents"/>
              <w:bidi w:val="0"/>
              <w:spacing w:before="0" w:after="283"/>
              <w:jc w:val="left"/>
              <w:rPr/>
            </w:pPr>
            <w:r>
              <w:rPr/>
            </w:r>
          </w:p>
        </w:tc>
        <w:tc>
          <w:tcPr>
            <w:tcW w:w="680" w:type="dxa"/>
            <w:tcBorders>
              <w:bottom w:val="single" w:sz="12" w:space="0" w:color="000000"/>
            </w:tcBorders>
            <w:vAlign w:val="center"/>
          </w:tcPr>
          <w:p>
            <w:pPr>
              <w:pStyle w:val="TableContents"/>
              <w:bidi w:val="0"/>
              <w:spacing w:before="0" w:after="283"/>
              <w:jc w:val="left"/>
              <w:rPr/>
            </w:pPr>
            <w:r>
              <w:rPr/>
            </w:r>
          </w:p>
        </w:tc>
      </w:tr>
      <w:tr>
        <w:trPr/>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left"/>
              <w:rPr/>
            </w:pPr>
            <w:r>
              <w:rPr/>
            </w:r>
          </w:p>
        </w:tc>
        <w:tc>
          <w:tcPr>
            <w:tcW w:w="1025" w:type="dxa"/>
            <w:tcBorders/>
            <w:tcMar>
              <w:bottom w:w="0" w:type="dxa"/>
            </w:tcMar>
            <w:vAlign w:val="center"/>
          </w:tcPr>
          <w:p>
            <w:pPr>
              <w:pStyle w:val="TableContents"/>
              <w:bidi w:val="0"/>
              <w:spacing w:before="0" w:after="283"/>
              <w:jc w:val="left"/>
              <w:rPr/>
            </w:pPr>
            <w:r>
              <w:rPr/>
            </w:r>
          </w:p>
        </w:tc>
        <w:tc>
          <w:tcPr>
            <w:tcW w:w="680" w:type="dxa"/>
            <w:tcBorders/>
            <w:tcMar>
              <w:bottom w:w="0" w:type="dxa"/>
            </w:tcMar>
            <w:vAlign w:val="center"/>
          </w:tcPr>
          <w:p>
            <w:pPr>
              <w:pStyle w:val="TableContents"/>
              <w:bidi w:val="0"/>
              <w:spacing w:before="0" w:after="283"/>
              <w:jc w:val="left"/>
              <w:rPr/>
            </w:pPr>
            <w:r>
              <w:rPr/>
            </w:r>
          </w:p>
        </w:tc>
        <w:tc>
          <w:tcPr>
            <w:tcW w:w="740" w:type="dxa"/>
            <w:tcBorders/>
            <w:tcMar>
              <w:bottom w:w="0" w:type="dxa"/>
            </w:tcMar>
            <w:vAlign w:val="center"/>
          </w:tcPr>
          <w:p>
            <w:pPr>
              <w:pStyle w:val="TableContents"/>
              <w:bidi w:val="0"/>
              <w:spacing w:before="0" w:after="283"/>
              <w:jc w:val="left"/>
              <w:rPr/>
            </w:pPr>
            <w:r>
              <w:rPr/>
            </w:r>
          </w:p>
        </w:tc>
        <w:tc>
          <w:tcPr>
            <w:tcW w:w="1115" w:type="dxa"/>
            <w:tcBorders/>
            <w:tcMar>
              <w:bottom w:w="0" w:type="dxa"/>
            </w:tcMar>
            <w:vAlign w:val="center"/>
          </w:tcPr>
          <w:p>
            <w:pPr>
              <w:pStyle w:val="TableContents"/>
              <w:bidi w:val="0"/>
              <w:spacing w:before="0" w:after="283"/>
              <w:jc w:val="left"/>
              <w:rPr/>
            </w:pPr>
            <w:r>
              <w:rPr/>
            </w:r>
          </w:p>
        </w:tc>
        <w:tc>
          <w:tcPr>
            <w:tcW w:w="680" w:type="dxa"/>
            <w:tcBorders/>
            <w:tcMar>
              <w:bottom w:w="0" w:type="dxa"/>
            </w:tcMar>
            <w:vAlign w:val="center"/>
          </w:tcPr>
          <w:p>
            <w:pPr>
              <w:pStyle w:val="TableContents"/>
              <w:bidi w:val="0"/>
              <w:spacing w:before="0" w:after="283"/>
              <w:jc w:val="left"/>
              <w:rPr/>
            </w:pPr>
            <w:r>
              <w:rPr/>
            </w:r>
          </w:p>
        </w:tc>
      </w:tr>
      <w:tr>
        <w:trPr/>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left"/>
              <w:rPr/>
            </w:pPr>
            <w:r>
              <w:rPr/>
              <w:t> </w:t>
            </w:r>
          </w:p>
        </w:tc>
        <w:tc>
          <w:tcPr>
            <w:tcW w:w="1025" w:type="dxa"/>
            <w:tcBorders/>
            <w:tcMar>
              <w:bottom w:w="0" w:type="dxa"/>
            </w:tcMar>
            <w:vAlign w:val="center"/>
          </w:tcPr>
          <w:p>
            <w:pPr>
              <w:pStyle w:val="TableContents"/>
              <w:bidi w:val="0"/>
              <w:spacing w:before="0" w:after="0"/>
              <w:jc w:val="left"/>
              <w:rPr>
                <w:sz w:val="20"/>
              </w:rPr>
            </w:pPr>
            <w:r>
              <w:rPr>
                <w:sz w:val="20"/>
              </w:rPr>
              <w:t>ST IDR</w:t>
            </w:r>
          </w:p>
        </w:tc>
        <w:tc>
          <w:tcPr>
            <w:tcW w:w="680" w:type="dxa"/>
            <w:tcBorders/>
            <w:tcMar>
              <w:bottom w:w="0" w:type="dxa"/>
            </w:tcMar>
            <w:vAlign w:val="center"/>
          </w:tcPr>
          <w:p>
            <w:pPr>
              <w:pStyle w:val="TableContents"/>
              <w:bidi w:val="0"/>
              <w:spacing w:before="0" w:after="0"/>
              <w:jc w:val="left"/>
              <w:rPr>
                <w:sz w:val="20"/>
              </w:rPr>
            </w:pPr>
            <w:r>
              <w:rPr>
                <w:sz w:val="20"/>
              </w:rPr>
              <w:t>F2</w:t>
            </w:r>
          </w:p>
        </w:tc>
        <w:tc>
          <w:tcPr>
            <w:tcW w:w="740" w:type="dxa"/>
            <w:tcBorders/>
            <w:tcMar>
              <w:bottom w:w="0" w:type="dxa"/>
            </w:tcMar>
            <w:vAlign w:val="center"/>
          </w:tcPr>
          <w:p>
            <w:pPr>
              <w:pStyle w:val="TableContents"/>
              <w:bidi w:val="0"/>
              <w:spacing w:before="0" w:after="0"/>
              <w:jc w:val="left"/>
              <w:rPr>
                <w:sz w:val="20"/>
              </w:rPr>
            </w:pPr>
            <w:r>
              <w:rPr>
                <w:sz w:val="20"/>
              </w:rPr>
              <w:t>Affirmed</w:t>
            </w:r>
          </w:p>
        </w:tc>
        <w:tc>
          <w:tcPr>
            <w:tcW w:w="1115" w:type="dxa"/>
            <w:tcBorders/>
            <w:tcMar>
              <w:bottom w:w="0" w:type="dxa"/>
            </w:tcMar>
            <w:vAlign w:val="center"/>
          </w:tcPr>
          <w:p>
            <w:pPr>
              <w:pStyle w:val="TableContents"/>
              <w:bidi w:val="0"/>
              <w:spacing w:before="0" w:after="283"/>
              <w:jc w:val="left"/>
              <w:rPr/>
            </w:pPr>
            <w:r>
              <w:rPr/>
              <w:t> </w:t>
            </w:r>
          </w:p>
        </w:tc>
        <w:tc>
          <w:tcPr>
            <w:tcW w:w="680" w:type="dxa"/>
            <w:tcBorders/>
            <w:tcMar>
              <w:bottom w:w="0" w:type="dxa"/>
            </w:tcMar>
            <w:vAlign w:val="center"/>
          </w:tcPr>
          <w:p>
            <w:pPr>
              <w:pStyle w:val="TableContents"/>
              <w:bidi w:val="0"/>
              <w:spacing w:before="0" w:after="0"/>
              <w:jc w:val="left"/>
              <w:rPr>
                <w:sz w:val="20"/>
              </w:rPr>
            </w:pPr>
            <w:r>
              <w:rPr>
                <w:sz w:val="20"/>
              </w:rPr>
              <w:t>F2</w:t>
            </w:r>
          </w:p>
        </w:tc>
      </w:tr>
      <w:tr>
        <w:trPr/>
        <w:tc>
          <w:tcPr>
            <w:tcW w:w="60" w:type="dxa"/>
            <w:tcBorders>
              <w:bottom w:val="single" w:sz="12" w:space="0" w:color="000000"/>
            </w:tcBorders>
            <w:vAlign w:val="center"/>
          </w:tcPr>
          <w:p>
            <w:pPr>
              <w:pStyle w:val="TableContents"/>
              <w:bidi w:val="0"/>
              <w:spacing w:before="0" w:after="283"/>
              <w:jc w:val="left"/>
              <w:rPr/>
            </w:pPr>
            <w:r>
              <w:rPr/>
              <w:t> </w:t>
            </w:r>
          </w:p>
        </w:tc>
        <w:tc>
          <w:tcPr>
            <w:tcW w:w="1370" w:type="dxa"/>
            <w:tcBorders>
              <w:bottom w:val="single" w:sz="12" w:space="0" w:color="000000"/>
            </w:tcBorders>
            <w:vAlign w:val="center"/>
          </w:tcPr>
          <w:p>
            <w:pPr>
              <w:pStyle w:val="TableContents"/>
              <w:bidi w:val="0"/>
              <w:spacing w:before="0" w:after="283"/>
              <w:jc w:val="left"/>
              <w:rPr/>
            </w:pPr>
            <w:r>
              <w:rPr/>
              <w:t> </w:t>
            </w:r>
          </w:p>
        </w:tc>
        <w:tc>
          <w:tcPr>
            <w:tcW w:w="1025" w:type="dxa"/>
            <w:tcBorders>
              <w:bottom w:val="single" w:sz="12" w:space="0" w:color="000000"/>
            </w:tcBorders>
            <w:vAlign w:val="center"/>
          </w:tcPr>
          <w:p>
            <w:pPr>
              <w:pStyle w:val="TableContents"/>
              <w:bidi w:val="0"/>
              <w:spacing w:before="0" w:after="283"/>
              <w:jc w:val="left"/>
              <w:rPr/>
            </w:pPr>
            <w:r>
              <w:rPr/>
              <w:t> </w:t>
            </w:r>
          </w:p>
        </w:tc>
        <w:tc>
          <w:tcPr>
            <w:tcW w:w="680" w:type="dxa"/>
            <w:tcBorders>
              <w:bottom w:val="single" w:sz="12" w:space="0" w:color="000000"/>
            </w:tcBorders>
            <w:vAlign w:val="center"/>
          </w:tcPr>
          <w:p>
            <w:pPr>
              <w:pStyle w:val="TableContents"/>
              <w:bidi w:val="0"/>
              <w:spacing w:before="0" w:after="283"/>
              <w:jc w:val="left"/>
              <w:rPr/>
            </w:pPr>
            <w:r>
              <w:rPr/>
              <w:t> </w:t>
            </w:r>
          </w:p>
        </w:tc>
        <w:tc>
          <w:tcPr>
            <w:tcW w:w="740" w:type="dxa"/>
            <w:tcBorders>
              <w:bottom w:val="single" w:sz="12" w:space="0" w:color="000000"/>
            </w:tcBorders>
            <w:vAlign w:val="center"/>
          </w:tcPr>
          <w:p>
            <w:pPr>
              <w:pStyle w:val="TableContents"/>
              <w:bidi w:val="0"/>
              <w:spacing w:before="0" w:after="283"/>
              <w:jc w:val="left"/>
              <w:rPr/>
            </w:pPr>
            <w:r>
              <w:rPr/>
              <w:t> </w:t>
            </w:r>
          </w:p>
        </w:tc>
        <w:tc>
          <w:tcPr>
            <w:tcW w:w="1115" w:type="dxa"/>
            <w:tcBorders>
              <w:bottom w:val="single" w:sz="12" w:space="0" w:color="000000"/>
            </w:tcBorders>
            <w:vAlign w:val="center"/>
          </w:tcPr>
          <w:p>
            <w:pPr>
              <w:pStyle w:val="TableContents"/>
              <w:bidi w:val="0"/>
              <w:spacing w:before="0" w:after="283"/>
              <w:jc w:val="left"/>
              <w:rPr/>
            </w:pPr>
            <w:r>
              <w:rPr/>
              <w:t> </w:t>
            </w:r>
          </w:p>
        </w:tc>
        <w:tc>
          <w:tcPr>
            <w:tcW w:w="680" w:type="dxa"/>
            <w:tcBorders>
              <w:bottom w:val="single" w:sz="12" w:space="0" w:color="000000"/>
            </w:tcBorders>
            <w:vAlign w:val="center"/>
          </w:tcPr>
          <w:p>
            <w:pPr>
              <w:pStyle w:val="TableContents"/>
              <w:bidi w:val="0"/>
              <w:spacing w:before="0" w:after="283"/>
              <w:jc w:val="left"/>
              <w:rPr/>
            </w:pPr>
            <w:r>
              <w:rPr/>
              <w:t> </w:t>
            </w:r>
          </w:p>
        </w:tc>
      </w:tr>
      <w:tr>
        <w:trPr/>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left"/>
              <w:rPr/>
            </w:pPr>
            <w:r>
              <w:rPr/>
              <w:t> </w:t>
            </w:r>
          </w:p>
        </w:tc>
        <w:tc>
          <w:tcPr>
            <w:tcW w:w="1025" w:type="dxa"/>
            <w:tcBorders/>
            <w:tcMar>
              <w:bottom w:w="0" w:type="dxa"/>
            </w:tcMar>
            <w:vAlign w:val="center"/>
          </w:tcPr>
          <w:p>
            <w:pPr>
              <w:pStyle w:val="TableContents"/>
              <w:bidi w:val="0"/>
              <w:spacing w:before="0" w:after="283"/>
              <w:jc w:val="left"/>
              <w:rPr/>
            </w:pPr>
            <w:r>
              <w:rPr/>
              <w:t> </w:t>
            </w:r>
          </w:p>
        </w:tc>
        <w:tc>
          <w:tcPr>
            <w:tcW w:w="680" w:type="dxa"/>
            <w:tcBorders/>
            <w:tcMar>
              <w:bottom w:w="0" w:type="dxa"/>
            </w:tcMar>
            <w:vAlign w:val="center"/>
          </w:tcPr>
          <w:p>
            <w:pPr>
              <w:pStyle w:val="TableContents"/>
              <w:bidi w:val="0"/>
              <w:spacing w:before="0" w:after="283"/>
              <w:jc w:val="left"/>
              <w:rPr/>
            </w:pPr>
            <w:r>
              <w:rPr/>
              <w:t> </w:t>
            </w:r>
          </w:p>
        </w:tc>
        <w:tc>
          <w:tcPr>
            <w:tcW w:w="740" w:type="dxa"/>
            <w:tcBorders/>
            <w:tcMar>
              <w:bottom w:w="0" w:type="dxa"/>
            </w:tcMar>
            <w:vAlign w:val="center"/>
          </w:tcPr>
          <w:p>
            <w:pPr>
              <w:pStyle w:val="TableContents"/>
              <w:bidi w:val="0"/>
              <w:spacing w:before="0" w:after="283"/>
              <w:jc w:val="left"/>
              <w:rPr/>
            </w:pPr>
            <w:r>
              <w:rPr/>
              <w:t> </w:t>
            </w:r>
          </w:p>
        </w:tc>
        <w:tc>
          <w:tcPr>
            <w:tcW w:w="1115" w:type="dxa"/>
            <w:tcBorders/>
            <w:tcMar>
              <w:bottom w:w="0" w:type="dxa"/>
            </w:tcMar>
            <w:vAlign w:val="center"/>
          </w:tcPr>
          <w:p>
            <w:pPr>
              <w:pStyle w:val="TableContents"/>
              <w:bidi w:val="0"/>
              <w:spacing w:before="0" w:after="283"/>
              <w:jc w:val="left"/>
              <w:rPr/>
            </w:pPr>
            <w:r>
              <w:rPr/>
              <w:t> </w:t>
            </w:r>
          </w:p>
        </w:tc>
        <w:tc>
          <w:tcPr>
            <w:tcW w:w="680" w:type="dxa"/>
            <w:tcBorders/>
            <w:tcMar>
              <w:bottom w:w="0" w:type="dxa"/>
            </w:tcMar>
            <w:vAlign w:val="center"/>
          </w:tcPr>
          <w:p>
            <w:pPr>
              <w:pStyle w:val="TableContents"/>
              <w:bidi w:val="0"/>
              <w:spacing w:before="0" w:after="283"/>
              <w:jc w:val="left"/>
              <w:rPr/>
            </w:pPr>
            <w:r>
              <w:rPr/>
              <w:t> </w:t>
            </w:r>
          </w:p>
        </w:tc>
      </w:tr>
      <w:tr>
        <w:trPr/>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left"/>
              <w:rPr/>
            </w:pPr>
            <w:r>
              <w:rPr/>
              <w:t> </w:t>
            </w:r>
          </w:p>
        </w:tc>
        <w:tc>
          <w:tcPr>
            <w:tcW w:w="1025" w:type="dxa"/>
            <w:tcBorders/>
            <w:tcMar>
              <w:bottom w:w="0" w:type="dxa"/>
            </w:tcMar>
            <w:vAlign w:val="center"/>
          </w:tcPr>
          <w:p>
            <w:pPr>
              <w:pStyle w:val="TableContents"/>
              <w:bidi w:val="0"/>
              <w:spacing w:before="0" w:after="0"/>
              <w:jc w:val="left"/>
              <w:rPr>
                <w:sz w:val="20"/>
              </w:rPr>
            </w:pPr>
            <w:r>
              <w:rPr>
                <w:sz w:val="20"/>
              </w:rPr>
              <w:t>LC LT IDR</w:t>
            </w:r>
          </w:p>
        </w:tc>
        <w:tc>
          <w:tcPr>
            <w:tcW w:w="680" w:type="dxa"/>
            <w:tcBorders/>
            <w:tcMar>
              <w:bottom w:w="0" w:type="dxa"/>
            </w:tcMar>
            <w:vAlign w:val="center"/>
          </w:tcPr>
          <w:p>
            <w:pPr>
              <w:pStyle w:val="TableContents"/>
              <w:bidi w:val="0"/>
              <w:spacing w:before="0" w:after="0"/>
              <w:jc w:val="left"/>
              <w:rPr>
                <w:sz w:val="20"/>
              </w:rPr>
            </w:pPr>
            <w:r>
              <w:rPr>
                <w:sz w:val="20"/>
              </w:rPr>
              <w:t xml:space="preserve">BBB </w:t>
            </w:r>
            <w:r>
              <w:rPr>
                <w:sz w:val="20"/>
              </w:rPr>
              <w:drawing>
                <wp:inline distT="0" distB="0" distL="0" distR="0">
                  <wp:extent cx="95250" cy="9525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95250" cy="95250"/>
                          </a:xfrm>
                          <a:prstGeom prst="rect">
                            <a:avLst/>
                          </a:prstGeom>
                        </pic:spPr>
                      </pic:pic>
                    </a:graphicData>
                  </a:graphic>
                </wp:inline>
              </w:drawing>
            </w:r>
          </w:p>
        </w:tc>
        <w:tc>
          <w:tcPr>
            <w:tcW w:w="740" w:type="dxa"/>
            <w:tcBorders/>
            <w:tcMar>
              <w:bottom w:w="0" w:type="dxa"/>
            </w:tcMar>
            <w:vAlign w:val="center"/>
          </w:tcPr>
          <w:p>
            <w:pPr>
              <w:pStyle w:val="TableContents"/>
              <w:bidi w:val="0"/>
              <w:spacing w:before="0" w:after="0"/>
              <w:jc w:val="left"/>
              <w:rPr>
                <w:sz w:val="20"/>
              </w:rPr>
            </w:pPr>
            <w:r>
              <w:rPr>
                <w:sz w:val="20"/>
              </w:rPr>
              <w:t>Affirmed</w:t>
            </w:r>
          </w:p>
        </w:tc>
        <w:tc>
          <w:tcPr>
            <w:tcW w:w="1115" w:type="dxa"/>
            <w:tcBorders/>
            <w:tcMar>
              <w:bottom w:w="0" w:type="dxa"/>
            </w:tcMar>
            <w:vAlign w:val="center"/>
          </w:tcPr>
          <w:p>
            <w:pPr>
              <w:pStyle w:val="TableContents"/>
              <w:bidi w:val="0"/>
              <w:spacing w:before="0" w:after="283"/>
              <w:jc w:val="left"/>
              <w:rPr/>
            </w:pPr>
            <w:r>
              <w:rPr/>
              <w:t> </w:t>
            </w:r>
          </w:p>
        </w:tc>
        <w:tc>
          <w:tcPr>
            <w:tcW w:w="680" w:type="dxa"/>
            <w:tcBorders/>
            <w:tcMar>
              <w:bottom w:w="0" w:type="dxa"/>
            </w:tcMar>
            <w:vAlign w:val="center"/>
          </w:tcPr>
          <w:p>
            <w:pPr>
              <w:pStyle w:val="TableContents"/>
              <w:bidi w:val="0"/>
              <w:spacing w:before="0" w:after="0"/>
              <w:jc w:val="left"/>
              <w:rPr>
                <w:sz w:val="20"/>
              </w:rPr>
            </w:pPr>
            <w:r>
              <w:rPr>
                <w:sz w:val="20"/>
              </w:rPr>
              <w:t xml:space="preserve">BBB </w:t>
            </w:r>
            <w:r>
              <w:rPr>
                <w:sz w:val="20"/>
              </w:rPr>
              <w:drawing>
                <wp:inline distT="0" distB="0" distL="0" distR="0">
                  <wp:extent cx="95250" cy="9525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95250" cy="95250"/>
                          </a:xfrm>
                          <a:prstGeom prst="rect">
                            <a:avLst/>
                          </a:prstGeom>
                        </pic:spPr>
                      </pic:pic>
                    </a:graphicData>
                  </a:graphic>
                </wp:inline>
              </w:drawing>
            </w:r>
          </w:p>
        </w:tc>
      </w:tr>
      <w:tr>
        <w:trPr/>
        <w:tc>
          <w:tcPr>
            <w:tcW w:w="60" w:type="dxa"/>
            <w:tcBorders>
              <w:bottom w:val="single" w:sz="12" w:space="0" w:color="000000"/>
            </w:tcBorders>
            <w:vAlign w:val="center"/>
          </w:tcPr>
          <w:p>
            <w:pPr>
              <w:pStyle w:val="TableContents"/>
              <w:bidi w:val="0"/>
              <w:spacing w:before="0" w:after="283"/>
              <w:jc w:val="left"/>
              <w:rPr/>
            </w:pPr>
            <w:r>
              <w:rPr/>
              <w:t> </w:t>
            </w:r>
          </w:p>
        </w:tc>
        <w:tc>
          <w:tcPr>
            <w:tcW w:w="1370" w:type="dxa"/>
            <w:tcBorders>
              <w:bottom w:val="single" w:sz="12" w:space="0" w:color="000000"/>
            </w:tcBorders>
            <w:vAlign w:val="center"/>
          </w:tcPr>
          <w:p>
            <w:pPr>
              <w:pStyle w:val="TableContents"/>
              <w:bidi w:val="0"/>
              <w:spacing w:before="0" w:after="283"/>
              <w:jc w:val="left"/>
              <w:rPr/>
            </w:pPr>
            <w:r>
              <w:rPr/>
            </w:r>
          </w:p>
        </w:tc>
        <w:tc>
          <w:tcPr>
            <w:tcW w:w="1025" w:type="dxa"/>
            <w:tcBorders>
              <w:bottom w:val="single" w:sz="12" w:space="0" w:color="000000"/>
            </w:tcBorders>
            <w:vAlign w:val="center"/>
          </w:tcPr>
          <w:p>
            <w:pPr>
              <w:pStyle w:val="TableContents"/>
              <w:bidi w:val="0"/>
              <w:spacing w:before="0" w:after="283"/>
              <w:jc w:val="left"/>
              <w:rPr/>
            </w:pPr>
            <w:r>
              <w:rPr/>
            </w:r>
          </w:p>
        </w:tc>
        <w:tc>
          <w:tcPr>
            <w:tcW w:w="680" w:type="dxa"/>
            <w:tcBorders>
              <w:bottom w:val="single" w:sz="12" w:space="0" w:color="000000"/>
            </w:tcBorders>
            <w:vAlign w:val="center"/>
          </w:tcPr>
          <w:p>
            <w:pPr>
              <w:pStyle w:val="TableContents"/>
              <w:bidi w:val="0"/>
              <w:spacing w:before="0" w:after="283"/>
              <w:jc w:val="left"/>
              <w:rPr/>
            </w:pPr>
            <w:r>
              <w:rPr/>
            </w:r>
          </w:p>
        </w:tc>
        <w:tc>
          <w:tcPr>
            <w:tcW w:w="740" w:type="dxa"/>
            <w:tcBorders>
              <w:bottom w:val="single" w:sz="12" w:space="0" w:color="000000"/>
            </w:tcBorders>
            <w:vAlign w:val="center"/>
          </w:tcPr>
          <w:p>
            <w:pPr>
              <w:pStyle w:val="TableContents"/>
              <w:bidi w:val="0"/>
              <w:spacing w:before="0" w:after="283"/>
              <w:jc w:val="left"/>
              <w:rPr/>
            </w:pPr>
            <w:r>
              <w:rPr/>
            </w:r>
          </w:p>
        </w:tc>
        <w:tc>
          <w:tcPr>
            <w:tcW w:w="1115" w:type="dxa"/>
            <w:tcBorders>
              <w:bottom w:val="single" w:sz="12" w:space="0" w:color="000000"/>
            </w:tcBorders>
            <w:vAlign w:val="center"/>
          </w:tcPr>
          <w:p>
            <w:pPr>
              <w:pStyle w:val="TableContents"/>
              <w:bidi w:val="0"/>
              <w:spacing w:before="0" w:after="283"/>
              <w:jc w:val="left"/>
              <w:rPr/>
            </w:pPr>
            <w:r>
              <w:rPr/>
            </w:r>
          </w:p>
        </w:tc>
        <w:tc>
          <w:tcPr>
            <w:tcW w:w="680" w:type="dxa"/>
            <w:tcBorders>
              <w:bottom w:val="single" w:sz="12" w:space="0" w:color="000000"/>
            </w:tcBorders>
            <w:vAlign w:val="center"/>
          </w:tcPr>
          <w:p>
            <w:pPr>
              <w:pStyle w:val="TableContents"/>
              <w:bidi w:val="0"/>
              <w:spacing w:before="0" w:after="283"/>
              <w:jc w:val="left"/>
              <w:rPr/>
            </w:pPr>
            <w:r>
              <w:rPr/>
            </w:r>
          </w:p>
        </w:tc>
      </w:tr>
      <w:tr>
        <w:trPr/>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left"/>
              <w:rPr/>
            </w:pPr>
            <w:r>
              <w:rPr/>
            </w:r>
          </w:p>
        </w:tc>
        <w:tc>
          <w:tcPr>
            <w:tcW w:w="1025" w:type="dxa"/>
            <w:tcBorders/>
            <w:tcMar>
              <w:bottom w:w="0" w:type="dxa"/>
            </w:tcMar>
            <w:vAlign w:val="center"/>
          </w:tcPr>
          <w:p>
            <w:pPr>
              <w:pStyle w:val="TableContents"/>
              <w:bidi w:val="0"/>
              <w:spacing w:before="0" w:after="283"/>
              <w:jc w:val="left"/>
              <w:rPr/>
            </w:pPr>
            <w:r>
              <w:rPr/>
            </w:r>
          </w:p>
        </w:tc>
        <w:tc>
          <w:tcPr>
            <w:tcW w:w="680" w:type="dxa"/>
            <w:tcBorders/>
            <w:tcMar>
              <w:bottom w:w="0" w:type="dxa"/>
            </w:tcMar>
            <w:vAlign w:val="center"/>
          </w:tcPr>
          <w:p>
            <w:pPr>
              <w:pStyle w:val="TableContents"/>
              <w:bidi w:val="0"/>
              <w:spacing w:before="0" w:after="283"/>
              <w:jc w:val="left"/>
              <w:rPr/>
            </w:pPr>
            <w:r>
              <w:rPr/>
            </w:r>
          </w:p>
        </w:tc>
        <w:tc>
          <w:tcPr>
            <w:tcW w:w="740" w:type="dxa"/>
            <w:tcBorders/>
            <w:tcMar>
              <w:bottom w:w="0" w:type="dxa"/>
            </w:tcMar>
            <w:vAlign w:val="center"/>
          </w:tcPr>
          <w:p>
            <w:pPr>
              <w:pStyle w:val="TableContents"/>
              <w:bidi w:val="0"/>
              <w:spacing w:before="0" w:after="283"/>
              <w:jc w:val="left"/>
              <w:rPr/>
            </w:pPr>
            <w:r>
              <w:rPr/>
            </w:r>
          </w:p>
        </w:tc>
        <w:tc>
          <w:tcPr>
            <w:tcW w:w="1115" w:type="dxa"/>
            <w:tcBorders/>
            <w:tcMar>
              <w:bottom w:w="0" w:type="dxa"/>
            </w:tcMar>
            <w:vAlign w:val="center"/>
          </w:tcPr>
          <w:p>
            <w:pPr>
              <w:pStyle w:val="TableContents"/>
              <w:bidi w:val="0"/>
              <w:spacing w:before="0" w:after="283"/>
              <w:jc w:val="left"/>
              <w:rPr/>
            </w:pPr>
            <w:r>
              <w:rPr/>
            </w:r>
          </w:p>
        </w:tc>
        <w:tc>
          <w:tcPr>
            <w:tcW w:w="680" w:type="dxa"/>
            <w:tcBorders/>
            <w:tcMar>
              <w:bottom w:w="0" w:type="dxa"/>
            </w:tcMar>
            <w:vAlign w:val="center"/>
          </w:tcPr>
          <w:p>
            <w:pPr>
              <w:pStyle w:val="TableContents"/>
              <w:bidi w:val="0"/>
              <w:spacing w:before="0" w:after="283"/>
              <w:jc w:val="left"/>
              <w:rPr/>
            </w:pPr>
            <w:r>
              <w:rPr/>
            </w:r>
          </w:p>
        </w:tc>
      </w:tr>
      <w:tr>
        <w:trPr/>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left"/>
              <w:rPr/>
            </w:pPr>
            <w:r>
              <w:rPr/>
              <w:t> </w:t>
            </w:r>
          </w:p>
        </w:tc>
        <w:tc>
          <w:tcPr>
            <w:tcW w:w="1025" w:type="dxa"/>
            <w:tcBorders/>
            <w:tcMar>
              <w:bottom w:w="0" w:type="dxa"/>
            </w:tcMar>
            <w:vAlign w:val="center"/>
          </w:tcPr>
          <w:p>
            <w:pPr>
              <w:pStyle w:val="TableContents"/>
              <w:bidi w:val="0"/>
              <w:spacing w:before="0" w:after="0"/>
              <w:jc w:val="left"/>
              <w:rPr>
                <w:sz w:val="20"/>
              </w:rPr>
            </w:pPr>
            <w:r>
              <w:rPr>
                <w:sz w:val="20"/>
              </w:rPr>
              <w:t>LC ST IDR</w:t>
            </w:r>
          </w:p>
        </w:tc>
        <w:tc>
          <w:tcPr>
            <w:tcW w:w="680" w:type="dxa"/>
            <w:tcBorders/>
            <w:tcMar>
              <w:bottom w:w="0" w:type="dxa"/>
            </w:tcMar>
            <w:vAlign w:val="center"/>
          </w:tcPr>
          <w:p>
            <w:pPr>
              <w:pStyle w:val="TableContents"/>
              <w:bidi w:val="0"/>
              <w:spacing w:before="0" w:after="0"/>
              <w:jc w:val="left"/>
              <w:rPr>
                <w:sz w:val="20"/>
              </w:rPr>
            </w:pPr>
            <w:r>
              <w:rPr>
                <w:sz w:val="20"/>
              </w:rPr>
              <w:t>F2</w:t>
            </w:r>
          </w:p>
        </w:tc>
        <w:tc>
          <w:tcPr>
            <w:tcW w:w="740" w:type="dxa"/>
            <w:tcBorders/>
            <w:tcMar>
              <w:bottom w:w="0" w:type="dxa"/>
            </w:tcMar>
            <w:vAlign w:val="center"/>
          </w:tcPr>
          <w:p>
            <w:pPr>
              <w:pStyle w:val="TableContents"/>
              <w:bidi w:val="0"/>
              <w:spacing w:before="0" w:after="0"/>
              <w:jc w:val="left"/>
              <w:rPr>
                <w:sz w:val="20"/>
              </w:rPr>
            </w:pPr>
            <w:r>
              <w:rPr>
                <w:sz w:val="20"/>
              </w:rPr>
              <w:t>Affirmed</w:t>
            </w:r>
          </w:p>
        </w:tc>
        <w:tc>
          <w:tcPr>
            <w:tcW w:w="1115" w:type="dxa"/>
            <w:tcBorders/>
            <w:tcMar>
              <w:bottom w:w="0" w:type="dxa"/>
            </w:tcMar>
            <w:vAlign w:val="center"/>
          </w:tcPr>
          <w:p>
            <w:pPr>
              <w:pStyle w:val="TableContents"/>
              <w:bidi w:val="0"/>
              <w:spacing w:before="0" w:after="283"/>
              <w:jc w:val="left"/>
              <w:rPr/>
            </w:pPr>
            <w:r>
              <w:rPr/>
              <w:t> </w:t>
            </w:r>
          </w:p>
        </w:tc>
        <w:tc>
          <w:tcPr>
            <w:tcW w:w="680" w:type="dxa"/>
            <w:tcBorders/>
            <w:tcMar>
              <w:bottom w:w="0" w:type="dxa"/>
            </w:tcMar>
            <w:vAlign w:val="center"/>
          </w:tcPr>
          <w:p>
            <w:pPr>
              <w:pStyle w:val="TableContents"/>
              <w:bidi w:val="0"/>
              <w:spacing w:before="0" w:after="0"/>
              <w:jc w:val="left"/>
              <w:rPr>
                <w:sz w:val="20"/>
              </w:rPr>
            </w:pPr>
            <w:r>
              <w:rPr>
                <w:sz w:val="20"/>
              </w:rPr>
              <w:t>F2</w:t>
            </w:r>
          </w:p>
        </w:tc>
      </w:tr>
      <w:tr>
        <w:trPr/>
        <w:tc>
          <w:tcPr>
            <w:tcW w:w="60" w:type="dxa"/>
            <w:tcBorders>
              <w:bottom w:val="single" w:sz="12" w:space="0" w:color="000000"/>
            </w:tcBorders>
            <w:vAlign w:val="center"/>
          </w:tcPr>
          <w:p>
            <w:pPr>
              <w:pStyle w:val="TableContents"/>
              <w:bidi w:val="0"/>
              <w:spacing w:before="0" w:after="283"/>
              <w:jc w:val="left"/>
              <w:rPr/>
            </w:pPr>
            <w:r>
              <w:rPr/>
              <w:t> </w:t>
            </w:r>
          </w:p>
        </w:tc>
        <w:tc>
          <w:tcPr>
            <w:tcW w:w="1370" w:type="dxa"/>
            <w:tcBorders>
              <w:bottom w:val="single" w:sz="12" w:space="0" w:color="000000"/>
            </w:tcBorders>
            <w:vAlign w:val="center"/>
          </w:tcPr>
          <w:p>
            <w:pPr>
              <w:pStyle w:val="TableContents"/>
              <w:bidi w:val="0"/>
              <w:spacing w:before="0" w:after="283"/>
              <w:jc w:val="left"/>
              <w:rPr/>
            </w:pPr>
            <w:r>
              <w:rPr/>
            </w:r>
          </w:p>
        </w:tc>
        <w:tc>
          <w:tcPr>
            <w:tcW w:w="1025" w:type="dxa"/>
            <w:tcBorders>
              <w:bottom w:val="single" w:sz="12" w:space="0" w:color="000000"/>
            </w:tcBorders>
            <w:vAlign w:val="center"/>
          </w:tcPr>
          <w:p>
            <w:pPr>
              <w:pStyle w:val="TableContents"/>
              <w:bidi w:val="0"/>
              <w:spacing w:before="0" w:after="283"/>
              <w:jc w:val="left"/>
              <w:rPr/>
            </w:pPr>
            <w:r>
              <w:rPr/>
            </w:r>
          </w:p>
        </w:tc>
        <w:tc>
          <w:tcPr>
            <w:tcW w:w="680" w:type="dxa"/>
            <w:tcBorders>
              <w:bottom w:val="single" w:sz="12" w:space="0" w:color="000000"/>
            </w:tcBorders>
            <w:vAlign w:val="center"/>
          </w:tcPr>
          <w:p>
            <w:pPr>
              <w:pStyle w:val="TableContents"/>
              <w:bidi w:val="0"/>
              <w:spacing w:before="0" w:after="283"/>
              <w:jc w:val="left"/>
              <w:rPr/>
            </w:pPr>
            <w:r>
              <w:rPr/>
            </w:r>
          </w:p>
        </w:tc>
        <w:tc>
          <w:tcPr>
            <w:tcW w:w="740" w:type="dxa"/>
            <w:tcBorders>
              <w:bottom w:val="single" w:sz="12" w:space="0" w:color="000000"/>
            </w:tcBorders>
            <w:vAlign w:val="center"/>
          </w:tcPr>
          <w:p>
            <w:pPr>
              <w:pStyle w:val="TableContents"/>
              <w:bidi w:val="0"/>
              <w:spacing w:before="0" w:after="283"/>
              <w:jc w:val="left"/>
              <w:rPr/>
            </w:pPr>
            <w:r>
              <w:rPr/>
            </w:r>
          </w:p>
        </w:tc>
        <w:tc>
          <w:tcPr>
            <w:tcW w:w="1115" w:type="dxa"/>
            <w:tcBorders>
              <w:bottom w:val="single" w:sz="12" w:space="0" w:color="000000"/>
            </w:tcBorders>
            <w:vAlign w:val="center"/>
          </w:tcPr>
          <w:p>
            <w:pPr>
              <w:pStyle w:val="TableContents"/>
              <w:bidi w:val="0"/>
              <w:spacing w:before="0" w:after="283"/>
              <w:jc w:val="left"/>
              <w:rPr/>
            </w:pPr>
            <w:r>
              <w:rPr/>
            </w:r>
          </w:p>
        </w:tc>
        <w:tc>
          <w:tcPr>
            <w:tcW w:w="680" w:type="dxa"/>
            <w:tcBorders>
              <w:bottom w:val="single" w:sz="12" w:space="0" w:color="000000"/>
            </w:tcBorders>
            <w:vAlign w:val="center"/>
          </w:tcPr>
          <w:p>
            <w:pPr>
              <w:pStyle w:val="TableContents"/>
              <w:bidi w:val="0"/>
              <w:spacing w:before="0" w:after="283"/>
              <w:jc w:val="left"/>
              <w:rPr/>
            </w:pPr>
            <w:r>
              <w:rPr/>
            </w:r>
          </w:p>
        </w:tc>
      </w:tr>
      <w:tr>
        <w:trPr/>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left"/>
              <w:rPr/>
            </w:pPr>
            <w:r>
              <w:rPr/>
            </w:r>
          </w:p>
        </w:tc>
        <w:tc>
          <w:tcPr>
            <w:tcW w:w="1025" w:type="dxa"/>
            <w:tcBorders/>
            <w:tcMar>
              <w:bottom w:w="0" w:type="dxa"/>
            </w:tcMar>
            <w:vAlign w:val="center"/>
          </w:tcPr>
          <w:p>
            <w:pPr>
              <w:pStyle w:val="TableContents"/>
              <w:bidi w:val="0"/>
              <w:spacing w:before="0" w:after="283"/>
              <w:jc w:val="left"/>
              <w:rPr/>
            </w:pPr>
            <w:r>
              <w:rPr/>
            </w:r>
          </w:p>
        </w:tc>
        <w:tc>
          <w:tcPr>
            <w:tcW w:w="680" w:type="dxa"/>
            <w:tcBorders/>
            <w:tcMar>
              <w:bottom w:w="0" w:type="dxa"/>
            </w:tcMar>
            <w:vAlign w:val="center"/>
          </w:tcPr>
          <w:p>
            <w:pPr>
              <w:pStyle w:val="TableContents"/>
              <w:bidi w:val="0"/>
              <w:spacing w:before="0" w:after="283"/>
              <w:jc w:val="left"/>
              <w:rPr/>
            </w:pPr>
            <w:r>
              <w:rPr/>
            </w:r>
          </w:p>
        </w:tc>
        <w:tc>
          <w:tcPr>
            <w:tcW w:w="740" w:type="dxa"/>
            <w:tcBorders/>
            <w:tcMar>
              <w:bottom w:w="0" w:type="dxa"/>
            </w:tcMar>
            <w:vAlign w:val="center"/>
          </w:tcPr>
          <w:p>
            <w:pPr>
              <w:pStyle w:val="TableContents"/>
              <w:bidi w:val="0"/>
              <w:spacing w:before="0" w:after="283"/>
              <w:jc w:val="left"/>
              <w:rPr/>
            </w:pPr>
            <w:r>
              <w:rPr/>
            </w:r>
          </w:p>
        </w:tc>
        <w:tc>
          <w:tcPr>
            <w:tcW w:w="1115" w:type="dxa"/>
            <w:tcBorders/>
            <w:tcMar>
              <w:bottom w:w="0" w:type="dxa"/>
            </w:tcMar>
            <w:vAlign w:val="center"/>
          </w:tcPr>
          <w:p>
            <w:pPr>
              <w:pStyle w:val="TableContents"/>
              <w:bidi w:val="0"/>
              <w:spacing w:before="0" w:after="283"/>
              <w:jc w:val="left"/>
              <w:rPr/>
            </w:pPr>
            <w:r>
              <w:rPr/>
            </w:r>
          </w:p>
        </w:tc>
        <w:tc>
          <w:tcPr>
            <w:tcW w:w="680" w:type="dxa"/>
            <w:tcBorders/>
            <w:tcMar>
              <w:bottom w:w="0" w:type="dxa"/>
            </w:tcMar>
            <w:vAlign w:val="center"/>
          </w:tcPr>
          <w:p>
            <w:pPr>
              <w:pStyle w:val="TableContents"/>
              <w:bidi w:val="0"/>
              <w:spacing w:before="0" w:after="283"/>
              <w:jc w:val="left"/>
              <w:rPr/>
            </w:pPr>
            <w:r>
              <w:rPr/>
            </w:r>
          </w:p>
        </w:tc>
      </w:tr>
      <w:tr>
        <w:trPr/>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left"/>
              <w:rPr/>
            </w:pPr>
            <w:r>
              <w:rPr/>
              <w:t> </w:t>
            </w:r>
          </w:p>
        </w:tc>
        <w:tc>
          <w:tcPr>
            <w:tcW w:w="1025" w:type="dxa"/>
            <w:tcBorders/>
            <w:tcMar>
              <w:bottom w:w="0" w:type="dxa"/>
            </w:tcMar>
            <w:vAlign w:val="center"/>
          </w:tcPr>
          <w:p>
            <w:pPr>
              <w:pStyle w:val="TableContents"/>
              <w:bidi w:val="0"/>
              <w:spacing w:before="0" w:after="0"/>
              <w:jc w:val="left"/>
              <w:rPr>
                <w:sz w:val="20"/>
              </w:rPr>
            </w:pPr>
            <w:r>
              <w:rPr>
                <w:sz w:val="20"/>
              </w:rPr>
              <w:t>Government</w:t>
            </w:r>
          </w:p>
          <w:p>
            <w:pPr>
              <w:pStyle w:val="TableContents"/>
              <w:bidi w:val="0"/>
              <w:spacing w:before="0" w:after="0"/>
              <w:jc w:val="left"/>
              <w:rPr>
                <w:sz w:val="20"/>
              </w:rPr>
            </w:pPr>
            <w:r>
              <w:rPr>
                <w:sz w:val="20"/>
              </w:rPr>
              <w:t>Support</w:t>
            </w:r>
          </w:p>
        </w:tc>
        <w:tc>
          <w:tcPr>
            <w:tcW w:w="680" w:type="dxa"/>
            <w:tcBorders/>
            <w:tcMar>
              <w:bottom w:w="0" w:type="dxa"/>
            </w:tcMar>
            <w:vAlign w:val="center"/>
          </w:tcPr>
          <w:p>
            <w:pPr>
              <w:pStyle w:val="TableContents"/>
              <w:bidi w:val="0"/>
              <w:spacing w:before="0" w:after="0"/>
              <w:jc w:val="left"/>
              <w:rPr>
                <w:sz w:val="20"/>
              </w:rPr>
            </w:pPr>
            <w:r>
              <w:rPr>
                <w:sz w:val="20"/>
              </w:rPr>
              <w:t>bbb</w:t>
            </w:r>
          </w:p>
        </w:tc>
        <w:tc>
          <w:tcPr>
            <w:tcW w:w="740" w:type="dxa"/>
            <w:tcBorders/>
            <w:tcMar>
              <w:bottom w:w="0" w:type="dxa"/>
            </w:tcMar>
            <w:vAlign w:val="center"/>
          </w:tcPr>
          <w:p>
            <w:pPr>
              <w:pStyle w:val="TableContents"/>
              <w:bidi w:val="0"/>
              <w:spacing w:before="0" w:after="0"/>
              <w:jc w:val="left"/>
              <w:rPr>
                <w:sz w:val="20"/>
              </w:rPr>
            </w:pPr>
            <w:r>
              <w:rPr>
                <w:sz w:val="20"/>
              </w:rPr>
              <w:t>Affirmed</w:t>
            </w:r>
          </w:p>
        </w:tc>
        <w:tc>
          <w:tcPr>
            <w:tcW w:w="1115" w:type="dxa"/>
            <w:tcBorders/>
            <w:tcMar>
              <w:bottom w:w="0" w:type="dxa"/>
            </w:tcMar>
            <w:vAlign w:val="center"/>
          </w:tcPr>
          <w:p>
            <w:pPr>
              <w:pStyle w:val="TableContents"/>
              <w:bidi w:val="0"/>
              <w:spacing w:before="0" w:after="283"/>
              <w:jc w:val="left"/>
              <w:rPr/>
            </w:pPr>
            <w:r>
              <w:rPr/>
              <w:t> </w:t>
            </w:r>
          </w:p>
        </w:tc>
        <w:tc>
          <w:tcPr>
            <w:tcW w:w="680" w:type="dxa"/>
            <w:tcBorders/>
            <w:tcMar>
              <w:bottom w:w="0" w:type="dxa"/>
            </w:tcMar>
            <w:vAlign w:val="center"/>
          </w:tcPr>
          <w:p>
            <w:pPr>
              <w:pStyle w:val="TableContents"/>
              <w:bidi w:val="0"/>
              <w:spacing w:before="0" w:after="0"/>
              <w:jc w:val="left"/>
              <w:rPr>
                <w:sz w:val="20"/>
              </w:rPr>
            </w:pPr>
            <w:r>
              <w:rPr>
                <w:sz w:val="20"/>
              </w:rPr>
              <w:t>bbb</w:t>
            </w:r>
          </w:p>
        </w:tc>
      </w:tr>
      <w:tr>
        <w:trPr/>
        <w:tc>
          <w:tcPr>
            <w:tcW w:w="60" w:type="dxa"/>
            <w:tcBorders>
              <w:bottom w:val="single" w:sz="12" w:space="0" w:color="000000"/>
            </w:tcBorders>
            <w:vAlign w:val="center"/>
          </w:tcPr>
          <w:p>
            <w:pPr>
              <w:pStyle w:val="TableContents"/>
              <w:bidi w:val="0"/>
              <w:spacing w:before="0" w:after="283"/>
              <w:jc w:val="left"/>
              <w:rPr/>
            </w:pPr>
            <w:r>
              <w:rPr/>
              <w:t> </w:t>
            </w:r>
          </w:p>
        </w:tc>
        <w:tc>
          <w:tcPr>
            <w:tcW w:w="1370" w:type="dxa"/>
            <w:tcBorders>
              <w:bottom w:val="single" w:sz="12" w:space="0" w:color="000000"/>
            </w:tcBorders>
            <w:vAlign w:val="center"/>
          </w:tcPr>
          <w:p>
            <w:pPr>
              <w:pStyle w:val="TableContents"/>
              <w:bidi w:val="0"/>
              <w:spacing w:before="0" w:after="283"/>
              <w:jc w:val="left"/>
              <w:rPr/>
            </w:pPr>
            <w:r>
              <w:rPr/>
            </w:r>
          </w:p>
        </w:tc>
        <w:tc>
          <w:tcPr>
            <w:tcW w:w="1025" w:type="dxa"/>
            <w:tcBorders>
              <w:bottom w:val="single" w:sz="12" w:space="0" w:color="000000"/>
            </w:tcBorders>
            <w:vAlign w:val="center"/>
          </w:tcPr>
          <w:p>
            <w:pPr>
              <w:pStyle w:val="TableContents"/>
              <w:bidi w:val="0"/>
              <w:spacing w:before="0" w:after="283"/>
              <w:jc w:val="left"/>
              <w:rPr/>
            </w:pPr>
            <w:r>
              <w:rPr/>
            </w:r>
          </w:p>
        </w:tc>
        <w:tc>
          <w:tcPr>
            <w:tcW w:w="680" w:type="dxa"/>
            <w:tcBorders>
              <w:bottom w:val="single" w:sz="12" w:space="0" w:color="000000"/>
            </w:tcBorders>
            <w:vAlign w:val="center"/>
          </w:tcPr>
          <w:p>
            <w:pPr>
              <w:pStyle w:val="TableContents"/>
              <w:bidi w:val="0"/>
              <w:spacing w:before="0" w:after="283"/>
              <w:jc w:val="left"/>
              <w:rPr/>
            </w:pPr>
            <w:r>
              <w:rPr/>
            </w:r>
          </w:p>
        </w:tc>
        <w:tc>
          <w:tcPr>
            <w:tcW w:w="740" w:type="dxa"/>
            <w:tcBorders>
              <w:bottom w:val="single" w:sz="12" w:space="0" w:color="000000"/>
            </w:tcBorders>
            <w:vAlign w:val="center"/>
          </w:tcPr>
          <w:p>
            <w:pPr>
              <w:pStyle w:val="TableContents"/>
              <w:bidi w:val="0"/>
              <w:spacing w:before="0" w:after="283"/>
              <w:jc w:val="left"/>
              <w:rPr/>
            </w:pPr>
            <w:r>
              <w:rPr/>
            </w:r>
          </w:p>
        </w:tc>
        <w:tc>
          <w:tcPr>
            <w:tcW w:w="1115" w:type="dxa"/>
            <w:tcBorders>
              <w:bottom w:val="single" w:sz="12" w:space="0" w:color="000000"/>
            </w:tcBorders>
            <w:vAlign w:val="center"/>
          </w:tcPr>
          <w:p>
            <w:pPr>
              <w:pStyle w:val="TableContents"/>
              <w:bidi w:val="0"/>
              <w:spacing w:before="0" w:after="283"/>
              <w:jc w:val="left"/>
              <w:rPr/>
            </w:pPr>
            <w:r>
              <w:rPr/>
            </w:r>
          </w:p>
        </w:tc>
        <w:tc>
          <w:tcPr>
            <w:tcW w:w="680" w:type="dxa"/>
            <w:tcBorders>
              <w:bottom w:val="single" w:sz="12" w:space="0" w:color="000000"/>
            </w:tcBorders>
            <w:vAlign w:val="center"/>
          </w:tcPr>
          <w:p>
            <w:pPr>
              <w:pStyle w:val="TableContents"/>
              <w:bidi w:val="0"/>
              <w:spacing w:before="0" w:after="283"/>
              <w:jc w:val="left"/>
              <w:rPr/>
            </w:pPr>
            <w:r>
              <w:rPr/>
            </w:r>
          </w:p>
        </w:tc>
      </w:tr>
      <w:tr>
        <w:trPr/>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left"/>
              <w:rPr/>
            </w:pPr>
            <w:r>
              <w:rPr/>
            </w:r>
          </w:p>
        </w:tc>
        <w:tc>
          <w:tcPr>
            <w:tcW w:w="1025" w:type="dxa"/>
            <w:tcBorders/>
            <w:tcMar>
              <w:bottom w:w="0" w:type="dxa"/>
            </w:tcMar>
            <w:vAlign w:val="center"/>
          </w:tcPr>
          <w:p>
            <w:pPr>
              <w:pStyle w:val="TableContents"/>
              <w:bidi w:val="0"/>
              <w:spacing w:before="0" w:after="283"/>
              <w:jc w:val="left"/>
              <w:rPr/>
            </w:pPr>
            <w:r>
              <w:rPr/>
            </w:r>
          </w:p>
        </w:tc>
        <w:tc>
          <w:tcPr>
            <w:tcW w:w="680" w:type="dxa"/>
            <w:tcBorders/>
            <w:tcMar>
              <w:bottom w:w="0" w:type="dxa"/>
            </w:tcMar>
            <w:vAlign w:val="center"/>
          </w:tcPr>
          <w:p>
            <w:pPr>
              <w:pStyle w:val="TableContents"/>
              <w:bidi w:val="0"/>
              <w:spacing w:before="0" w:after="283"/>
              <w:jc w:val="left"/>
              <w:rPr/>
            </w:pPr>
            <w:r>
              <w:rPr/>
            </w:r>
          </w:p>
        </w:tc>
        <w:tc>
          <w:tcPr>
            <w:tcW w:w="740" w:type="dxa"/>
            <w:tcBorders/>
            <w:tcMar>
              <w:bottom w:w="0" w:type="dxa"/>
            </w:tcMar>
            <w:vAlign w:val="center"/>
          </w:tcPr>
          <w:p>
            <w:pPr>
              <w:pStyle w:val="TableContents"/>
              <w:bidi w:val="0"/>
              <w:spacing w:before="0" w:after="283"/>
              <w:jc w:val="left"/>
              <w:rPr/>
            </w:pPr>
            <w:r>
              <w:rPr/>
            </w:r>
          </w:p>
        </w:tc>
        <w:tc>
          <w:tcPr>
            <w:tcW w:w="1115" w:type="dxa"/>
            <w:tcBorders/>
            <w:tcMar>
              <w:bottom w:w="0" w:type="dxa"/>
            </w:tcMar>
            <w:vAlign w:val="center"/>
          </w:tcPr>
          <w:p>
            <w:pPr>
              <w:pStyle w:val="TableContents"/>
              <w:bidi w:val="0"/>
              <w:spacing w:before="0" w:after="283"/>
              <w:jc w:val="left"/>
              <w:rPr/>
            </w:pPr>
            <w:r>
              <w:rPr/>
            </w:r>
          </w:p>
        </w:tc>
        <w:tc>
          <w:tcPr>
            <w:tcW w:w="680" w:type="dxa"/>
            <w:tcBorders/>
            <w:tcMar>
              <w:bottom w:w="0" w:type="dxa"/>
            </w:tcMar>
            <w:vAlign w:val="center"/>
          </w:tcPr>
          <w:p>
            <w:pPr>
              <w:pStyle w:val="TableContents"/>
              <w:bidi w:val="0"/>
              <w:spacing w:before="0" w:after="283"/>
              <w:jc w:val="left"/>
              <w:rPr/>
            </w:pPr>
            <w:r>
              <w:rPr/>
            </w:r>
          </w:p>
        </w:tc>
      </w:tr>
      <w:tr>
        <w:trPr/>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0"/>
              <w:ind w:left="180" w:right="0" w:hanging="0"/>
              <w:jc w:val="left"/>
              <w:rPr/>
            </w:pPr>
            <w:r>
              <w:rPr/>
              <w:t xml:space="preserve">•  </w:t>
            </w:r>
            <w:r>
              <w:rPr>
                <w:sz w:val="20"/>
              </w:rPr>
              <w:t>senior</w:t>
            </w:r>
          </w:p>
          <w:p>
            <w:pPr>
              <w:pStyle w:val="TableContents"/>
              <w:bidi w:val="0"/>
              <w:spacing w:before="0" w:after="0"/>
              <w:ind w:left="360" w:right="0" w:hanging="0"/>
              <w:jc w:val="left"/>
              <w:rPr>
                <w:sz w:val="20"/>
              </w:rPr>
            </w:pPr>
            <w:r>
              <w:rPr>
                <w:sz w:val="20"/>
              </w:rPr>
              <w:t>unsecured</w:t>
            </w:r>
          </w:p>
        </w:tc>
        <w:tc>
          <w:tcPr>
            <w:tcW w:w="1025" w:type="dxa"/>
            <w:tcBorders/>
            <w:tcMar>
              <w:bottom w:w="0" w:type="dxa"/>
            </w:tcMar>
            <w:vAlign w:val="center"/>
          </w:tcPr>
          <w:p>
            <w:pPr>
              <w:pStyle w:val="TableContents"/>
              <w:bidi w:val="0"/>
              <w:spacing w:before="0" w:after="0"/>
              <w:jc w:val="left"/>
              <w:rPr>
                <w:sz w:val="20"/>
              </w:rPr>
            </w:pPr>
            <w:r>
              <w:rPr>
                <w:sz w:val="20"/>
              </w:rPr>
              <w:t>LT</w:t>
            </w:r>
          </w:p>
        </w:tc>
        <w:tc>
          <w:tcPr>
            <w:tcW w:w="680" w:type="dxa"/>
            <w:tcBorders/>
            <w:tcMar>
              <w:bottom w:w="0" w:type="dxa"/>
            </w:tcMar>
            <w:vAlign w:val="center"/>
          </w:tcPr>
          <w:p>
            <w:pPr>
              <w:pStyle w:val="TableContents"/>
              <w:bidi w:val="0"/>
              <w:spacing w:before="0" w:after="0"/>
              <w:jc w:val="left"/>
              <w:rPr>
                <w:sz w:val="20"/>
              </w:rPr>
            </w:pPr>
            <w:r>
              <w:rPr>
                <w:sz w:val="20"/>
              </w:rPr>
              <w:t>BBB</w:t>
            </w:r>
          </w:p>
        </w:tc>
        <w:tc>
          <w:tcPr>
            <w:tcW w:w="740" w:type="dxa"/>
            <w:tcBorders/>
            <w:tcMar>
              <w:bottom w:w="0" w:type="dxa"/>
            </w:tcMar>
            <w:vAlign w:val="center"/>
          </w:tcPr>
          <w:p>
            <w:pPr>
              <w:pStyle w:val="TableContents"/>
              <w:bidi w:val="0"/>
              <w:spacing w:before="0" w:after="0"/>
              <w:jc w:val="left"/>
              <w:rPr>
                <w:sz w:val="20"/>
              </w:rPr>
            </w:pPr>
            <w:r>
              <w:rPr>
                <w:sz w:val="20"/>
              </w:rPr>
              <w:t>Affirmed</w:t>
            </w:r>
          </w:p>
        </w:tc>
        <w:tc>
          <w:tcPr>
            <w:tcW w:w="1115" w:type="dxa"/>
            <w:tcBorders/>
            <w:tcMar>
              <w:bottom w:w="0" w:type="dxa"/>
            </w:tcMar>
            <w:vAlign w:val="center"/>
          </w:tcPr>
          <w:p>
            <w:pPr>
              <w:pStyle w:val="TableContents"/>
              <w:bidi w:val="0"/>
              <w:spacing w:before="0" w:after="283"/>
              <w:jc w:val="left"/>
              <w:rPr/>
            </w:pPr>
            <w:r>
              <w:rPr/>
              <w:t> </w:t>
            </w:r>
          </w:p>
        </w:tc>
        <w:tc>
          <w:tcPr>
            <w:tcW w:w="680" w:type="dxa"/>
            <w:tcBorders/>
            <w:tcMar>
              <w:bottom w:w="0" w:type="dxa"/>
            </w:tcMar>
            <w:vAlign w:val="center"/>
          </w:tcPr>
          <w:p>
            <w:pPr>
              <w:pStyle w:val="TableContents"/>
              <w:bidi w:val="0"/>
              <w:spacing w:before="0" w:after="0"/>
              <w:jc w:val="left"/>
              <w:rPr>
                <w:sz w:val="20"/>
              </w:rPr>
            </w:pPr>
            <w:r>
              <w:rPr>
                <w:sz w:val="20"/>
              </w:rPr>
              <w:t>BBB</w:t>
            </w:r>
          </w:p>
        </w:tc>
      </w:tr>
      <w:tr>
        <w:trPr/>
        <w:tc>
          <w:tcPr>
            <w:tcW w:w="60" w:type="dxa"/>
            <w:tcBorders>
              <w:bottom w:val="single" w:sz="12" w:space="0" w:color="000000"/>
            </w:tcBorders>
            <w:vAlign w:val="center"/>
          </w:tcPr>
          <w:p>
            <w:pPr>
              <w:pStyle w:val="TableContents"/>
              <w:bidi w:val="0"/>
              <w:spacing w:before="0" w:after="283"/>
              <w:jc w:val="left"/>
              <w:rPr/>
            </w:pPr>
            <w:r>
              <w:rPr/>
              <w:t> </w:t>
            </w:r>
          </w:p>
        </w:tc>
        <w:tc>
          <w:tcPr>
            <w:tcW w:w="1370" w:type="dxa"/>
            <w:tcBorders>
              <w:bottom w:val="single" w:sz="12" w:space="0" w:color="000000"/>
            </w:tcBorders>
            <w:vAlign w:val="center"/>
          </w:tcPr>
          <w:p>
            <w:pPr>
              <w:pStyle w:val="TableContents"/>
              <w:bidi w:val="0"/>
              <w:spacing w:before="0" w:after="283"/>
              <w:jc w:val="left"/>
              <w:rPr/>
            </w:pPr>
            <w:r>
              <w:rPr/>
              <w:t> </w:t>
            </w:r>
          </w:p>
        </w:tc>
        <w:tc>
          <w:tcPr>
            <w:tcW w:w="1025" w:type="dxa"/>
            <w:tcBorders>
              <w:bottom w:val="single" w:sz="12" w:space="0" w:color="000000"/>
            </w:tcBorders>
            <w:vAlign w:val="center"/>
          </w:tcPr>
          <w:p>
            <w:pPr>
              <w:pStyle w:val="TableContents"/>
              <w:bidi w:val="0"/>
              <w:spacing w:before="0" w:after="283"/>
              <w:jc w:val="left"/>
              <w:rPr/>
            </w:pPr>
            <w:r>
              <w:rPr/>
              <w:t> </w:t>
            </w:r>
          </w:p>
        </w:tc>
        <w:tc>
          <w:tcPr>
            <w:tcW w:w="680" w:type="dxa"/>
            <w:tcBorders>
              <w:bottom w:val="single" w:sz="12" w:space="0" w:color="000000"/>
            </w:tcBorders>
            <w:vAlign w:val="center"/>
          </w:tcPr>
          <w:p>
            <w:pPr>
              <w:pStyle w:val="TableContents"/>
              <w:bidi w:val="0"/>
              <w:spacing w:before="0" w:after="283"/>
              <w:jc w:val="center"/>
              <w:rPr/>
            </w:pPr>
            <w:r>
              <w:rPr/>
              <w:t> </w:t>
            </w:r>
          </w:p>
        </w:tc>
        <w:tc>
          <w:tcPr>
            <w:tcW w:w="740" w:type="dxa"/>
            <w:tcBorders>
              <w:bottom w:val="single" w:sz="12" w:space="0" w:color="000000"/>
            </w:tcBorders>
            <w:vAlign w:val="center"/>
          </w:tcPr>
          <w:p>
            <w:pPr>
              <w:pStyle w:val="TableContents"/>
              <w:bidi w:val="0"/>
              <w:spacing w:before="0" w:after="283"/>
              <w:jc w:val="left"/>
              <w:rPr/>
            </w:pPr>
            <w:r>
              <w:rPr/>
              <w:t> </w:t>
            </w:r>
          </w:p>
        </w:tc>
        <w:tc>
          <w:tcPr>
            <w:tcW w:w="1115" w:type="dxa"/>
            <w:tcBorders>
              <w:bottom w:val="single" w:sz="12" w:space="0" w:color="000000"/>
            </w:tcBorders>
            <w:vAlign w:val="center"/>
          </w:tcPr>
          <w:p>
            <w:pPr>
              <w:pStyle w:val="TableContents"/>
              <w:bidi w:val="0"/>
              <w:spacing w:before="0" w:after="283"/>
              <w:jc w:val="left"/>
              <w:rPr/>
            </w:pPr>
            <w:r>
              <w:rPr/>
              <w:t> </w:t>
            </w:r>
          </w:p>
        </w:tc>
        <w:tc>
          <w:tcPr>
            <w:tcW w:w="680" w:type="dxa"/>
            <w:tcBorders>
              <w:bottom w:val="single" w:sz="12" w:space="0" w:color="000000"/>
            </w:tcBorders>
            <w:vAlign w:val="center"/>
          </w:tcPr>
          <w:p>
            <w:pPr>
              <w:pStyle w:val="TableContents"/>
              <w:bidi w:val="0"/>
              <w:spacing w:before="0" w:after="283"/>
              <w:jc w:val="left"/>
              <w:rPr/>
            </w:pPr>
            <w:r>
              <w:rPr/>
              <w:t> </w:t>
            </w:r>
          </w:p>
        </w:tc>
      </w:tr>
    </w:tbl>
    <w:p>
      <w:pPr>
        <w:pStyle w:val="TextBody"/>
        <w:bidi w:val="0"/>
        <w:spacing w:before="0" w:after="0"/>
        <w:jc w:val="left"/>
        <w:rPr>
          <w:sz w:val="20"/>
        </w:rPr>
      </w:pPr>
      <w:r>
        <w:rPr>
          <w:sz w:val="20"/>
        </w:rPr>
      </w:r>
    </w:p>
    <w:p>
      <w:pPr>
        <w:pStyle w:val="HorizontalLine"/>
        <w:pBdr>
          <w:bottom w:val="single" w:sz="12" w:space="0" w:color="808080"/>
        </w:pBdr>
        <w:bidi w:val="0"/>
        <w:spacing w:before="180" w:after="180"/>
        <w:jc w:val="left"/>
        <w:rPr/>
      </w:pPr>
      <w:r>
        <w:rPr/>
      </w:r>
    </w:p>
    <w:p>
      <w:pPr>
        <w:pStyle w:val="Normal"/>
        <w:bidi w:val="0"/>
        <w:spacing w:before="0" w:after="0"/>
        <w:jc w:val="left"/>
        <w:rPr>
          <w:sz w:val="4"/>
          <w:szCs w:val="4"/>
        </w:rPr>
      </w:pPr>
      <w:r>
        <w:rPr>
          <w:sz w:val="4"/>
          <w:szCs w:val="4"/>
        </w:rPr>
      </w:r>
      <w:bookmarkStart w:id="16" w:name="zd5a57f80f2814c6c991e2de20411979d"/>
      <w:bookmarkStart w:id="17" w:name="zd5a57f80f2814c6c991e2de20411979d"/>
      <w:bookmarkEnd w:id="17"/>
    </w:p>
    <w:tbl>
      <w:tblPr>
        <w:tblW w:w="5625" w:type="dxa"/>
        <w:jc w:val="left"/>
        <w:tblInd w:w="0" w:type="dxa"/>
        <w:tblLayout w:type="fixed"/>
        <w:tblCellMar>
          <w:top w:w="0" w:type="dxa"/>
          <w:left w:w="0" w:type="dxa"/>
          <w:bottom w:w="28" w:type="dxa"/>
          <w:right w:w="0" w:type="dxa"/>
        </w:tblCellMar>
      </w:tblPr>
      <w:tblGrid>
        <w:gridCol w:w="60"/>
        <w:gridCol w:w="1370"/>
        <w:gridCol w:w="1025"/>
        <w:gridCol w:w="620"/>
        <w:gridCol w:w="800"/>
        <w:gridCol w:w="1115"/>
        <w:gridCol w:w="635"/>
      </w:tblGrid>
      <w:tr>
        <w:trPr/>
        <w:tc>
          <w:tcPr>
            <w:tcW w:w="60" w:type="dxa"/>
            <w:tcBorders>
              <w:bottom w:val="single" w:sz="12" w:space="0" w:color="000000"/>
            </w:tcBorders>
            <w:vAlign w:val="center"/>
          </w:tcPr>
          <w:p>
            <w:pPr>
              <w:pStyle w:val="TableContents"/>
              <w:bidi w:val="0"/>
              <w:spacing w:before="0" w:after="0"/>
              <w:jc w:val="left"/>
              <w:rPr/>
            </w:pPr>
            <w:r>
              <w:rPr/>
              <w:t> </w:t>
            </w:r>
          </w:p>
        </w:tc>
        <w:tc>
          <w:tcPr>
            <w:tcW w:w="1370" w:type="dxa"/>
            <w:tcBorders>
              <w:bottom w:val="single" w:sz="12" w:space="0" w:color="000000"/>
            </w:tcBorders>
            <w:vAlign w:val="center"/>
          </w:tcPr>
          <w:p>
            <w:pPr>
              <w:pStyle w:val="TableContents"/>
              <w:bidi w:val="0"/>
              <w:spacing w:before="0" w:after="0"/>
              <w:jc w:val="left"/>
              <w:rPr>
                <w:b/>
                <w:sz w:val="20"/>
              </w:rPr>
            </w:pPr>
            <w:r>
              <w:rPr>
                <w:b/>
                <w:sz w:val="20"/>
              </w:rPr>
              <w:t>ENTITY/DEBT</w:t>
            </w:r>
          </w:p>
        </w:tc>
        <w:tc>
          <w:tcPr>
            <w:tcW w:w="1025" w:type="dxa"/>
            <w:tcBorders>
              <w:bottom w:val="single" w:sz="12" w:space="0" w:color="000000"/>
            </w:tcBorders>
            <w:vAlign w:val="center"/>
          </w:tcPr>
          <w:p>
            <w:pPr>
              <w:pStyle w:val="TableContents"/>
              <w:bidi w:val="0"/>
              <w:spacing w:before="0" w:after="0"/>
              <w:jc w:val="left"/>
              <w:rPr>
                <w:b/>
                <w:sz w:val="20"/>
              </w:rPr>
            </w:pPr>
            <w:r>
              <w:rPr>
                <w:b/>
                <w:sz w:val="20"/>
              </w:rPr>
              <w:t>RATING</w:t>
            </w:r>
          </w:p>
        </w:tc>
        <w:tc>
          <w:tcPr>
            <w:tcW w:w="620" w:type="dxa"/>
            <w:tcBorders>
              <w:bottom w:val="single" w:sz="12" w:space="0" w:color="000000"/>
            </w:tcBorders>
            <w:vAlign w:val="center"/>
          </w:tcPr>
          <w:p>
            <w:pPr>
              <w:pStyle w:val="TableContents"/>
              <w:bidi w:val="0"/>
              <w:spacing w:before="0" w:after="0"/>
              <w:jc w:val="left"/>
              <w:rPr/>
            </w:pPr>
            <w:r>
              <w:rPr/>
              <w:t> </w:t>
            </w:r>
          </w:p>
        </w:tc>
        <w:tc>
          <w:tcPr>
            <w:tcW w:w="800" w:type="dxa"/>
            <w:tcBorders>
              <w:bottom w:val="single" w:sz="12" w:space="0" w:color="000000"/>
            </w:tcBorders>
            <w:vAlign w:val="center"/>
          </w:tcPr>
          <w:p>
            <w:pPr>
              <w:pStyle w:val="TableContents"/>
              <w:bidi w:val="0"/>
              <w:spacing w:before="0" w:after="0"/>
              <w:jc w:val="left"/>
              <w:rPr/>
            </w:pPr>
            <w:r>
              <w:rPr/>
              <w:t> </w:t>
            </w:r>
          </w:p>
        </w:tc>
        <w:tc>
          <w:tcPr>
            <w:tcW w:w="1115" w:type="dxa"/>
            <w:tcBorders>
              <w:bottom w:val="single" w:sz="12" w:space="0" w:color="000000"/>
            </w:tcBorders>
            <w:vAlign w:val="center"/>
          </w:tcPr>
          <w:p>
            <w:pPr>
              <w:pStyle w:val="TableContents"/>
              <w:bidi w:val="0"/>
              <w:spacing w:before="0" w:after="0"/>
              <w:jc w:val="left"/>
              <w:rPr>
                <w:b/>
                <w:sz w:val="20"/>
              </w:rPr>
            </w:pPr>
            <w:r>
              <w:rPr>
                <w:b/>
                <w:sz w:val="20"/>
              </w:rPr>
              <w:t>RECOVERY</w:t>
            </w:r>
          </w:p>
        </w:tc>
        <w:tc>
          <w:tcPr>
            <w:tcW w:w="635" w:type="dxa"/>
            <w:tcBorders>
              <w:bottom w:val="single" w:sz="12" w:space="0" w:color="000000"/>
            </w:tcBorders>
            <w:vAlign w:val="center"/>
          </w:tcPr>
          <w:p>
            <w:pPr>
              <w:pStyle w:val="TableContents"/>
              <w:bidi w:val="0"/>
              <w:spacing w:before="0" w:after="0"/>
              <w:jc w:val="left"/>
              <w:rPr>
                <w:b/>
                <w:sz w:val="20"/>
              </w:rPr>
            </w:pPr>
            <w:r>
              <w:rPr>
                <w:b/>
                <w:sz w:val="20"/>
              </w:rPr>
              <w:t>PRIOR</w:t>
            </w:r>
          </w:p>
        </w:tc>
      </w:tr>
      <w:tr>
        <w:trPr/>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left"/>
              <w:rPr/>
            </w:pPr>
            <w:r>
              <w:rPr/>
              <w:t> </w:t>
            </w:r>
          </w:p>
        </w:tc>
        <w:tc>
          <w:tcPr>
            <w:tcW w:w="1025" w:type="dxa"/>
            <w:tcBorders/>
            <w:tcMar>
              <w:bottom w:w="0" w:type="dxa"/>
            </w:tcMar>
            <w:vAlign w:val="center"/>
          </w:tcPr>
          <w:p>
            <w:pPr>
              <w:pStyle w:val="TableContents"/>
              <w:bidi w:val="0"/>
              <w:spacing w:before="0" w:after="283"/>
              <w:jc w:val="left"/>
              <w:rPr/>
            </w:pPr>
            <w:r>
              <w:rPr/>
              <w:t> </w:t>
            </w:r>
          </w:p>
        </w:tc>
        <w:tc>
          <w:tcPr>
            <w:tcW w:w="62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left"/>
              <w:rPr/>
            </w:pPr>
            <w:r>
              <w:rPr/>
              <w:t> </w:t>
            </w:r>
          </w:p>
        </w:tc>
        <w:tc>
          <w:tcPr>
            <w:tcW w:w="1115" w:type="dxa"/>
            <w:tcBorders/>
            <w:tcMar>
              <w:bottom w:w="0" w:type="dxa"/>
            </w:tcMar>
            <w:vAlign w:val="center"/>
          </w:tcPr>
          <w:p>
            <w:pPr>
              <w:pStyle w:val="TableContents"/>
              <w:bidi w:val="0"/>
              <w:spacing w:before="0" w:after="283"/>
              <w:jc w:val="left"/>
              <w:rPr/>
            </w:pPr>
            <w:r>
              <w:rPr/>
              <w:t> </w:t>
            </w:r>
          </w:p>
        </w:tc>
        <w:tc>
          <w:tcPr>
            <w:tcW w:w="635" w:type="dxa"/>
            <w:tcBorders/>
            <w:tcMar>
              <w:bottom w:w="0" w:type="dxa"/>
            </w:tcMar>
            <w:vAlign w:val="center"/>
          </w:tcPr>
          <w:p>
            <w:pPr>
              <w:pStyle w:val="TableContents"/>
              <w:bidi w:val="0"/>
              <w:spacing w:before="0" w:after="283"/>
              <w:jc w:val="left"/>
              <w:rPr/>
            </w:pPr>
            <w:r>
              <w:rPr/>
              <w:t> </w:t>
            </w:r>
          </w:p>
        </w:tc>
      </w:tr>
      <w:tr>
        <w:trPr/>
        <w:tc>
          <w:tcPr>
            <w:tcW w:w="60" w:type="dxa"/>
            <w:tcBorders/>
            <w:tcMar>
              <w:bottom w:w="0" w:type="dxa"/>
            </w:tcMar>
            <w:vAlign w:val="center"/>
          </w:tcPr>
          <w:p>
            <w:pPr>
              <w:pStyle w:val="TableContents"/>
              <w:bidi w:val="0"/>
              <w:spacing w:before="0" w:after="0"/>
              <w:jc w:val="left"/>
              <w:rPr/>
            </w:pPr>
            <w:r>
              <w:rPr/>
              <w:t> </w:t>
            </w:r>
          </w:p>
        </w:tc>
        <w:tc>
          <w:tcPr>
            <w:tcW w:w="1370" w:type="dxa"/>
            <w:tcBorders/>
            <w:tcMar>
              <w:bottom w:w="0" w:type="dxa"/>
            </w:tcMar>
            <w:vAlign w:val="center"/>
          </w:tcPr>
          <w:p>
            <w:pPr>
              <w:pStyle w:val="TableContents"/>
              <w:bidi w:val="0"/>
              <w:spacing w:before="0" w:after="0"/>
              <w:jc w:val="left"/>
              <w:rPr>
                <w:sz w:val="20"/>
              </w:rPr>
            </w:pPr>
            <w:r>
              <w:rPr>
                <w:sz w:val="20"/>
              </w:rPr>
              <w:t>Banco</w:t>
            </w:r>
          </w:p>
          <w:p>
            <w:pPr>
              <w:pStyle w:val="TableContents"/>
              <w:bidi w:val="0"/>
              <w:spacing w:before="0" w:after="0"/>
              <w:jc w:val="left"/>
              <w:rPr>
                <w:sz w:val="20"/>
              </w:rPr>
            </w:pPr>
            <w:r>
              <w:rPr>
                <w:sz w:val="20"/>
              </w:rPr>
              <w:t>Internacional</w:t>
            </w:r>
          </w:p>
          <w:p>
            <w:pPr>
              <w:pStyle w:val="TableContents"/>
              <w:bidi w:val="0"/>
              <w:spacing w:before="0" w:after="0"/>
              <w:jc w:val="left"/>
              <w:rPr>
                <w:sz w:val="20"/>
              </w:rPr>
            </w:pPr>
            <w:r>
              <w:rPr>
                <w:sz w:val="20"/>
              </w:rPr>
              <w:t>del Peru</w:t>
            </w:r>
          </w:p>
          <w:p>
            <w:pPr>
              <w:pStyle w:val="TableContents"/>
              <w:bidi w:val="0"/>
              <w:spacing w:before="0" w:after="0"/>
              <w:jc w:val="left"/>
              <w:rPr>
                <w:sz w:val="20"/>
              </w:rPr>
            </w:pPr>
            <w:r>
              <w:rPr>
                <w:sz w:val="20"/>
              </w:rPr>
              <w:t>S.A.A. -</w:t>
            </w:r>
          </w:p>
          <w:p>
            <w:pPr>
              <w:pStyle w:val="TableContents"/>
              <w:bidi w:val="0"/>
              <w:spacing w:before="0" w:after="0"/>
              <w:jc w:val="left"/>
              <w:rPr>
                <w:sz w:val="20"/>
              </w:rPr>
            </w:pPr>
            <w:r>
              <w:rPr>
                <w:sz w:val="20"/>
              </w:rPr>
              <w:t>Interbank</w:t>
            </w:r>
          </w:p>
        </w:tc>
        <w:tc>
          <w:tcPr>
            <w:tcW w:w="1025" w:type="dxa"/>
            <w:tcBorders/>
            <w:tcMar>
              <w:bottom w:w="0" w:type="dxa"/>
            </w:tcMar>
            <w:vAlign w:val="center"/>
          </w:tcPr>
          <w:p>
            <w:pPr>
              <w:pStyle w:val="TableContents"/>
              <w:bidi w:val="0"/>
              <w:spacing w:before="0" w:after="0"/>
              <w:jc w:val="left"/>
              <w:rPr>
                <w:sz w:val="20"/>
              </w:rPr>
            </w:pPr>
            <w:r>
              <w:rPr>
                <w:sz w:val="20"/>
              </w:rPr>
              <w:t>LT IDR</w:t>
            </w:r>
          </w:p>
        </w:tc>
        <w:tc>
          <w:tcPr>
            <w:tcW w:w="620" w:type="dxa"/>
            <w:tcBorders/>
            <w:tcMar>
              <w:bottom w:w="0" w:type="dxa"/>
            </w:tcMar>
            <w:vAlign w:val="center"/>
          </w:tcPr>
          <w:p>
            <w:pPr>
              <w:pStyle w:val="TableContents"/>
              <w:bidi w:val="0"/>
              <w:spacing w:before="0" w:after="0"/>
              <w:jc w:val="left"/>
              <w:rPr>
                <w:sz w:val="20"/>
              </w:rPr>
            </w:pPr>
            <w:r>
              <w:rPr>
                <w:sz w:val="20"/>
              </w:rPr>
              <w:t xml:space="preserve">BBB </w:t>
            </w:r>
            <w:r>
              <w:rPr>
                <w:sz w:val="20"/>
              </w:rPr>
              <w:drawing>
                <wp:inline distT="0" distB="0" distL="0" distR="0">
                  <wp:extent cx="95250" cy="9525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95250" cy="95250"/>
                          </a:xfrm>
                          <a:prstGeom prst="rect">
                            <a:avLst/>
                          </a:prstGeom>
                        </pic:spPr>
                      </pic:pic>
                    </a:graphicData>
                  </a:graphic>
                </wp:inline>
              </w:drawing>
            </w:r>
          </w:p>
        </w:tc>
        <w:tc>
          <w:tcPr>
            <w:tcW w:w="800" w:type="dxa"/>
            <w:tcBorders/>
            <w:tcMar>
              <w:bottom w:w="0" w:type="dxa"/>
            </w:tcMar>
            <w:vAlign w:val="center"/>
          </w:tcPr>
          <w:p>
            <w:pPr>
              <w:pStyle w:val="TableContents"/>
              <w:bidi w:val="0"/>
              <w:spacing w:before="0" w:after="0"/>
              <w:jc w:val="left"/>
              <w:rPr>
                <w:sz w:val="20"/>
              </w:rPr>
            </w:pPr>
            <w:r>
              <w:rPr>
                <w:sz w:val="20"/>
              </w:rPr>
              <w:t>Affirmed</w:t>
            </w:r>
          </w:p>
        </w:tc>
        <w:tc>
          <w:tcPr>
            <w:tcW w:w="1115" w:type="dxa"/>
            <w:tcBorders/>
            <w:tcMar>
              <w:bottom w:w="0" w:type="dxa"/>
            </w:tcMar>
            <w:vAlign w:val="center"/>
          </w:tcPr>
          <w:p>
            <w:pPr>
              <w:pStyle w:val="TableContents"/>
              <w:bidi w:val="0"/>
              <w:spacing w:before="0" w:after="283"/>
              <w:jc w:val="left"/>
              <w:rPr/>
            </w:pPr>
            <w:r>
              <w:rPr/>
              <w:t> </w:t>
            </w:r>
          </w:p>
        </w:tc>
        <w:tc>
          <w:tcPr>
            <w:tcW w:w="635" w:type="dxa"/>
            <w:tcBorders/>
            <w:tcMar>
              <w:bottom w:w="0" w:type="dxa"/>
            </w:tcMar>
            <w:vAlign w:val="center"/>
          </w:tcPr>
          <w:p>
            <w:pPr>
              <w:pStyle w:val="TableContents"/>
              <w:bidi w:val="0"/>
              <w:spacing w:before="0" w:after="0"/>
              <w:jc w:val="left"/>
              <w:rPr>
                <w:sz w:val="20"/>
              </w:rPr>
            </w:pPr>
            <w:r>
              <w:rPr>
                <w:sz w:val="20"/>
              </w:rPr>
              <w:t xml:space="preserve">BBB </w:t>
            </w:r>
            <w:r>
              <w:rPr>
                <w:sz w:val="20"/>
              </w:rPr>
              <w:drawing>
                <wp:inline distT="0" distB="0" distL="0" distR="0">
                  <wp:extent cx="95250" cy="9525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95250" cy="95250"/>
                          </a:xfrm>
                          <a:prstGeom prst="rect">
                            <a:avLst/>
                          </a:prstGeom>
                        </pic:spPr>
                      </pic:pic>
                    </a:graphicData>
                  </a:graphic>
                </wp:inline>
              </w:drawing>
            </w:r>
          </w:p>
        </w:tc>
      </w:tr>
      <w:tr>
        <w:trPr/>
        <w:tc>
          <w:tcPr>
            <w:tcW w:w="60" w:type="dxa"/>
            <w:tcBorders>
              <w:bottom w:val="single" w:sz="12" w:space="0" w:color="000000"/>
            </w:tcBorders>
            <w:vAlign w:val="center"/>
          </w:tcPr>
          <w:p>
            <w:pPr>
              <w:pStyle w:val="TableContents"/>
              <w:bidi w:val="0"/>
              <w:spacing w:before="0" w:after="283"/>
              <w:jc w:val="left"/>
              <w:rPr/>
            </w:pPr>
            <w:r>
              <w:rPr/>
              <w:t> </w:t>
            </w:r>
          </w:p>
        </w:tc>
        <w:tc>
          <w:tcPr>
            <w:tcW w:w="1370" w:type="dxa"/>
            <w:tcBorders>
              <w:bottom w:val="single" w:sz="12" w:space="0" w:color="000000"/>
            </w:tcBorders>
            <w:vAlign w:val="center"/>
          </w:tcPr>
          <w:p>
            <w:pPr>
              <w:pStyle w:val="TableContents"/>
              <w:bidi w:val="0"/>
              <w:spacing w:before="0" w:after="283"/>
              <w:jc w:val="left"/>
              <w:rPr/>
            </w:pPr>
            <w:r>
              <w:rPr/>
              <w:t> </w:t>
            </w:r>
          </w:p>
        </w:tc>
        <w:tc>
          <w:tcPr>
            <w:tcW w:w="1025" w:type="dxa"/>
            <w:tcBorders>
              <w:bottom w:val="single" w:sz="12" w:space="0" w:color="000000"/>
            </w:tcBorders>
            <w:vAlign w:val="center"/>
          </w:tcPr>
          <w:p>
            <w:pPr>
              <w:pStyle w:val="TableContents"/>
              <w:bidi w:val="0"/>
              <w:spacing w:before="0" w:after="283"/>
              <w:jc w:val="left"/>
              <w:rPr/>
            </w:pPr>
            <w:r>
              <w:rPr/>
              <w:t> </w:t>
            </w:r>
          </w:p>
        </w:tc>
        <w:tc>
          <w:tcPr>
            <w:tcW w:w="620" w:type="dxa"/>
            <w:tcBorders>
              <w:bottom w:val="single" w:sz="12" w:space="0" w:color="000000"/>
            </w:tcBorders>
            <w:vAlign w:val="center"/>
          </w:tcPr>
          <w:p>
            <w:pPr>
              <w:pStyle w:val="TableContents"/>
              <w:bidi w:val="0"/>
              <w:spacing w:before="0" w:after="283"/>
              <w:jc w:val="left"/>
              <w:rPr/>
            </w:pPr>
            <w:r>
              <w:rPr/>
              <w:t> </w:t>
            </w:r>
          </w:p>
        </w:tc>
        <w:tc>
          <w:tcPr>
            <w:tcW w:w="800" w:type="dxa"/>
            <w:tcBorders>
              <w:bottom w:val="single" w:sz="12" w:space="0" w:color="000000"/>
            </w:tcBorders>
            <w:vAlign w:val="center"/>
          </w:tcPr>
          <w:p>
            <w:pPr>
              <w:pStyle w:val="TableContents"/>
              <w:bidi w:val="0"/>
              <w:spacing w:before="0" w:after="283"/>
              <w:jc w:val="left"/>
              <w:rPr/>
            </w:pPr>
            <w:r>
              <w:rPr/>
              <w:t> </w:t>
            </w:r>
          </w:p>
        </w:tc>
        <w:tc>
          <w:tcPr>
            <w:tcW w:w="1115" w:type="dxa"/>
            <w:tcBorders>
              <w:bottom w:val="single" w:sz="12" w:space="0" w:color="000000"/>
            </w:tcBorders>
            <w:vAlign w:val="center"/>
          </w:tcPr>
          <w:p>
            <w:pPr>
              <w:pStyle w:val="TableContents"/>
              <w:bidi w:val="0"/>
              <w:spacing w:before="0" w:after="283"/>
              <w:jc w:val="left"/>
              <w:rPr/>
            </w:pPr>
            <w:r>
              <w:rPr/>
              <w:t> </w:t>
            </w:r>
          </w:p>
        </w:tc>
        <w:tc>
          <w:tcPr>
            <w:tcW w:w="635" w:type="dxa"/>
            <w:tcBorders>
              <w:bottom w:val="single" w:sz="12" w:space="0" w:color="000000"/>
            </w:tcBorders>
            <w:vAlign w:val="center"/>
          </w:tcPr>
          <w:p>
            <w:pPr>
              <w:pStyle w:val="TableContents"/>
              <w:bidi w:val="0"/>
              <w:spacing w:before="0" w:after="283"/>
              <w:jc w:val="left"/>
              <w:rPr/>
            </w:pPr>
            <w:r>
              <w:rPr/>
              <w:t> </w:t>
            </w:r>
          </w:p>
        </w:tc>
      </w:tr>
      <w:tr>
        <w:trPr/>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left"/>
              <w:rPr/>
            </w:pPr>
            <w:r>
              <w:rPr/>
              <w:t> </w:t>
            </w:r>
          </w:p>
        </w:tc>
        <w:tc>
          <w:tcPr>
            <w:tcW w:w="1025" w:type="dxa"/>
            <w:tcBorders/>
            <w:tcMar>
              <w:bottom w:w="0" w:type="dxa"/>
            </w:tcMar>
            <w:vAlign w:val="center"/>
          </w:tcPr>
          <w:p>
            <w:pPr>
              <w:pStyle w:val="TableContents"/>
              <w:bidi w:val="0"/>
              <w:spacing w:before="0" w:after="283"/>
              <w:jc w:val="left"/>
              <w:rPr/>
            </w:pPr>
            <w:r>
              <w:rPr/>
              <w:t> </w:t>
            </w:r>
          </w:p>
        </w:tc>
        <w:tc>
          <w:tcPr>
            <w:tcW w:w="62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left"/>
              <w:rPr/>
            </w:pPr>
            <w:r>
              <w:rPr/>
              <w:t> </w:t>
            </w:r>
          </w:p>
        </w:tc>
        <w:tc>
          <w:tcPr>
            <w:tcW w:w="1115" w:type="dxa"/>
            <w:tcBorders/>
            <w:tcMar>
              <w:bottom w:w="0" w:type="dxa"/>
            </w:tcMar>
            <w:vAlign w:val="center"/>
          </w:tcPr>
          <w:p>
            <w:pPr>
              <w:pStyle w:val="TableContents"/>
              <w:bidi w:val="0"/>
              <w:spacing w:before="0" w:after="283"/>
              <w:jc w:val="left"/>
              <w:rPr/>
            </w:pPr>
            <w:r>
              <w:rPr/>
              <w:t> </w:t>
            </w:r>
          </w:p>
        </w:tc>
        <w:tc>
          <w:tcPr>
            <w:tcW w:w="635" w:type="dxa"/>
            <w:tcBorders/>
            <w:tcMar>
              <w:bottom w:w="0" w:type="dxa"/>
            </w:tcMar>
            <w:vAlign w:val="center"/>
          </w:tcPr>
          <w:p>
            <w:pPr>
              <w:pStyle w:val="TableContents"/>
              <w:bidi w:val="0"/>
              <w:spacing w:before="0" w:after="283"/>
              <w:jc w:val="left"/>
              <w:rPr/>
            </w:pPr>
            <w:r>
              <w:rPr/>
              <w:t> </w:t>
            </w:r>
          </w:p>
        </w:tc>
      </w:tr>
      <w:tr>
        <w:trPr/>
        <w:tc>
          <w:tcPr>
            <w:tcW w:w="60" w:type="dxa"/>
            <w:tcBorders/>
            <w:tcMar>
              <w:bottom w:w="0" w:type="dxa"/>
            </w:tcMar>
            <w:vAlign w:val="center"/>
          </w:tcPr>
          <w:p>
            <w:pPr>
              <w:pStyle w:val="TableContents"/>
              <w:bidi w:val="0"/>
              <w:spacing w:before="0" w:after="0"/>
              <w:jc w:val="left"/>
              <w:rPr/>
            </w:pPr>
            <w:r>
              <w:rPr/>
              <w:t> </w:t>
            </w:r>
          </w:p>
        </w:tc>
        <w:tc>
          <w:tcPr>
            <w:tcW w:w="1370" w:type="dxa"/>
            <w:tcBorders/>
            <w:tcMar>
              <w:bottom w:w="0" w:type="dxa"/>
            </w:tcMar>
            <w:vAlign w:val="center"/>
          </w:tcPr>
          <w:p>
            <w:pPr>
              <w:pStyle w:val="TableContents"/>
              <w:bidi w:val="0"/>
              <w:spacing w:before="0" w:after="283"/>
              <w:jc w:val="left"/>
              <w:rPr/>
            </w:pPr>
            <w:r>
              <w:rPr/>
              <w:t> </w:t>
            </w:r>
          </w:p>
        </w:tc>
        <w:tc>
          <w:tcPr>
            <w:tcW w:w="1025" w:type="dxa"/>
            <w:tcBorders/>
            <w:tcMar>
              <w:bottom w:w="0" w:type="dxa"/>
            </w:tcMar>
            <w:vAlign w:val="center"/>
          </w:tcPr>
          <w:p>
            <w:pPr>
              <w:pStyle w:val="TableContents"/>
              <w:bidi w:val="0"/>
              <w:spacing w:before="0" w:after="0"/>
              <w:jc w:val="left"/>
              <w:rPr>
                <w:sz w:val="20"/>
              </w:rPr>
            </w:pPr>
            <w:r>
              <w:rPr>
                <w:sz w:val="20"/>
              </w:rPr>
              <w:t>ST IDR</w:t>
            </w:r>
          </w:p>
        </w:tc>
        <w:tc>
          <w:tcPr>
            <w:tcW w:w="620" w:type="dxa"/>
            <w:tcBorders/>
            <w:tcMar>
              <w:bottom w:w="0" w:type="dxa"/>
            </w:tcMar>
            <w:vAlign w:val="center"/>
          </w:tcPr>
          <w:p>
            <w:pPr>
              <w:pStyle w:val="TableContents"/>
              <w:bidi w:val="0"/>
              <w:spacing w:before="0" w:after="0"/>
              <w:jc w:val="left"/>
              <w:rPr>
                <w:sz w:val="20"/>
              </w:rPr>
            </w:pPr>
            <w:r>
              <w:rPr>
                <w:sz w:val="20"/>
              </w:rPr>
              <w:t>F3</w:t>
            </w:r>
          </w:p>
        </w:tc>
        <w:tc>
          <w:tcPr>
            <w:tcW w:w="800" w:type="dxa"/>
            <w:tcBorders/>
            <w:tcMar>
              <w:bottom w:w="0" w:type="dxa"/>
            </w:tcMar>
            <w:vAlign w:val="center"/>
          </w:tcPr>
          <w:p>
            <w:pPr>
              <w:pStyle w:val="TableContents"/>
              <w:bidi w:val="0"/>
              <w:spacing w:before="0" w:after="0"/>
              <w:jc w:val="left"/>
              <w:rPr>
                <w:sz w:val="20"/>
              </w:rPr>
            </w:pPr>
            <w:r>
              <w:rPr>
                <w:sz w:val="20"/>
              </w:rPr>
              <w:t>Affirmed</w:t>
            </w:r>
          </w:p>
        </w:tc>
        <w:tc>
          <w:tcPr>
            <w:tcW w:w="1115" w:type="dxa"/>
            <w:tcBorders/>
            <w:tcMar>
              <w:bottom w:w="0" w:type="dxa"/>
            </w:tcMar>
            <w:vAlign w:val="center"/>
          </w:tcPr>
          <w:p>
            <w:pPr>
              <w:pStyle w:val="TableContents"/>
              <w:bidi w:val="0"/>
              <w:spacing w:before="0" w:after="283"/>
              <w:jc w:val="left"/>
              <w:rPr/>
            </w:pPr>
            <w:r>
              <w:rPr/>
              <w:t> </w:t>
            </w:r>
          </w:p>
        </w:tc>
        <w:tc>
          <w:tcPr>
            <w:tcW w:w="635" w:type="dxa"/>
            <w:tcBorders/>
            <w:tcMar>
              <w:bottom w:w="0" w:type="dxa"/>
            </w:tcMar>
            <w:vAlign w:val="center"/>
          </w:tcPr>
          <w:p>
            <w:pPr>
              <w:pStyle w:val="TableContents"/>
              <w:bidi w:val="0"/>
              <w:spacing w:before="0" w:after="0"/>
              <w:jc w:val="left"/>
              <w:rPr>
                <w:sz w:val="20"/>
              </w:rPr>
            </w:pPr>
            <w:r>
              <w:rPr>
                <w:sz w:val="20"/>
              </w:rPr>
              <w:t>F3</w:t>
            </w:r>
          </w:p>
        </w:tc>
      </w:tr>
      <w:tr>
        <w:trPr/>
        <w:tc>
          <w:tcPr>
            <w:tcW w:w="60" w:type="dxa"/>
            <w:tcBorders>
              <w:bottom w:val="single" w:sz="12" w:space="0" w:color="000000"/>
            </w:tcBorders>
            <w:vAlign w:val="center"/>
          </w:tcPr>
          <w:p>
            <w:pPr>
              <w:pStyle w:val="TableContents"/>
              <w:bidi w:val="0"/>
              <w:spacing w:before="0" w:after="283"/>
              <w:jc w:val="left"/>
              <w:rPr/>
            </w:pPr>
            <w:r>
              <w:rPr/>
              <w:t> </w:t>
            </w:r>
          </w:p>
        </w:tc>
        <w:tc>
          <w:tcPr>
            <w:tcW w:w="1370" w:type="dxa"/>
            <w:tcBorders>
              <w:bottom w:val="single" w:sz="12" w:space="0" w:color="000000"/>
            </w:tcBorders>
            <w:vAlign w:val="center"/>
          </w:tcPr>
          <w:p>
            <w:pPr>
              <w:pStyle w:val="TableContents"/>
              <w:bidi w:val="0"/>
              <w:spacing w:before="0" w:after="283"/>
              <w:jc w:val="left"/>
              <w:rPr/>
            </w:pPr>
            <w:r>
              <w:rPr/>
              <w:t> </w:t>
            </w:r>
          </w:p>
        </w:tc>
        <w:tc>
          <w:tcPr>
            <w:tcW w:w="1025" w:type="dxa"/>
            <w:tcBorders>
              <w:bottom w:val="single" w:sz="12" w:space="0" w:color="000000"/>
            </w:tcBorders>
            <w:vAlign w:val="center"/>
          </w:tcPr>
          <w:p>
            <w:pPr>
              <w:pStyle w:val="TableContents"/>
              <w:bidi w:val="0"/>
              <w:spacing w:before="0" w:after="283"/>
              <w:jc w:val="left"/>
              <w:rPr/>
            </w:pPr>
            <w:r>
              <w:rPr/>
              <w:t> </w:t>
            </w:r>
          </w:p>
        </w:tc>
        <w:tc>
          <w:tcPr>
            <w:tcW w:w="620" w:type="dxa"/>
            <w:tcBorders>
              <w:bottom w:val="single" w:sz="12" w:space="0" w:color="000000"/>
            </w:tcBorders>
            <w:vAlign w:val="center"/>
          </w:tcPr>
          <w:p>
            <w:pPr>
              <w:pStyle w:val="TableContents"/>
              <w:bidi w:val="0"/>
              <w:spacing w:before="0" w:after="283"/>
              <w:jc w:val="left"/>
              <w:rPr/>
            </w:pPr>
            <w:r>
              <w:rPr/>
              <w:t> </w:t>
            </w:r>
          </w:p>
        </w:tc>
        <w:tc>
          <w:tcPr>
            <w:tcW w:w="800" w:type="dxa"/>
            <w:tcBorders>
              <w:bottom w:val="single" w:sz="12" w:space="0" w:color="000000"/>
            </w:tcBorders>
            <w:vAlign w:val="center"/>
          </w:tcPr>
          <w:p>
            <w:pPr>
              <w:pStyle w:val="TableContents"/>
              <w:bidi w:val="0"/>
              <w:spacing w:before="0" w:after="283"/>
              <w:jc w:val="left"/>
              <w:rPr/>
            </w:pPr>
            <w:r>
              <w:rPr/>
              <w:t> </w:t>
            </w:r>
          </w:p>
        </w:tc>
        <w:tc>
          <w:tcPr>
            <w:tcW w:w="1115" w:type="dxa"/>
            <w:tcBorders>
              <w:bottom w:val="single" w:sz="12" w:space="0" w:color="000000"/>
            </w:tcBorders>
            <w:vAlign w:val="center"/>
          </w:tcPr>
          <w:p>
            <w:pPr>
              <w:pStyle w:val="TableContents"/>
              <w:bidi w:val="0"/>
              <w:spacing w:before="0" w:after="283"/>
              <w:jc w:val="left"/>
              <w:rPr/>
            </w:pPr>
            <w:r>
              <w:rPr/>
              <w:t> </w:t>
            </w:r>
          </w:p>
        </w:tc>
        <w:tc>
          <w:tcPr>
            <w:tcW w:w="635" w:type="dxa"/>
            <w:tcBorders>
              <w:bottom w:val="single" w:sz="12" w:space="0" w:color="000000"/>
            </w:tcBorders>
            <w:vAlign w:val="center"/>
          </w:tcPr>
          <w:p>
            <w:pPr>
              <w:pStyle w:val="TableContents"/>
              <w:bidi w:val="0"/>
              <w:spacing w:before="0" w:after="283"/>
              <w:jc w:val="left"/>
              <w:rPr/>
            </w:pPr>
            <w:r>
              <w:rPr/>
              <w:t> </w:t>
            </w:r>
          </w:p>
        </w:tc>
      </w:tr>
      <w:tr>
        <w:trPr/>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left"/>
              <w:rPr/>
            </w:pPr>
            <w:r>
              <w:rPr/>
              <w:t> </w:t>
            </w:r>
          </w:p>
        </w:tc>
        <w:tc>
          <w:tcPr>
            <w:tcW w:w="1025" w:type="dxa"/>
            <w:tcBorders/>
            <w:tcMar>
              <w:bottom w:w="0" w:type="dxa"/>
            </w:tcMar>
            <w:vAlign w:val="center"/>
          </w:tcPr>
          <w:p>
            <w:pPr>
              <w:pStyle w:val="TableContents"/>
              <w:bidi w:val="0"/>
              <w:spacing w:before="0" w:after="283"/>
              <w:jc w:val="left"/>
              <w:rPr/>
            </w:pPr>
            <w:r>
              <w:rPr/>
              <w:t> </w:t>
            </w:r>
          </w:p>
        </w:tc>
        <w:tc>
          <w:tcPr>
            <w:tcW w:w="62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left"/>
              <w:rPr/>
            </w:pPr>
            <w:r>
              <w:rPr/>
              <w:t> </w:t>
            </w:r>
          </w:p>
        </w:tc>
        <w:tc>
          <w:tcPr>
            <w:tcW w:w="1115" w:type="dxa"/>
            <w:tcBorders/>
            <w:tcMar>
              <w:bottom w:w="0" w:type="dxa"/>
            </w:tcMar>
            <w:vAlign w:val="center"/>
          </w:tcPr>
          <w:p>
            <w:pPr>
              <w:pStyle w:val="TableContents"/>
              <w:bidi w:val="0"/>
              <w:spacing w:before="0" w:after="283"/>
              <w:jc w:val="left"/>
              <w:rPr/>
            </w:pPr>
            <w:r>
              <w:rPr/>
              <w:t> </w:t>
            </w:r>
          </w:p>
        </w:tc>
        <w:tc>
          <w:tcPr>
            <w:tcW w:w="635" w:type="dxa"/>
            <w:tcBorders/>
            <w:tcMar>
              <w:bottom w:w="0" w:type="dxa"/>
            </w:tcMar>
            <w:vAlign w:val="center"/>
          </w:tcPr>
          <w:p>
            <w:pPr>
              <w:pStyle w:val="TableContents"/>
              <w:bidi w:val="0"/>
              <w:spacing w:before="0" w:after="283"/>
              <w:jc w:val="left"/>
              <w:rPr/>
            </w:pPr>
            <w:r>
              <w:rPr/>
              <w:t> </w:t>
            </w:r>
          </w:p>
        </w:tc>
      </w:tr>
      <w:tr>
        <w:trPr/>
        <w:tc>
          <w:tcPr>
            <w:tcW w:w="60" w:type="dxa"/>
            <w:tcBorders/>
            <w:tcMar>
              <w:bottom w:w="0" w:type="dxa"/>
            </w:tcMar>
            <w:vAlign w:val="center"/>
          </w:tcPr>
          <w:p>
            <w:pPr>
              <w:pStyle w:val="TableContents"/>
              <w:bidi w:val="0"/>
              <w:spacing w:before="0" w:after="0"/>
              <w:jc w:val="left"/>
              <w:rPr/>
            </w:pPr>
            <w:r>
              <w:rPr/>
              <w:t> </w:t>
            </w:r>
          </w:p>
        </w:tc>
        <w:tc>
          <w:tcPr>
            <w:tcW w:w="1370" w:type="dxa"/>
            <w:tcBorders/>
            <w:tcMar>
              <w:bottom w:w="0" w:type="dxa"/>
            </w:tcMar>
            <w:vAlign w:val="center"/>
          </w:tcPr>
          <w:p>
            <w:pPr>
              <w:pStyle w:val="TableContents"/>
              <w:bidi w:val="0"/>
              <w:spacing w:before="0" w:after="283"/>
              <w:jc w:val="left"/>
              <w:rPr/>
            </w:pPr>
            <w:r>
              <w:rPr/>
              <w:t> </w:t>
            </w:r>
          </w:p>
        </w:tc>
        <w:tc>
          <w:tcPr>
            <w:tcW w:w="1025" w:type="dxa"/>
            <w:tcBorders/>
            <w:tcMar>
              <w:bottom w:w="0" w:type="dxa"/>
            </w:tcMar>
            <w:vAlign w:val="center"/>
          </w:tcPr>
          <w:p>
            <w:pPr>
              <w:pStyle w:val="TableContents"/>
              <w:bidi w:val="0"/>
              <w:spacing w:before="0" w:after="0"/>
              <w:jc w:val="left"/>
              <w:rPr>
                <w:sz w:val="20"/>
              </w:rPr>
            </w:pPr>
            <w:r>
              <w:rPr>
                <w:sz w:val="20"/>
              </w:rPr>
              <w:t>LC LT IDR</w:t>
            </w:r>
          </w:p>
        </w:tc>
        <w:tc>
          <w:tcPr>
            <w:tcW w:w="620" w:type="dxa"/>
            <w:tcBorders/>
            <w:tcMar>
              <w:bottom w:w="0" w:type="dxa"/>
            </w:tcMar>
            <w:vAlign w:val="center"/>
          </w:tcPr>
          <w:p>
            <w:pPr>
              <w:pStyle w:val="TableContents"/>
              <w:bidi w:val="0"/>
              <w:spacing w:before="0" w:after="0"/>
              <w:jc w:val="left"/>
              <w:rPr>
                <w:sz w:val="20"/>
              </w:rPr>
            </w:pPr>
            <w:r>
              <w:rPr>
                <w:sz w:val="20"/>
              </w:rPr>
              <w:t xml:space="preserve">BBB </w:t>
            </w:r>
            <w:r>
              <w:rPr>
                <w:sz w:val="20"/>
              </w:rPr>
              <w:drawing>
                <wp:inline distT="0" distB="0" distL="0" distR="0">
                  <wp:extent cx="95250" cy="9525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95250" cy="95250"/>
                          </a:xfrm>
                          <a:prstGeom prst="rect">
                            <a:avLst/>
                          </a:prstGeom>
                        </pic:spPr>
                      </pic:pic>
                    </a:graphicData>
                  </a:graphic>
                </wp:inline>
              </w:drawing>
            </w:r>
          </w:p>
        </w:tc>
        <w:tc>
          <w:tcPr>
            <w:tcW w:w="800" w:type="dxa"/>
            <w:tcBorders/>
            <w:tcMar>
              <w:bottom w:w="0" w:type="dxa"/>
            </w:tcMar>
            <w:vAlign w:val="center"/>
          </w:tcPr>
          <w:p>
            <w:pPr>
              <w:pStyle w:val="TableContents"/>
              <w:bidi w:val="0"/>
              <w:spacing w:before="0" w:after="0"/>
              <w:jc w:val="left"/>
              <w:rPr>
                <w:sz w:val="20"/>
              </w:rPr>
            </w:pPr>
            <w:r>
              <w:rPr>
                <w:sz w:val="20"/>
              </w:rPr>
              <w:t>Affirmed</w:t>
            </w:r>
          </w:p>
        </w:tc>
        <w:tc>
          <w:tcPr>
            <w:tcW w:w="1115" w:type="dxa"/>
            <w:tcBorders/>
            <w:tcMar>
              <w:bottom w:w="0" w:type="dxa"/>
            </w:tcMar>
            <w:vAlign w:val="center"/>
          </w:tcPr>
          <w:p>
            <w:pPr>
              <w:pStyle w:val="TableContents"/>
              <w:bidi w:val="0"/>
              <w:spacing w:before="0" w:after="283"/>
              <w:jc w:val="left"/>
              <w:rPr/>
            </w:pPr>
            <w:r>
              <w:rPr/>
              <w:t> </w:t>
            </w:r>
          </w:p>
        </w:tc>
        <w:tc>
          <w:tcPr>
            <w:tcW w:w="635" w:type="dxa"/>
            <w:tcBorders/>
            <w:tcMar>
              <w:bottom w:w="0" w:type="dxa"/>
            </w:tcMar>
            <w:vAlign w:val="center"/>
          </w:tcPr>
          <w:p>
            <w:pPr>
              <w:pStyle w:val="TableContents"/>
              <w:bidi w:val="0"/>
              <w:spacing w:before="0" w:after="0"/>
              <w:jc w:val="left"/>
              <w:rPr>
                <w:sz w:val="20"/>
              </w:rPr>
            </w:pPr>
            <w:r>
              <w:rPr>
                <w:sz w:val="20"/>
              </w:rPr>
              <w:t xml:space="preserve">BBB </w:t>
            </w:r>
            <w:r>
              <w:rPr>
                <w:sz w:val="20"/>
              </w:rPr>
              <w:drawing>
                <wp:inline distT="0" distB="0" distL="0" distR="0">
                  <wp:extent cx="95250" cy="9525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95250" cy="95250"/>
                          </a:xfrm>
                          <a:prstGeom prst="rect">
                            <a:avLst/>
                          </a:prstGeom>
                        </pic:spPr>
                      </pic:pic>
                    </a:graphicData>
                  </a:graphic>
                </wp:inline>
              </w:drawing>
            </w:r>
          </w:p>
        </w:tc>
      </w:tr>
      <w:tr>
        <w:trPr/>
        <w:tc>
          <w:tcPr>
            <w:tcW w:w="60" w:type="dxa"/>
            <w:tcBorders>
              <w:bottom w:val="single" w:sz="12" w:space="0" w:color="000000"/>
            </w:tcBorders>
            <w:vAlign w:val="center"/>
          </w:tcPr>
          <w:p>
            <w:pPr>
              <w:pStyle w:val="TableContents"/>
              <w:bidi w:val="0"/>
              <w:spacing w:before="0" w:after="283"/>
              <w:jc w:val="left"/>
              <w:rPr/>
            </w:pPr>
            <w:r>
              <w:rPr/>
              <w:t> </w:t>
            </w:r>
          </w:p>
        </w:tc>
        <w:tc>
          <w:tcPr>
            <w:tcW w:w="1370" w:type="dxa"/>
            <w:tcBorders>
              <w:bottom w:val="single" w:sz="12" w:space="0" w:color="000000"/>
            </w:tcBorders>
            <w:vAlign w:val="center"/>
          </w:tcPr>
          <w:p>
            <w:pPr>
              <w:pStyle w:val="TableContents"/>
              <w:bidi w:val="0"/>
              <w:spacing w:before="0" w:after="283"/>
              <w:jc w:val="left"/>
              <w:rPr/>
            </w:pPr>
            <w:r>
              <w:rPr/>
              <w:t> </w:t>
            </w:r>
          </w:p>
        </w:tc>
        <w:tc>
          <w:tcPr>
            <w:tcW w:w="1025" w:type="dxa"/>
            <w:tcBorders>
              <w:bottom w:val="single" w:sz="12" w:space="0" w:color="000000"/>
            </w:tcBorders>
            <w:vAlign w:val="center"/>
          </w:tcPr>
          <w:p>
            <w:pPr>
              <w:pStyle w:val="TableContents"/>
              <w:bidi w:val="0"/>
              <w:spacing w:before="0" w:after="283"/>
              <w:jc w:val="left"/>
              <w:rPr/>
            </w:pPr>
            <w:r>
              <w:rPr/>
              <w:t> </w:t>
            </w:r>
          </w:p>
        </w:tc>
        <w:tc>
          <w:tcPr>
            <w:tcW w:w="620" w:type="dxa"/>
            <w:tcBorders>
              <w:bottom w:val="single" w:sz="12" w:space="0" w:color="000000"/>
            </w:tcBorders>
            <w:vAlign w:val="center"/>
          </w:tcPr>
          <w:p>
            <w:pPr>
              <w:pStyle w:val="TableContents"/>
              <w:bidi w:val="0"/>
              <w:spacing w:before="0" w:after="283"/>
              <w:jc w:val="left"/>
              <w:rPr/>
            </w:pPr>
            <w:r>
              <w:rPr/>
              <w:t> </w:t>
            </w:r>
          </w:p>
        </w:tc>
        <w:tc>
          <w:tcPr>
            <w:tcW w:w="800" w:type="dxa"/>
            <w:tcBorders>
              <w:bottom w:val="single" w:sz="12" w:space="0" w:color="000000"/>
            </w:tcBorders>
            <w:vAlign w:val="center"/>
          </w:tcPr>
          <w:p>
            <w:pPr>
              <w:pStyle w:val="TableContents"/>
              <w:bidi w:val="0"/>
              <w:spacing w:before="0" w:after="283"/>
              <w:jc w:val="left"/>
              <w:rPr/>
            </w:pPr>
            <w:r>
              <w:rPr/>
              <w:t> </w:t>
            </w:r>
          </w:p>
        </w:tc>
        <w:tc>
          <w:tcPr>
            <w:tcW w:w="1115" w:type="dxa"/>
            <w:tcBorders>
              <w:bottom w:val="single" w:sz="12" w:space="0" w:color="000000"/>
            </w:tcBorders>
            <w:vAlign w:val="center"/>
          </w:tcPr>
          <w:p>
            <w:pPr>
              <w:pStyle w:val="TableContents"/>
              <w:bidi w:val="0"/>
              <w:spacing w:before="0" w:after="283"/>
              <w:jc w:val="left"/>
              <w:rPr/>
            </w:pPr>
            <w:r>
              <w:rPr/>
              <w:t> </w:t>
            </w:r>
          </w:p>
        </w:tc>
        <w:tc>
          <w:tcPr>
            <w:tcW w:w="635" w:type="dxa"/>
            <w:tcBorders>
              <w:bottom w:val="single" w:sz="12" w:space="0" w:color="000000"/>
            </w:tcBorders>
            <w:vAlign w:val="center"/>
          </w:tcPr>
          <w:p>
            <w:pPr>
              <w:pStyle w:val="TableContents"/>
              <w:bidi w:val="0"/>
              <w:spacing w:before="0" w:after="283"/>
              <w:jc w:val="left"/>
              <w:rPr/>
            </w:pPr>
            <w:r>
              <w:rPr/>
              <w:t> </w:t>
            </w:r>
          </w:p>
        </w:tc>
      </w:tr>
      <w:tr>
        <w:trPr/>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left"/>
              <w:rPr/>
            </w:pPr>
            <w:r>
              <w:rPr/>
              <w:t> </w:t>
            </w:r>
          </w:p>
        </w:tc>
        <w:tc>
          <w:tcPr>
            <w:tcW w:w="1025" w:type="dxa"/>
            <w:tcBorders/>
            <w:tcMar>
              <w:bottom w:w="0" w:type="dxa"/>
            </w:tcMar>
            <w:vAlign w:val="center"/>
          </w:tcPr>
          <w:p>
            <w:pPr>
              <w:pStyle w:val="TableContents"/>
              <w:bidi w:val="0"/>
              <w:spacing w:before="0" w:after="283"/>
              <w:jc w:val="left"/>
              <w:rPr/>
            </w:pPr>
            <w:r>
              <w:rPr/>
              <w:t> </w:t>
            </w:r>
          </w:p>
        </w:tc>
        <w:tc>
          <w:tcPr>
            <w:tcW w:w="62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left"/>
              <w:rPr/>
            </w:pPr>
            <w:r>
              <w:rPr/>
              <w:t> </w:t>
            </w:r>
          </w:p>
        </w:tc>
        <w:tc>
          <w:tcPr>
            <w:tcW w:w="1115" w:type="dxa"/>
            <w:tcBorders/>
            <w:tcMar>
              <w:bottom w:w="0" w:type="dxa"/>
            </w:tcMar>
            <w:vAlign w:val="center"/>
          </w:tcPr>
          <w:p>
            <w:pPr>
              <w:pStyle w:val="TableContents"/>
              <w:bidi w:val="0"/>
              <w:spacing w:before="0" w:after="283"/>
              <w:jc w:val="left"/>
              <w:rPr/>
            </w:pPr>
            <w:r>
              <w:rPr/>
              <w:t> </w:t>
            </w:r>
          </w:p>
        </w:tc>
        <w:tc>
          <w:tcPr>
            <w:tcW w:w="635" w:type="dxa"/>
            <w:tcBorders/>
            <w:tcMar>
              <w:bottom w:w="0" w:type="dxa"/>
            </w:tcMar>
            <w:vAlign w:val="center"/>
          </w:tcPr>
          <w:p>
            <w:pPr>
              <w:pStyle w:val="TableContents"/>
              <w:bidi w:val="0"/>
              <w:spacing w:before="0" w:after="283"/>
              <w:jc w:val="left"/>
              <w:rPr/>
            </w:pPr>
            <w:r>
              <w:rPr/>
              <w:t> </w:t>
            </w:r>
          </w:p>
        </w:tc>
      </w:tr>
      <w:tr>
        <w:trPr/>
        <w:tc>
          <w:tcPr>
            <w:tcW w:w="60" w:type="dxa"/>
            <w:tcBorders/>
            <w:tcMar>
              <w:bottom w:w="0" w:type="dxa"/>
            </w:tcMar>
            <w:vAlign w:val="center"/>
          </w:tcPr>
          <w:p>
            <w:pPr>
              <w:pStyle w:val="TableContents"/>
              <w:bidi w:val="0"/>
              <w:spacing w:before="0" w:after="0"/>
              <w:jc w:val="left"/>
              <w:rPr/>
            </w:pPr>
            <w:r>
              <w:rPr/>
              <w:t> </w:t>
            </w:r>
          </w:p>
        </w:tc>
        <w:tc>
          <w:tcPr>
            <w:tcW w:w="1370" w:type="dxa"/>
            <w:tcBorders/>
            <w:tcMar>
              <w:bottom w:w="0" w:type="dxa"/>
            </w:tcMar>
            <w:vAlign w:val="center"/>
          </w:tcPr>
          <w:p>
            <w:pPr>
              <w:pStyle w:val="TableContents"/>
              <w:bidi w:val="0"/>
              <w:spacing w:before="0" w:after="0"/>
              <w:jc w:val="left"/>
              <w:rPr/>
            </w:pPr>
            <w:r>
              <w:rPr/>
              <w:t> </w:t>
            </w:r>
          </w:p>
        </w:tc>
        <w:tc>
          <w:tcPr>
            <w:tcW w:w="1025" w:type="dxa"/>
            <w:tcBorders/>
            <w:tcMar>
              <w:bottom w:w="0" w:type="dxa"/>
            </w:tcMar>
            <w:vAlign w:val="center"/>
          </w:tcPr>
          <w:p>
            <w:pPr>
              <w:pStyle w:val="TableContents"/>
              <w:bidi w:val="0"/>
              <w:spacing w:before="0" w:after="0"/>
              <w:jc w:val="left"/>
              <w:rPr>
                <w:sz w:val="20"/>
              </w:rPr>
            </w:pPr>
            <w:r>
              <w:rPr>
                <w:sz w:val="20"/>
              </w:rPr>
              <w:t>LC ST IDR</w:t>
            </w:r>
          </w:p>
        </w:tc>
        <w:tc>
          <w:tcPr>
            <w:tcW w:w="620" w:type="dxa"/>
            <w:tcBorders/>
            <w:tcMar>
              <w:bottom w:w="0" w:type="dxa"/>
            </w:tcMar>
            <w:vAlign w:val="center"/>
          </w:tcPr>
          <w:p>
            <w:pPr>
              <w:pStyle w:val="TableContents"/>
              <w:bidi w:val="0"/>
              <w:spacing w:before="0" w:after="0"/>
              <w:jc w:val="left"/>
              <w:rPr>
                <w:sz w:val="20"/>
              </w:rPr>
            </w:pPr>
            <w:r>
              <w:rPr>
                <w:sz w:val="20"/>
              </w:rPr>
              <w:t>F3</w:t>
            </w:r>
          </w:p>
        </w:tc>
        <w:tc>
          <w:tcPr>
            <w:tcW w:w="800" w:type="dxa"/>
            <w:tcBorders/>
            <w:tcMar>
              <w:bottom w:w="0" w:type="dxa"/>
            </w:tcMar>
            <w:vAlign w:val="center"/>
          </w:tcPr>
          <w:p>
            <w:pPr>
              <w:pStyle w:val="TableContents"/>
              <w:bidi w:val="0"/>
              <w:spacing w:before="0" w:after="0"/>
              <w:jc w:val="left"/>
              <w:rPr>
                <w:sz w:val="20"/>
              </w:rPr>
            </w:pPr>
            <w:r>
              <w:rPr>
                <w:sz w:val="20"/>
              </w:rPr>
              <w:t>Affirmed</w:t>
            </w:r>
          </w:p>
        </w:tc>
        <w:tc>
          <w:tcPr>
            <w:tcW w:w="1115" w:type="dxa"/>
            <w:tcBorders/>
            <w:tcMar>
              <w:bottom w:w="0" w:type="dxa"/>
            </w:tcMar>
            <w:vAlign w:val="center"/>
          </w:tcPr>
          <w:p>
            <w:pPr>
              <w:pStyle w:val="TableContents"/>
              <w:bidi w:val="0"/>
              <w:spacing w:before="0" w:after="283"/>
              <w:jc w:val="left"/>
              <w:rPr/>
            </w:pPr>
            <w:r>
              <w:rPr/>
              <w:t> </w:t>
            </w:r>
          </w:p>
        </w:tc>
        <w:tc>
          <w:tcPr>
            <w:tcW w:w="635" w:type="dxa"/>
            <w:tcBorders/>
            <w:tcMar>
              <w:bottom w:w="0" w:type="dxa"/>
            </w:tcMar>
            <w:vAlign w:val="center"/>
          </w:tcPr>
          <w:p>
            <w:pPr>
              <w:pStyle w:val="TableContents"/>
              <w:bidi w:val="0"/>
              <w:spacing w:before="0" w:after="0"/>
              <w:jc w:val="left"/>
              <w:rPr>
                <w:sz w:val="20"/>
              </w:rPr>
            </w:pPr>
            <w:r>
              <w:rPr>
                <w:sz w:val="20"/>
              </w:rPr>
              <w:t>F3</w:t>
            </w:r>
          </w:p>
        </w:tc>
      </w:tr>
      <w:tr>
        <w:trPr/>
        <w:tc>
          <w:tcPr>
            <w:tcW w:w="60" w:type="dxa"/>
            <w:tcBorders>
              <w:bottom w:val="single" w:sz="12" w:space="0" w:color="000000"/>
            </w:tcBorders>
            <w:vAlign w:val="center"/>
          </w:tcPr>
          <w:p>
            <w:pPr>
              <w:pStyle w:val="TableContents"/>
              <w:bidi w:val="0"/>
              <w:spacing w:before="0" w:after="283"/>
              <w:jc w:val="left"/>
              <w:rPr/>
            </w:pPr>
            <w:r>
              <w:rPr/>
              <w:t> </w:t>
            </w:r>
          </w:p>
        </w:tc>
        <w:tc>
          <w:tcPr>
            <w:tcW w:w="1370" w:type="dxa"/>
            <w:tcBorders>
              <w:bottom w:val="single" w:sz="12" w:space="0" w:color="000000"/>
            </w:tcBorders>
            <w:vAlign w:val="center"/>
          </w:tcPr>
          <w:p>
            <w:pPr>
              <w:pStyle w:val="TableContents"/>
              <w:bidi w:val="0"/>
              <w:spacing w:before="0" w:after="283"/>
              <w:jc w:val="left"/>
              <w:rPr/>
            </w:pPr>
            <w:r>
              <w:rPr/>
              <w:t> </w:t>
            </w:r>
          </w:p>
        </w:tc>
        <w:tc>
          <w:tcPr>
            <w:tcW w:w="1025" w:type="dxa"/>
            <w:tcBorders>
              <w:bottom w:val="single" w:sz="12" w:space="0" w:color="000000"/>
            </w:tcBorders>
            <w:vAlign w:val="center"/>
          </w:tcPr>
          <w:p>
            <w:pPr>
              <w:pStyle w:val="TableContents"/>
              <w:bidi w:val="0"/>
              <w:spacing w:before="0" w:after="283"/>
              <w:jc w:val="left"/>
              <w:rPr/>
            </w:pPr>
            <w:r>
              <w:rPr/>
              <w:t> </w:t>
            </w:r>
          </w:p>
        </w:tc>
        <w:tc>
          <w:tcPr>
            <w:tcW w:w="620" w:type="dxa"/>
            <w:tcBorders>
              <w:bottom w:val="single" w:sz="12" w:space="0" w:color="000000"/>
            </w:tcBorders>
            <w:vAlign w:val="center"/>
          </w:tcPr>
          <w:p>
            <w:pPr>
              <w:pStyle w:val="TableContents"/>
              <w:bidi w:val="0"/>
              <w:spacing w:before="0" w:after="283"/>
              <w:jc w:val="left"/>
              <w:rPr/>
            </w:pPr>
            <w:r>
              <w:rPr/>
              <w:t> </w:t>
            </w:r>
          </w:p>
        </w:tc>
        <w:tc>
          <w:tcPr>
            <w:tcW w:w="800" w:type="dxa"/>
            <w:tcBorders>
              <w:bottom w:val="single" w:sz="12" w:space="0" w:color="000000"/>
            </w:tcBorders>
            <w:vAlign w:val="center"/>
          </w:tcPr>
          <w:p>
            <w:pPr>
              <w:pStyle w:val="TableContents"/>
              <w:bidi w:val="0"/>
              <w:spacing w:before="0" w:after="283"/>
              <w:jc w:val="left"/>
              <w:rPr/>
            </w:pPr>
            <w:r>
              <w:rPr/>
              <w:t> </w:t>
            </w:r>
          </w:p>
        </w:tc>
        <w:tc>
          <w:tcPr>
            <w:tcW w:w="1115" w:type="dxa"/>
            <w:tcBorders>
              <w:bottom w:val="single" w:sz="12" w:space="0" w:color="000000"/>
            </w:tcBorders>
            <w:vAlign w:val="center"/>
          </w:tcPr>
          <w:p>
            <w:pPr>
              <w:pStyle w:val="TableContents"/>
              <w:bidi w:val="0"/>
              <w:spacing w:before="0" w:after="283"/>
              <w:jc w:val="left"/>
              <w:rPr/>
            </w:pPr>
            <w:r>
              <w:rPr/>
              <w:t> </w:t>
            </w:r>
          </w:p>
        </w:tc>
        <w:tc>
          <w:tcPr>
            <w:tcW w:w="635" w:type="dxa"/>
            <w:tcBorders>
              <w:bottom w:val="single" w:sz="12" w:space="0" w:color="000000"/>
            </w:tcBorders>
            <w:vAlign w:val="center"/>
          </w:tcPr>
          <w:p>
            <w:pPr>
              <w:pStyle w:val="TableContents"/>
              <w:bidi w:val="0"/>
              <w:spacing w:before="0" w:after="283"/>
              <w:jc w:val="left"/>
              <w:rPr/>
            </w:pPr>
            <w:r>
              <w:rPr/>
              <w:t> </w:t>
            </w:r>
          </w:p>
        </w:tc>
      </w:tr>
      <w:tr>
        <w:trPr/>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left"/>
              <w:rPr/>
            </w:pPr>
            <w:r>
              <w:rPr/>
              <w:t> </w:t>
            </w:r>
          </w:p>
        </w:tc>
        <w:tc>
          <w:tcPr>
            <w:tcW w:w="1025" w:type="dxa"/>
            <w:tcBorders/>
            <w:tcMar>
              <w:bottom w:w="0" w:type="dxa"/>
            </w:tcMar>
            <w:vAlign w:val="center"/>
          </w:tcPr>
          <w:p>
            <w:pPr>
              <w:pStyle w:val="TableContents"/>
              <w:bidi w:val="0"/>
              <w:spacing w:before="0" w:after="283"/>
              <w:jc w:val="left"/>
              <w:rPr/>
            </w:pPr>
            <w:r>
              <w:rPr/>
              <w:t> </w:t>
            </w:r>
          </w:p>
        </w:tc>
        <w:tc>
          <w:tcPr>
            <w:tcW w:w="62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left"/>
              <w:rPr/>
            </w:pPr>
            <w:r>
              <w:rPr/>
              <w:t> </w:t>
            </w:r>
          </w:p>
        </w:tc>
        <w:tc>
          <w:tcPr>
            <w:tcW w:w="1115" w:type="dxa"/>
            <w:tcBorders/>
            <w:tcMar>
              <w:bottom w:w="0" w:type="dxa"/>
            </w:tcMar>
            <w:vAlign w:val="center"/>
          </w:tcPr>
          <w:p>
            <w:pPr>
              <w:pStyle w:val="TableContents"/>
              <w:bidi w:val="0"/>
              <w:spacing w:before="0" w:after="283"/>
              <w:jc w:val="left"/>
              <w:rPr/>
            </w:pPr>
            <w:r>
              <w:rPr/>
              <w:t> </w:t>
            </w:r>
          </w:p>
        </w:tc>
        <w:tc>
          <w:tcPr>
            <w:tcW w:w="635" w:type="dxa"/>
            <w:tcBorders/>
            <w:tcMar>
              <w:bottom w:w="0" w:type="dxa"/>
            </w:tcMar>
            <w:vAlign w:val="center"/>
          </w:tcPr>
          <w:p>
            <w:pPr>
              <w:pStyle w:val="TableContents"/>
              <w:bidi w:val="0"/>
              <w:spacing w:before="0" w:after="283"/>
              <w:jc w:val="left"/>
              <w:rPr/>
            </w:pPr>
            <w:r>
              <w:rPr/>
              <w:t> </w:t>
            </w:r>
          </w:p>
        </w:tc>
      </w:tr>
      <w:tr>
        <w:trPr/>
        <w:tc>
          <w:tcPr>
            <w:tcW w:w="60" w:type="dxa"/>
            <w:tcBorders/>
            <w:tcMar>
              <w:bottom w:w="0" w:type="dxa"/>
            </w:tcMar>
            <w:vAlign w:val="center"/>
          </w:tcPr>
          <w:p>
            <w:pPr>
              <w:pStyle w:val="TableContents"/>
              <w:bidi w:val="0"/>
              <w:spacing w:before="0" w:after="0"/>
              <w:jc w:val="left"/>
              <w:rPr/>
            </w:pPr>
            <w:r>
              <w:rPr/>
              <w:t> </w:t>
            </w:r>
          </w:p>
        </w:tc>
        <w:tc>
          <w:tcPr>
            <w:tcW w:w="1370" w:type="dxa"/>
            <w:tcBorders/>
            <w:tcMar>
              <w:bottom w:w="0" w:type="dxa"/>
            </w:tcMar>
            <w:vAlign w:val="center"/>
          </w:tcPr>
          <w:p>
            <w:pPr>
              <w:pStyle w:val="TableContents"/>
              <w:bidi w:val="0"/>
              <w:spacing w:before="0" w:after="283"/>
              <w:jc w:val="left"/>
              <w:rPr/>
            </w:pPr>
            <w:r>
              <w:rPr/>
              <w:t> </w:t>
            </w:r>
          </w:p>
        </w:tc>
        <w:tc>
          <w:tcPr>
            <w:tcW w:w="1025" w:type="dxa"/>
            <w:tcBorders/>
            <w:tcMar>
              <w:bottom w:w="0" w:type="dxa"/>
            </w:tcMar>
            <w:vAlign w:val="center"/>
          </w:tcPr>
          <w:p>
            <w:pPr>
              <w:pStyle w:val="TableContents"/>
              <w:bidi w:val="0"/>
              <w:spacing w:before="0" w:after="0"/>
              <w:jc w:val="left"/>
              <w:rPr>
                <w:sz w:val="20"/>
              </w:rPr>
            </w:pPr>
            <w:r>
              <w:rPr>
                <w:sz w:val="20"/>
              </w:rPr>
              <w:t>Viability</w:t>
            </w:r>
          </w:p>
        </w:tc>
        <w:tc>
          <w:tcPr>
            <w:tcW w:w="620" w:type="dxa"/>
            <w:tcBorders/>
            <w:tcMar>
              <w:bottom w:w="0" w:type="dxa"/>
            </w:tcMar>
            <w:vAlign w:val="center"/>
          </w:tcPr>
          <w:p>
            <w:pPr>
              <w:pStyle w:val="TableContents"/>
              <w:bidi w:val="0"/>
              <w:spacing w:before="0" w:after="0"/>
              <w:jc w:val="left"/>
              <w:rPr>
                <w:sz w:val="20"/>
              </w:rPr>
            </w:pPr>
            <w:r>
              <w:rPr>
                <w:sz w:val="20"/>
              </w:rPr>
              <w:t>bbb</w:t>
            </w:r>
          </w:p>
        </w:tc>
        <w:tc>
          <w:tcPr>
            <w:tcW w:w="800" w:type="dxa"/>
            <w:tcBorders/>
            <w:tcMar>
              <w:bottom w:w="0" w:type="dxa"/>
            </w:tcMar>
            <w:vAlign w:val="center"/>
          </w:tcPr>
          <w:p>
            <w:pPr>
              <w:pStyle w:val="TableContents"/>
              <w:bidi w:val="0"/>
              <w:spacing w:before="0" w:after="0"/>
              <w:jc w:val="left"/>
              <w:rPr>
                <w:sz w:val="20"/>
              </w:rPr>
            </w:pPr>
            <w:r>
              <w:rPr>
                <w:sz w:val="20"/>
              </w:rPr>
              <w:t>Affirmed</w:t>
            </w:r>
          </w:p>
        </w:tc>
        <w:tc>
          <w:tcPr>
            <w:tcW w:w="1115" w:type="dxa"/>
            <w:tcBorders/>
            <w:tcMar>
              <w:bottom w:w="0" w:type="dxa"/>
            </w:tcMar>
            <w:vAlign w:val="center"/>
          </w:tcPr>
          <w:p>
            <w:pPr>
              <w:pStyle w:val="TableContents"/>
              <w:bidi w:val="0"/>
              <w:spacing w:before="0" w:after="283"/>
              <w:jc w:val="left"/>
              <w:rPr/>
            </w:pPr>
            <w:r>
              <w:rPr/>
              <w:t> </w:t>
            </w:r>
          </w:p>
        </w:tc>
        <w:tc>
          <w:tcPr>
            <w:tcW w:w="635" w:type="dxa"/>
            <w:tcBorders/>
            <w:tcMar>
              <w:bottom w:w="0" w:type="dxa"/>
            </w:tcMar>
            <w:vAlign w:val="center"/>
          </w:tcPr>
          <w:p>
            <w:pPr>
              <w:pStyle w:val="TableContents"/>
              <w:bidi w:val="0"/>
              <w:spacing w:before="0" w:after="0"/>
              <w:jc w:val="left"/>
              <w:rPr>
                <w:sz w:val="20"/>
              </w:rPr>
            </w:pPr>
            <w:r>
              <w:rPr>
                <w:sz w:val="20"/>
              </w:rPr>
              <w:t>bbb</w:t>
            </w:r>
          </w:p>
        </w:tc>
      </w:tr>
      <w:tr>
        <w:trPr/>
        <w:tc>
          <w:tcPr>
            <w:tcW w:w="60" w:type="dxa"/>
            <w:tcBorders>
              <w:bottom w:val="single" w:sz="12" w:space="0" w:color="000000"/>
            </w:tcBorders>
            <w:vAlign w:val="center"/>
          </w:tcPr>
          <w:p>
            <w:pPr>
              <w:pStyle w:val="TableContents"/>
              <w:bidi w:val="0"/>
              <w:spacing w:before="0" w:after="283"/>
              <w:jc w:val="left"/>
              <w:rPr/>
            </w:pPr>
            <w:r>
              <w:rPr/>
              <w:t> </w:t>
            </w:r>
          </w:p>
        </w:tc>
        <w:tc>
          <w:tcPr>
            <w:tcW w:w="1370" w:type="dxa"/>
            <w:tcBorders>
              <w:bottom w:val="single" w:sz="12" w:space="0" w:color="000000"/>
            </w:tcBorders>
            <w:vAlign w:val="center"/>
          </w:tcPr>
          <w:p>
            <w:pPr>
              <w:pStyle w:val="TableContents"/>
              <w:bidi w:val="0"/>
              <w:spacing w:before="0" w:after="283"/>
              <w:jc w:val="left"/>
              <w:rPr/>
            </w:pPr>
            <w:r>
              <w:rPr/>
              <w:t> </w:t>
            </w:r>
          </w:p>
        </w:tc>
        <w:tc>
          <w:tcPr>
            <w:tcW w:w="1025" w:type="dxa"/>
            <w:tcBorders>
              <w:bottom w:val="single" w:sz="12" w:space="0" w:color="000000"/>
            </w:tcBorders>
            <w:vAlign w:val="center"/>
          </w:tcPr>
          <w:p>
            <w:pPr>
              <w:pStyle w:val="TableContents"/>
              <w:bidi w:val="0"/>
              <w:spacing w:before="0" w:after="283"/>
              <w:jc w:val="left"/>
              <w:rPr/>
            </w:pPr>
            <w:r>
              <w:rPr/>
              <w:t> </w:t>
            </w:r>
          </w:p>
        </w:tc>
        <w:tc>
          <w:tcPr>
            <w:tcW w:w="620" w:type="dxa"/>
            <w:tcBorders>
              <w:bottom w:val="single" w:sz="12" w:space="0" w:color="000000"/>
            </w:tcBorders>
            <w:vAlign w:val="center"/>
          </w:tcPr>
          <w:p>
            <w:pPr>
              <w:pStyle w:val="TableContents"/>
              <w:bidi w:val="0"/>
              <w:spacing w:before="0" w:after="283"/>
              <w:jc w:val="left"/>
              <w:rPr/>
            </w:pPr>
            <w:r>
              <w:rPr/>
              <w:t> </w:t>
            </w:r>
          </w:p>
        </w:tc>
        <w:tc>
          <w:tcPr>
            <w:tcW w:w="800" w:type="dxa"/>
            <w:tcBorders>
              <w:bottom w:val="single" w:sz="12" w:space="0" w:color="000000"/>
            </w:tcBorders>
            <w:vAlign w:val="center"/>
          </w:tcPr>
          <w:p>
            <w:pPr>
              <w:pStyle w:val="TableContents"/>
              <w:bidi w:val="0"/>
              <w:spacing w:before="0" w:after="283"/>
              <w:jc w:val="left"/>
              <w:rPr/>
            </w:pPr>
            <w:r>
              <w:rPr/>
              <w:t> </w:t>
            </w:r>
          </w:p>
        </w:tc>
        <w:tc>
          <w:tcPr>
            <w:tcW w:w="1115" w:type="dxa"/>
            <w:tcBorders>
              <w:bottom w:val="single" w:sz="12" w:space="0" w:color="000000"/>
            </w:tcBorders>
            <w:vAlign w:val="center"/>
          </w:tcPr>
          <w:p>
            <w:pPr>
              <w:pStyle w:val="TableContents"/>
              <w:bidi w:val="0"/>
              <w:spacing w:before="0" w:after="283"/>
              <w:jc w:val="left"/>
              <w:rPr/>
            </w:pPr>
            <w:r>
              <w:rPr/>
              <w:t> </w:t>
            </w:r>
          </w:p>
        </w:tc>
        <w:tc>
          <w:tcPr>
            <w:tcW w:w="635" w:type="dxa"/>
            <w:tcBorders>
              <w:bottom w:val="single" w:sz="12" w:space="0" w:color="000000"/>
            </w:tcBorders>
            <w:vAlign w:val="center"/>
          </w:tcPr>
          <w:p>
            <w:pPr>
              <w:pStyle w:val="TableContents"/>
              <w:bidi w:val="0"/>
              <w:spacing w:before="0" w:after="283"/>
              <w:jc w:val="left"/>
              <w:rPr/>
            </w:pPr>
            <w:r>
              <w:rPr/>
              <w:t> </w:t>
            </w:r>
          </w:p>
        </w:tc>
      </w:tr>
      <w:tr>
        <w:trPr/>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left"/>
              <w:rPr/>
            </w:pPr>
            <w:r>
              <w:rPr/>
              <w:t> </w:t>
            </w:r>
          </w:p>
        </w:tc>
        <w:tc>
          <w:tcPr>
            <w:tcW w:w="1025" w:type="dxa"/>
            <w:tcBorders/>
            <w:tcMar>
              <w:bottom w:w="0" w:type="dxa"/>
            </w:tcMar>
            <w:vAlign w:val="center"/>
          </w:tcPr>
          <w:p>
            <w:pPr>
              <w:pStyle w:val="TableContents"/>
              <w:bidi w:val="0"/>
              <w:spacing w:before="0" w:after="283"/>
              <w:jc w:val="left"/>
              <w:rPr/>
            </w:pPr>
            <w:r>
              <w:rPr/>
              <w:t> </w:t>
            </w:r>
          </w:p>
        </w:tc>
        <w:tc>
          <w:tcPr>
            <w:tcW w:w="62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left"/>
              <w:rPr/>
            </w:pPr>
            <w:r>
              <w:rPr/>
              <w:t> </w:t>
            </w:r>
          </w:p>
        </w:tc>
        <w:tc>
          <w:tcPr>
            <w:tcW w:w="1115" w:type="dxa"/>
            <w:tcBorders/>
            <w:tcMar>
              <w:bottom w:w="0" w:type="dxa"/>
            </w:tcMar>
            <w:vAlign w:val="center"/>
          </w:tcPr>
          <w:p>
            <w:pPr>
              <w:pStyle w:val="TableContents"/>
              <w:bidi w:val="0"/>
              <w:spacing w:before="0" w:after="283"/>
              <w:jc w:val="left"/>
              <w:rPr/>
            </w:pPr>
            <w:r>
              <w:rPr/>
              <w:t> </w:t>
            </w:r>
          </w:p>
        </w:tc>
        <w:tc>
          <w:tcPr>
            <w:tcW w:w="635" w:type="dxa"/>
            <w:tcBorders/>
            <w:tcMar>
              <w:bottom w:w="0" w:type="dxa"/>
            </w:tcMar>
            <w:vAlign w:val="center"/>
          </w:tcPr>
          <w:p>
            <w:pPr>
              <w:pStyle w:val="TableContents"/>
              <w:bidi w:val="0"/>
              <w:spacing w:before="0" w:after="283"/>
              <w:jc w:val="left"/>
              <w:rPr/>
            </w:pPr>
            <w:r>
              <w:rPr/>
              <w:t> </w:t>
            </w:r>
          </w:p>
        </w:tc>
      </w:tr>
      <w:tr>
        <w:trPr/>
        <w:tc>
          <w:tcPr>
            <w:tcW w:w="60" w:type="dxa"/>
            <w:tcBorders/>
            <w:tcMar>
              <w:bottom w:w="0" w:type="dxa"/>
            </w:tcMar>
            <w:vAlign w:val="center"/>
          </w:tcPr>
          <w:p>
            <w:pPr>
              <w:pStyle w:val="TableContents"/>
              <w:bidi w:val="0"/>
              <w:spacing w:before="0" w:after="0"/>
              <w:jc w:val="left"/>
              <w:rPr/>
            </w:pPr>
            <w:r>
              <w:rPr/>
              <w:t> </w:t>
            </w:r>
          </w:p>
        </w:tc>
        <w:tc>
          <w:tcPr>
            <w:tcW w:w="1370" w:type="dxa"/>
            <w:tcBorders/>
            <w:tcMar>
              <w:bottom w:w="0" w:type="dxa"/>
            </w:tcMar>
            <w:vAlign w:val="center"/>
          </w:tcPr>
          <w:p>
            <w:pPr>
              <w:pStyle w:val="TableContents"/>
              <w:bidi w:val="0"/>
              <w:spacing w:before="0" w:after="283"/>
              <w:jc w:val="left"/>
              <w:rPr/>
            </w:pPr>
            <w:r>
              <w:rPr/>
              <w:t> </w:t>
            </w:r>
          </w:p>
        </w:tc>
        <w:tc>
          <w:tcPr>
            <w:tcW w:w="1025" w:type="dxa"/>
            <w:tcBorders/>
            <w:tcMar>
              <w:bottom w:w="0" w:type="dxa"/>
            </w:tcMar>
            <w:vAlign w:val="center"/>
          </w:tcPr>
          <w:p>
            <w:pPr>
              <w:pStyle w:val="TableContents"/>
              <w:bidi w:val="0"/>
              <w:spacing w:before="0" w:after="0"/>
              <w:jc w:val="left"/>
              <w:rPr>
                <w:sz w:val="20"/>
              </w:rPr>
            </w:pPr>
            <w:r>
              <w:rPr>
                <w:sz w:val="20"/>
              </w:rPr>
              <w:t>Government</w:t>
            </w:r>
          </w:p>
          <w:p>
            <w:pPr>
              <w:pStyle w:val="TableContents"/>
              <w:bidi w:val="0"/>
              <w:spacing w:before="0" w:after="0"/>
              <w:jc w:val="left"/>
              <w:rPr>
                <w:sz w:val="20"/>
              </w:rPr>
            </w:pPr>
            <w:r>
              <w:rPr>
                <w:sz w:val="20"/>
              </w:rPr>
              <w:t>Support</w:t>
            </w:r>
          </w:p>
        </w:tc>
        <w:tc>
          <w:tcPr>
            <w:tcW w:w="620" w:type="dxa"/>
            <w:tcBorders/>
            <w:tcMar>
              <w:bottom w:w="0" w:type="dxa"/>
            </w:tcMar>
            <w:vAlign w:val="center"/>
          </w:tcPr>
          <w:p>
            <w:pPr>
              <w:pStyle w:val="TableContents"/>
              <w:bidi w:val="0"/>
              <w:spacing w:before="0" w:after="0"/>
              <w:jc w:val="left"/>
              <w:rPr>
                <w:sz w:val="20"/>
              </w:rPr>
            </w:pPr>
            <w:r>
              <w:rPr>
                <w:sz w:val="20"/>
              </w:rPr>
              <w:t>bbb-</w:t>
            </w:r>
          </w:p>
        </w:tc>
        <w:tc>
          <w:tcPr>
            <w:tcW w:w="800" w:type="dxa"/>
            <w:tcBorders/>
            <w:tcMar>
              <w:bottom w:w="0" w:type="dxa"/>
            </w:tcMar>
            <w:vAlign w:val="center"/>
          </w:tcPr>
          <w:p>
            <w:pPr>
              <w:pStyle w:val="TableContents"/>
              <w:bidi w:val="0"/>
              <w:spacing w:before="0" w:after="0"/>
              <w:jc w:val="left"/>
              <w:rPr>
                <w:sz w:val="20"/>
              </w:rPr>
            </w:pPr>
            <w:r>
              <w:rPr>
                <w:sz w:val="20"/>
              </w:rPr>
              <w:t>Affirmed</w:t>
            </w:r>
          </w:p>
        </w:tc>
        <w:tc>
          <w:tcPr>
            <w:tcW w:w="1115" w:type="dxa"/>
            <w:tcBorders/>
            <w:tcMar>
              <w:bottom w:w="0" w:type="dxa"/>
            </w:tcMar>
            <w:vAlign w:val="center"/>
          </w:tcPr>
          <w:p>
            <w:pPr>
              <w:pStyle w:val="TableContents"/>
              <w:bidi w:val="0"/>
              <w:spacing w:before="0" w:after="283"/>
              <w:jc w:val="left"/>
              <w:rPr/>
            </w:pPr>
            <w:r>
              <w:rPr/>
              <w:t> </w:t>
            </w:r>
          </w:p>
        </w:tc>
        <w:tc>
          <w:tcPr>
            <w:tcW w:w="635" w:type="dxa"/>
            <w:tcBorders/>
            <w:tcMar>
              <w:bottom w:w="0" w:type="dxa"/>
            </w:tcMar>
            <w:vAlign w:val="center"/>
          </w:tcPr>
          <w:p>
            <w:pPr>
              <w:pStyle w:val="TableContents"/>
              <w:bidi w:val="0"/>
              <w:spacing w:before="0" w:after="0"/>
              <w:jc w:val="left"/>
              <w:rPr>
                <w:sz w:val="20"/>
              </w:rPr>
            </w:pPr>
            <w:r>
              <w:rPr>
                <w:sz w:val="20"/>
              </w:rPr>
              <w:t>bbb-</w:t>
            </w:r>
          </w:p>
        </w:tc>
      </w:tr>
      <w:tr>
        <w:trPr/>
        <w:tc>
          <w:tcPr>
            <w:tcW w:w="60" w:type="dxa"/>
            <w:tcBorders/>
            <w:tcMar>
              <w:bottom w:w="0" w:type="dxa"/>
            </w:tcMar>
            <w:vAlign w:val="center"/>
          </w:tcPr>
          <w:p>
            <w:pPr>
              <w:pStyle w:val="TableContents"/>
              <w:bidi w:val="0"/>
              <w:spacing w:before="0" w:after="283"/>
              <w:jc w:val="left"/>
              <w:rPr/>
            </w:pPr>
            <w:r>
              <w:rPr/>
              <w:t> </w:t>
            </w:r>
          </w:p>
        </w:tc>
        <w:tc>
          <w:tcPr>
            <w:tcW w:w="1370" w:type="dxa"/>
            <w:tcBorders>
              <w:bottom w:val="single" w:sz="12" w:space="0" w:color="000000"/>
            </w:tcBorders>
            <w:vAlign w:val="center"/>
          </w:tcPr>
          <w:p>
            <w:pPr>
              <w:pStyle w:val="TableContents"/>
              <w:bidi w:val="0"/>
              <w:spacing w:before="0" w:after="283"/>
              <w:jc w:val="left"/>
              <w:rPr/>
            </w:pPr>
            <w:r>
              <w:rPr/>
              <w:t> </w:t>
            </w:r>
          </w:p>
        </w:tc>
        <w:tc>
          <w:tcPr>
            <w:tcW w:w="1025" w:type="dxa"/>
            <w:tcBorders>
              <w:bottom w:val="single" w:sz="12" w:space="0" w:color="000000"/>
            </w:tcBorders>
            <w:vAlign w:val="center"/>
          </w:tcPr>
          <w:p>
            <w:pPr>
              <w:pStyle w:val="TableContents"/>
              <w:bidi w:val="0"/>
              <w:spacing w:before="0" w:after="283"/>
              <w:jc w:val="left"/>
              <w:rPr/>
            </w:pPr>
            <w:r>
              <w:rPr/>
              <w:t> </w:t>
            </w:r>
          </w:p>
        </w:tc>
        <w:tc>
          <w:tcPr>
            <w:tcW w:w="620" w:type="dxa"/>
            <w:tcBorders>
              <w:bottom w:val="single" w:sz="12" w:space="0" w:color="000000"/>
            </w:tcBorders>
            <w:vAlign w:val="center"/>
          </w:tcPr>
          <w:p>
            <w:pPr>
              <w:pStyle w:val="TableContents"/>
              <w:bidi w:val="0"/>
              <w:spacing w:before="0" w:after="283"/>
              <w:jc w:val="left"/>
              <w:rPr/>
            </w:pPr>
            <w:r>
              <w:rPr/>
              <w:t> </w:t>
            </w:r>
          </w:p>
        </w:tc>
        <w:tc>
          <w:tcPr>
            <w:tcW w:w="800" w:type="dxa"/>
            <w:tcBorders>
              <w:bottom w:val="single" w:sz="12" w:space="0" w:color="000000"/>
            </w:tcBorders>
            <w:vAlign w:val="center"/>
          </w:tcPr>
          <w:p>
            <w:pPr>
              <w:pStyle w:val="TableContents"/>
              <w:bidi w:val="0"/>
              <w:spacing w:before="0" w:after="283"/>
              <w:jc w:val="left"/>
              <w:rPr/>
            </w:pPr>
            <w:r>
              <w:rPr/>
              <w:t> </w:t>
            </w:r>
          </w:p>
        </w:tc>
        <w:tc>
          <w:tcPr>
            <w:tcW w:w="1115" w:type="dxa"/>
            <w:tcBorders>
              <w:bottom w:val="single" w:sz="12" w:space="0" w:color="000000"/>
            </w:tcBorders>
            <w:vAlign w:val="center"/>
          </w:tcPr>
          <w:p>
            <w:pPr>
              <w:pStyle w:val="TableContents"/>
              <w:bidi w:val="0"/>
              <w:spacing w:before="0" w:after="283"/>
              <w:jc w:val="left"/>
              <w:rPr/>
            </w:pPr>
            <w:r>
              <w:rPr/>
              <w:t> </w:t>
            </w:r>
          </w:p>
        </w:tc>
        <w:tc>
          <w:tcPr>
            <w:tcW w:w="635" w:type="dxa"/>
            <w:tcBorders>
              <w:bottom w:val="single" w:sz="12" w:space="0" w:color="000000"/>
            </w:tcBorders>
            <w:vAlign w:val="center"/>
          </w:tcPr>
          <w:p>
            <w:pPr>
              <w:pStyle w:val="TableContents"/>
              <w:bidi w:val="0"/>
              <w:spacing w:before="0" w:after="283"/>
              <w:jc w:val="left"/>
              <w:rPr/>
            </w:pPr>
            <w:r>
              <w:rPr/>
              <w:t> </w:t>
            </w:r>
          </w:p>
        </w:tc>
      </w:tr>
      <w:tr>
        <w:trPr/>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left"/>
              <w:rPr/>
            </w:pPr>
            <w:r>
              <w:rPr/>
              <w:t> </w:t>
            </w:r>
          </w:p>
        </w:tc>
        <w:tc>
          <w:tcPr>
            <w:tcW w:w="1025" w:type="dxa"/>
            <w:tcBorders/>
            <w:tcMar>
              <w:bottom w:w="0" w:type="dxa"/>
            </w:tcMar>
            <w:vAlign w:val="center"/>
          </w:tcPr>
          <w:p>
            <w:pPr>
              <w:pStyle w:val="TableContents"/>
              <w:bidi w:val="0"/>
              <w:spacing w:before="0" w:after="283"/>
              <w:jc w:val="left"/>
              <w:rPr/>
            </w:pPr>
            <w:r>
              <w:rPr/>
              <w:t> </w:t>
            </w:r>
          </w:p>
        </w:tc>
        <w:tc>
          <w:tcPr>
            <w:tcW w:w="62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left"/>
              <w:rPr/>
            </w:pPr>
            <w:r>
              <w:rPr/>
              <w:t> </w:t>
            </w:r>
          </w:p>
        </w:tc>
        <w:tc>
          <w:tcPr>
            <w:tcW w:w="1115" w:type="dxa"/>
            <w:tcBorders/>
            <w:tcMar>
              <w:bottom w:w="0" w:type="dxa"/>
            </w:tcMar>
            <w:vAlign w:val="center"/>
          </w:tcPr>
          <w:p>
            <w:pPr>
              <w:pStyle w:val="TableContents"/>
              <w:bidi w:val="0"/>
              <w:spacing w:before="0" w:after="283"/>
              <w:jc w:val="left"/>
              <w:rPr/>
            </w:pPr>
            <w:r>
              <w:rPr/>
              <w:t> </w:t>
            </w:r>
          </w:p>
        </w:tc>
        <w:tc>
          <w:tcPr>
            <w:tcW w:w="635" w:type="dxa"/>
            <w:tcBorders/>
            <w:tcMar>
              <w:bottom w:w="0" w:type="dxa"/>
            </w:tcMar>
            <w:vAlign w:val="center"/>
          </w:tcPr>
          <w:p>
            <w:pPr>
              <w:pStyle w:val="TableContents"/>
              <w:bidi w:val="0"/>
              <w:spacing w:before="0" w:after="283"/>
              <w:jc w:val="left"/>
              <w:rPr/>
            </w:pPr>
            <w:r>
              <w:rPr/>
              <w:t> </w:t>
            </w:r>
          </w:p>
        </w:tc>
      </w:tr>
      <w:tr>
        <w:trPr/>
        <w:tc>
          <w:tcPr>
            <w:tcW w:w="60" w:type="dxa"/>
            <w:tcBorders/>
            <w:tcMar>
              <w:bottom w:w="0" w:type="dxa"/>
            </w:tcMar>
            <w:vAlign w:val="center"/>
          </w:tcPr>
          <w:p>
            <w:pPr>
              <w:pStyle w:val="TableContents"/>
              <w:bidi w:val="0"/>
              <w:spacing w:before="0" w:after="0"/>
              <w:jc w:val="left"/>
              <w:rPr/>
            </w:pPr>
            <w:r>
              <w:rPr/>
              <w:t> </w:t>
            </w:r>
          </w:p>
        </w:tc>
        <w:tc>
          <w:tcPr>
            <w:tcW w:w="1370" w:type="dxa"/>
            <w:tcBorders/>
            <w:tcMar>
              <w:bottom w:w="0" w:type="dxa"/>
            </w:tcMar>
            <w:vAlign w:val="center"/>
          </w:tcPr>
          <w:p>
            <w:pPr>
              <w:pStyle w:val="TableContents"/>
              <w:bidi w:val="0"/>
              <w:spacing w:before="0" w:after="0"/>
              <w:jc w:val="left"/>
              <w:rPr>
                <w:sz w:val="20"/>
              </w:rPr>
            </w:pPr>
            <w:r>
              <w:rPr>
                <w:sz w:val="20"/>
              </w:rPr>
              <w:t>Banco de</w:t>
            </w:r>
          </w:p>
          <w:p>
            <w:pPr>
              <w:pStyle w:val="TableContents"/>
              <w:bidi w:val="0"/>
              <w:spacing w:before="0" w:after="0"/>
              <w:jc w:val="left"/>
              <w:rPr>
                <w:sz w:val="20"/>
              </w:rPr>
            </w:pPr>
            <w:r>
              <w:rPr>
                <w:sz w:val="20"/>
              </w:rPr>
              <w:t>Credito del</w:t>
            </w:r>
          </w:p>
          <w:p>
            <w:pPr>
              <w:pStyle w:val="TableContents"/>
              <w:bidi w:val="0"/>
              <w:spacing w:before="0" w:after="0"/>
              <w:jc w:val="left"/>
              <w:rPr>
                <w:sz w:val="20"/>
              </w:rPr>
            </w:pPr>
            <w:r>
              <w:rPr>
                <w:sz w:val="20"/>
              </w:rPr>
              <w:t>Peru S.A.</w:t>
            </w:r>
          </w:p>
        </w:tc>
        <w:tc>
          <w:tcPr>
            <w:tcW w:w="1025" w:type="dxa"/>
            <w:tcBorders/>
            <w:tcMar>
              <w:bottom w:w="0" w:type="dxa"/>
            </w:tcMar>
            <w:vAlign w:val="center"/>
          </w:tcPr>
          <w:p>
            <w:pPr>
              <w:pStyle w:val="TableContents"/>
              <w:bidi w:val="0"/>
              <w:spacing w:before="0" w:after="0"/>
              <w:jc w:val="left"/>
              <w:rPr>
                <w:sz w:val="20"/>
              </w:rPr>
            </w:pPr>
            <w:r>
              <w:rPr>
                <w:sz w:val="20"/>
              </w:rPr>
              <w:t>LT IDR</w:t>
            </w:r>
          </w:p>
        </w:tc>
        <w:tc>
          <w:tcPr>
            <w:tcW w:w="620" w:type="dxa"/>
            <w:tcBorders/>
            <w:tcMar>
              <w:bottom w:w="0" w:type="dxa"/>
            </w:tcMar>
            <w:vAlign w:val="center"/>
          </w:tcPr>
          <w:p>
            <w:pPr>
              <w:pStyle w:val="TableContents"/>
              <w:bidi w:val="0"/>
              <w:spacing w:before="0" w:after="0"/>
              <w:jc w:val="left"/>
              <w:rPr>
                <w:sz w:val="20"/>
              </w:rPr>
            </w:pPr>
            <w:r>
              <w:rPr>
                <w:sz w:val="20"/>
              </w:rPr>
              <w:t xml:space="preserve">BBB </w:t>
            </w:r>
            <w:r>
              <w:rPr>
                <w:sz w:val="20"/>
              </w:rPr>
              <w:drawing>
                <wp:inline distT="0" distB="0" distL="0" distR="0">
                  <wp:extent cx="95250" cy="9525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95250" cy="95250"/>
                          </a:xfrm>
                          <a:prstGeom prst="rect">
                            <a:avLst/>
                          </a:prstGeom>
                        </pic:spPr>
                      </pic:pic>
                    </a:graphicData>
                  </a:graphic>
                </wp:inline>
              </w:drawing>
            </w:r>
          </w:p>
        </w:tc>
        <w:tc>
          <w:tcPr>
            <w:tcW w:w="800" w:type="dxa"/>
            <w:tcBorders/>
            <w:tcMar>
              <w:bottom w:w="0" w:type="dxa"/>
            </w:tcMar>
            <w:vAlign w:val="center"/>
          </w:tcPr>
          <w:p>
            <w:pPr>
              <w:pStyle w:val="TableContents"/>
              <w:bidi w:val="0"/>
              <w:spacing w:before="0" w:after="0"/>
              <w:jc w:val="left"/>
              <w:rPr/>
            </w:pPr>
            <w:r>
              <w:rPr/>
              <w:t> </w:t>
            </w:r>
            <w:r>
              <w:rPr>
                <w:sz w:val="20"/>
              </w:rPr>
              <w:t>Affirmed</w:t>
            </w:r>
          </w:p>
        </w:tc>
        <w:tc>
          <w:tcPr>
            <w:tcW w:w="1115" w:type="dxa"/>
            <w:tcBorders/>
            <w:tcMar>
              <w:bottom w:w="0" w:type="dxa"/>
            </w:tcMar>
            <w:vAlign w:val="center"/>
          </w:tcPr>
          <w:p>
            <w:pPr>
              <w:pStyle w:val="TableContents"/>
              <w:bidi w:val="0"/>
              <w:spacing w:before="0" w:after="283"/>
              <w:jc w:val="left"/>
              <w:rPr/>
            </w:pPr>
            <w:r>
              <w:rPr/>
              <w:t> </w:t>
            </w:r>
          </w:p>
        </w:tc>
        <w:tc>
          <w:tcPr>
            <w:tcW w:w="635" w:type="dxa"/>
            <w:tcBorders/>
            <w:tcMar>
              <w:bottom w:w="0" w:type="dxa"/>
            </w:tcMar>
            <w:vAlign w:val="center"/>
          </w:tcPr>
          <w:p>
            <w:pPr>
              <w:pStyle w:val="TableContents"/>
              <w:bidi w:val="0"/>
              <w:spacing w:before="0" w:after="0"/>
              <w:jc w:val="left"/>
              <w:rPr>
                <w:sz w:val="20"/>
              </w:rPr>
            </w:pPr>
            <w:r>
              <w:rPr>
                <w:sz w:val="20"/>
              </w:rPr>
              <w:t xml:space="preserve">BBB </w:t>
            </w:r>
            <w:r>
              <w:rPr>
                <w:sz w:val="20"/>
              </w:rPr>
              <w:drawing>
                <wp:inline distT="0" distB="0" distL="0" distR="0">
                  <wp:extent cx="95250" cy="9525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95250" cy="95250"/>
                          </a:xfrm>
                          <a:prstGeom prst="rect">
                            <a:avLst/>
                          </a:prstGeom>
                        </pic:spPr>
                      </pic:pic>
                    </a:graphicData>
                  </a:graphic>
                </wp:inline>
              </w:drawing>
            </w:r>
          </w:p>
        </w:tc>
      </w:tr>
      <w:tr>
        <w:trPr/>
        <w:tc>
          <w:tcPr>
            <w:tcW w:w="60" w:type="dxa"/>
            <w:tcBorders/>
            <w:tcMar>
              <w:bottom w:w="0" w:type="dxa"/>
            </w:tcMar>
            <w:vAlign w:val="center"/>
          </w:tcPr>
          <w:p>
            <w:pPr>
              <w:pStyle w:val="TableContents"/>
              <w:bidi w:val="0"/>
              <w:spacing w:before="0" w:after="283"/>
              <w:jc w:val="left"/>
              <w:rPr/>
            </w:pPr>
            <w:r>
              <w:rPr/>
              <w:t> </w:t>
            </w:r>
          </w:p>
        </w:tc>
        <w:tc>
          <w:tcPr>
            <w:tcW w:w="1370" w:type="dxa"/>
            <w:tcBorders>
              <w:bottom w:val="single" w:sz="12" w:space="0" w:color="000000"/>
            </w:tcBorders>
            <w:vAlign w:val="center"/>
          </w:tcPr>
          <w:p>
            <w:pPr>
              <w:pStyle w:val="TableContents"/>
              <w:bidi w:val="0"/>
              <w:spacing w:before="0" w:after="283"/>
              <w:jc w:val="left"/>
              <w:rPr/>
            </w:pPr>
            <w:r>
              <w:rPr/>
              <w:t> </w:t>
            </w:r>
          </w:p>
        </w:tc>
        <w:tc>
          <w:tcPr>
            <w:tcW w:w="1025" w:type="dxa"/>
            <w:tcBorders>
              <w:bottom w:val="single" w:sz="12" w:space="0" w:color="000000"/>
            </w:tcBorders>
            <w:vAlign w:val="center"/>
          </w:tcPr>
          <w:p>
            <w:pPr>
              <w:pStyle w:val="TableContents"/>
              <w:bidi w:val="0"/>
              <w:spacing w:before="0" w:after="283"/>
              <w:jc w:val="left"/>
              <w:rPr/>
            </w:pPr>
            <w:r>
              <w:rPr/>
              <w:t> </w:t>
            </w:r>
          </w:p>
        </w:tc>
        <w:tc>
          <w:tcPr>
            <w:tcW w:w="620" w:type="dxa"/>
            <w:tcBorders>
              <w:bottom w:val="single" w:sz="12" w:space="0" w:color="000000"/>
            </w:tcBorders>
            <w:vAlign w:val="center"/>
          </w:tcPr>
          <w:p>
            <w:pPr>
              <w:pStyle w:val="TableContents"/>
              <w:bidi w:val="0"/>
              <w:spacing w:before="0" w:after="283"/>
              <w:jc w:val="left"/>
              <w:rPr/>
            </w:pPr>
            <w:r>
              <w:rPr/>
              <w:t> </w:t>
            </w:r>
          </w:p>
        </w:tc>
        <w:tc>
          <w:tcPr>
            <w:tcW w:w="800" w:type="dxa"/>
            <w:tcBorders>
              <w:bottom w:val="single" w:sz="12" w:space="0" w:color="000000"/>
            </w:tcBorders>
            <w:vAlign w:val="center"/>
          </w:tcPr>
          <w:p>
            <w:pPr>
              <w:pStyle w:val="TableContents"/>
              <w:bidi w:val="0"/>
              <w:spacing w:before="0" w:after="283"/>
              <w:jc w:val="left"/>
              <w:rPr/>
            </w:pPr>
            <w:r>
              <w:rPr/>
              <w:t> </w:t>
            </w:r>
          </w:p>
        </w:tc>
        <w:tc>
          <w:tcPr>
            <w:tcW w:w="1115" w:type="dxa"/>
            <w:tcBorders>
              <w:bottom w:val="single" w:sz="12" w:space="0" w:color="000000"/>
            </w:tcBorders>
            <w:vAlign w:val="center"/>
          </w:tcPr>
          <w:p>
            <w:pPr>
              <w:pStyle w:val="TableContents"/>
              <w:bidi w:val="0"/>
              <w:spacing w:before="0" w:after="283"/>
              <w:jc w:val="left"/>
              <w:rPr/>
            </w:pPr>
            <w:r>
              <w:rPr/>
              <w:t> </w:t>
            </w:r>
          </w:p>
        </w:tc>
        <w:tc>
          <w:tcPr>
            <w:tcW w:w="635" w:type="dxa"/>
            <w:tcBorders>
              <w:bottom w:val="single" w:sz="12" w:space="0" w:color="000000"/>
            </w:tcBorders>
            <w:vAlign w:val="center"/>
          </w:tcPr>
          <w:p>
            <w:pPr>
              <w:pStyle w:val="TableContents"/>
              <w:bidi w:val="0"/>
              <w:spacing w:before="0" w:after="283"/>
              <w:jc w:val="left"/>
              <w:rPr/>
            </w:pPr>
            <w:r>
              <w:rPr/>
              <w:t> </w:t>
            </w:r>
          </w:p>
        </w:tc>
      </w:tr>
      <w:tr>
        <w:trPr/>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left"/>
              <w:rPr/>
            </w:pPr>
            <w:r>
              <w:rPr/>
              <w:t> </w:t>
            </w:r>
          </w:p>
        </w:tc>
        <w:tc>
          <w:tcPr>
            <w:tcW w:w="1025" w:type="dxa"/>
            <w:tcBorders/>
            <w:tcMar>
              <w:bottom w:w="0" w:type="dxa"/>
            </w:tcMar>
            <w:vAlign w:val="center"/>
          </w:tcPr>
          <w:p>
            <w:pPr>
              <w:pStyle w:val="TableContents"/>
              <w:bidi w:val="0"/>
              <w:spacing w:before="0" w:after="283"/>
              <w:jc w:val="left"/>
              <w:rPr/>
            </w:pPr>
            <w:r>
              <w:rPr/>
              <w:t> </w:t>
            </w:r>
          </w:p>
        </w:tc>
        <w:tc>
          <w:tcPr>
            <w:tcW w:w="62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left"/>
              <w:rPr/>
            </w:pPr>
            <w:r>
              <w:rPr/>
              <w:t> </w:t>
            </w:r>
          </w:p>
        </w:tc>
        <w:tc>
          <w:tcPr>
            <w:tcW w:w="1115" w:type="dxa"/>
            <w:tcBorders/>
            <w:tcMar>
              <w:bottom w:w="0" w:type="dxa"/>
            </w:tcMar>
            <w:vAlign w:val="center"/>
          </w:tcPr>
          <w:p>
            <w:pPr>
              <w:pStyle w:val="TableContents"/>
              <w:bidi w:val="0"/>
              <w:spacing w:before="0" w:after="283"/>
              <w:jc w:val="left"/>
              <w:rPr/>
            </w:pPr>
            <w:r>
              <w:rPr/>
              <w:t> </w:t>
            </w:r>
          </w:p>
        </w:tc>
        <w:tc>
          <w:tcPr>
            <w:tcW w:w="635" w:type="dxa"/>
            <w:tcBorders/>
            <w:tcMar>
              <w:bottom w:w="0" w:type="dxa"/>
            </w:tcMar>
            <w:vAlign w:val="center"/>
          </w:tcPr>
          <w:p>
            <w:pPr>
              <w:pStyle w:val="TableContents"/>
              <w:bidi w:val="0"/>
              <w:spacing w:before="0" w:after="283"/>
              <w:jc w:val="left"/>
              <w:rPr/>
            </w:pPr>
            <w:r>
              <w:rPr/>
              <w:t> </w:t>
            </w:r>
          </w:p>
        </w:tc>
      </w:tr>
      <w:tr>
        <w:trPr/>
        <w:tc>
          <w:tcPr>
            <w:tcW w:w="60" w:type="dxa"/>
            <w:tcBorders/>
            <w:tcMar>
              <w:bottom w:w="0" w:type="dxa"/>
            </w:tcMar>
            <w:vAlign w:val="center"/>
          </w:tcPr>
          <w:p>
            <w:pPr>
              <w:pStyle w:val="TableContents"/>
              <w:bidi w:val="0"/>
              <w:spacing w:before="0" w:after="0"/>
              <w:jc w:val="left"/>
              <w:rPr/>
            </w:pPr>
            <w:r>
              <w:rPr/>
              <w:t> </w:t>
            </w:r>
          </w:p>
        </w:tc>
        <w:tc>
          <w:tcPr>
            <w:tcW w:w="1370" w:type="dxa"/>
            <w:tcBorders/>
            <w:tcMar>
              <w:bottom w:w="0" w:type="dxa"/>
            </w:tcMar>
            <w:vAlign w:val="center"/>
          </w:tcPr>
          <w:p>
            <w:pPr>
              <w:pStyle w:val="TableContents"/>
              <w:bidi w:val="0"/>
              <w:spacing w:before="0" w:after="283"/>
              <w:jc w:val="left"/>
              <w:rPr/>
            </w:pPr>
            <w:r>
              <w:rPr/>
              <w:t> </w:t>
            </w:r>
          </w:p>
        </w:tc>
        <w:tc>
          <w:tcPr>
            <w:tcW w:w="1025" w:type="dxa"/>
            <w:tcBorders/>
            <w:tcMar>
              <w:bottom w:w="0" w:type="dxa"/>
            </w:tcMar>
            <w:vAlign w:val="center"/>
          </w:tcPr>
          <w:p>
            <w:pPr>
              <w:pStyle w:val="TableContents"/>
              <w:bidi w:val="0"/>
              <w:spacing w:before="0" w:after="0"/>
              <w:jc w:val="left"/>
              <w:rPr>
                <w:sz w:val="20"/>
              </w:rPr>
            </w:pPr>
            <w:r>
              <w:rPr>
                <w:sz w:val="20"/>
              </w:rPr>
              <w:t>ST IDR</w:t>
            </w:r>
          </w:p>
        </w:tc>
        <w:tc>
          <w:tcPr>
            <w:tcW w:w="620" w:type="dxa"/>
            <w:tcBorders/>
            <w:tcMar>
              <w:bottom w:w="0" w:type="dxa"/>
            </w:tcMar>
            <w:vAlign w:val="center"/>
          </w:tcPr>
          <w:p>
            <w:pPr>
              <w:pStyle w:val="TableContents"/>
              <w:bidi w:val="0"/>
              <w:spacing w:before="0" w:after="0"/>
              <w:jc w:val="left"/>
              <w:rPr>
                <w:sz w:val="20"/>
              </w:rPr>
            </w:pPr>
            <w:r>
              <w:rPr>
                <w:sz w:val="20"/>
              </w:rPr>
              <w:t>F2</w:t>
            </w:r>
          </w:p>
        </w:tc>
        <w:tc>
          <w:tcPr>
            <w:tcW w:w="800" w:type="dxa"/>
            <w:tcBorders/>
            <w:tcMar>
              <w:bottom w:w="0" w:type="dxa"/>
            </w:tcMar>
            <w:vAlign w:val="center"/>
          </w:tcPr>
          <w:p>
            <w:pPr>
              <w:pStyle w:val="TableContents"/>
              <w:bidi w:val="0"/>
              <w:spacing w:before="0" w:after="0"/>
              <w:jc w:val="left"/>
              <w:rPr>
                <w:sz w:val="20"/>
              </w:rPr>
            </w:pPr>
            <w:r>
              <w:rPr>
                <w:sz w:val="20"/>
              </w:rPr>
              <w:t>Affirmed</w:t>
            </w:r>
          </w:p>
        </w:tc>
        <w:tc>
          <w:tcPr>
            <w:tcW w:w="1115" w:type="dxa"/>
            <w:tcBorders/>
            <w:tcMar>
              <w:bottom w:w="0" w:type="dxa"/>
            </w:tcMar>
            <w:vAlign w:val="center"/>
          </w:tcPr>
          <w:p>
            <w:pPr>
              <w:pStyle w:val="TableContents"/>
              <w:bidi w:val="0"/>
              <w:spacing w:before="0" w:after="283"/>
              <w:jc w:val="left"/>
              <w:rPr/>
            </w:pPr>
            <w:r>
              <w:rPr/>
              <w:t> </w:t>
            </w:r>
          </w:p>
        </w:tc>
        <w:tc>
          <w:tcPr>
            <w:tcW w:w="635" w:type="dxa"/>
            <w:tcBorders/>
            <w:tcMar>
              <w:bottom w:w="0" w:type="dxa"/>
            </w:tcMar>
            <w:vAlign w:val="center"/>
          </w:tcPr>
          <w:p>
            <w:pPr>
              <w:pStyle w:val="TableContents"/>
              <w:bidi w:val="0"/>
              <w:spacing w:before="0" w:after="0"/>
              <w:jc w:val="left"/>
              <w:rPr>
                <w:sz w:val="20"/>
              </w:rPr>
            </w:pPr>
            <w:r>
              <w:rPr>
                <w:sz w:val="20"/>
              </w:rPr>
              <w:t>F2</w:t>
            </w:r>
          </w:p>
        </w:tc>
      </w:tr>
      <w:tr>
        <w:trPr/>
        <w:tc>
          <w:tcPr>
            <w:tcW w:w="60" w:type="dxa"/>
            <w:tcBorders>
              <w:bottom w:val="single" w:sz="12" w:space="0" w:color="000000"/>
            </w:tcBorders>
            <w:vAlign w:val="center"/>
          </w:tcPr>
          <w:p>
            <w:pPr>
              <w:pStyle w:val="TableContents"/>
              <w:bidi w:val="0"/>
              <w:spacing w:before="0" w:after="283"/>
              <w:jc w:val="left"/>
              <w:rPr/>
            </w:pPr>
            <w:r>
              <w:rPr/>
              <w:t> </w:t>
            </w:r>
          </w:p>
        </w:tc>
        <w:tc>
          <w:tcPr>
            <w:tcW w:w="1370" w:type="dxa"/>
            <w:tcBorders>
              <w:bottom w:val="single" w:sz="12" w:space="0" w:color="000000"/>
            </w:tcBorders>
            <w:vAlign w:val="center"/>
          </w:tcPr>
          <w:p>
            <w:pPr>
              <w:pStyle w:val="TableContents"/>
              <w:bidi w:val="0"/>
              <w:spacing w:before="0" w:after="283"/>
              <w:jc w:val="left"/>
              <w:rPr/>
            </w:pPr>
            <w:r>
              <w:rPr/>
              <w:t> </w:t>
            </w:r>
          </w:p>
        </w:tc>
        <w:tc>
          <w:tcPr>
            <w:tcW w:w="1025" w:type="dxa"/>
            <w:tcBorders>
              <w:bottom w:val="single" w:sz="12" w:space="0" w:color="000000"/>
            </w:tcBorders>
            <w:vAlign w:val="center"/>
          </w:tcPr>
          <w:p>
            <w:pPr>
              <w:pStyle w:val="TableContents"/>
              <w:bidi w:val="0"/>
              <w:spacing w:before="0" w:after="283"/>
              <w:jc w:val="left"/>
              <w:rPr/>
            </w:pPr>
            <w:r>
              <w:rPr/>
              <w:t> </w:t>
            </w:r>
          </w:p>
        </w:tc>
        <w:tc>
          <w:tcPr>
            <w:tcW w:w="620" w:type="dxa"/>
            <w:tcBorders>
              <w:bottom w:val="single" w:sz="12" w:space="0" w:color="000000"/>
            </w:tcBorders>
            <w:vAlign w:val="center"/>
          </w:tcPr>
          <w:p>
            <w:pPr>
              <w:pStyle w:val="TableContents"/>
              <w:bidi w:val="0"/>
              <w:spacing w:before="0" w:after="283"/>
              <w:jc w:val="left"/>
              <w:rPr/>
            </w:pPr>
            <w:r>
              <w:rPr/>
              <w:t> </w:t>
            </w:r>
          </w:p>
        </w:tc>
        <w:tc>
          <w:tcPr>
            <w:tcW w:w="800" w:type="dxa"/>
            <w:tcBorders>
              <w:bottom w:val="single" w:sz="12" w:space="0" w:color="000000"/>
            </w:tcBorders>
            <w:vAlign w:val="center"/>
          </w:tcPr>
          <w:p>
            <w:pPr>
              <w:pStyle w:val="TableContents"/>
              <w:bidi w:val="0"/>
              <w:spacing w:before="0" w:after="283"/>
              <w:jc w:val="left"/>
              <w:rPr/>
            </w:pPr>
            <w:r>
              <w:rPr/>
              <w:t> </w:t>
            </w:r>
          </w:p>
        </w:tc>
        <w:tc>
          <w:tcPr>
            <w:tcW w:w="1115" w:type="dxa"/>
            <w:tcBorders>
              <w:bottom w:val="single" w:sz="12" w:space="0" w:color="000000"/>
            </w:tcBorders>
            <w:vAlign w:val="center"/>
          </w:tcPr>
          <w:p>
            <w:pPr>
              <w:pStyle w:val="TableContents"/>
              <w:bidi w:val="0"/>
              <w:spacing w:before="0" w:after="283"/>
              <w:jc w:val="left"/>
              <w:rPr/>
            </w:pPr>
            <w:r>
              <w:rPr/>
              <w:t> </w:t>
            </w:r>
          </w:p>
        </w:tc>
        <w:tc>
          <w:tcPr>
            <w:tcW w:w="635" w:type="dxa"/>
            <w:tcBorders>
              <w:bottom w:val="single" w:sz="12" w:space="0" w:color="000000"/>
            </w:tcBorders>
            <w:vAlign w:val="center"/>
          </w:tcPr>
          <w:p>
            <w:pPr>
              <w:pStyle w:val="TableContents"/>
              <w:bidi w:val="0"/>
              <w:spacing w:before="0" w:after="283"/>
              <w:jc w:val="left"/>
              <w:rPr/>
            </w:pPr>
            <w:r>
              <w:rPr/>
              <w:t> </w:t>
            </w:r>
          </w:p>
        </w:tc>
      </w:tr>
      <w:tr>
        <w:trPr/>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left"/>
              <w:rPr/>
            </w:pPr>
            <w:r>
              <w:rPr/>
              <w:t> </w:t>
            </w:r>
          </w:p>
        </w:tc>
        <w:tc>
          <w:tcPr>
            <w:tcW w:w="1025" w:type="dxa"/>
            <w:tcBorders/>
            <w:tcMar>
              <w:bottom w:w="0" w:type="dxa"/>
            </w:tcMar>
            <w:vAlign w:val="center"/>
          </w:tcPr>
          <w:p>
            <w:pPr>
              <w:pStyle w:val="TableContents"/>
              <w:bidi w:val="0"/>
              <w:spacing w:before="0" w:after="283"/>
              <w:jc w:val="left"/>
              <w:rPr/>
            </w:pPr>
            <w:r>
              <w:rPr/>
              <w:t> </w:t>
            </w:r>
          </w:p>
        </w:tc>
        <w:tc>
          <w:tcPr>
            <w:tcW w:w="62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left"/>
              <w:rPr/>
            </w:pPr>
            <w:r>
              <w:rPr/>
              <w:t> </w:t>
            </w:r>
          </w:p>
        </w:tc>
        <w:tc>
          <w:tcPr>
            <w:tcW w:w="1115" w:type="dxa"/>
            <w:tcBorders/>
            <w:tcMar>
              <w:bottom w:w="0" w:type="dxa"/>
            </w:tcMar>
            <w:vAlign w:val="center"/>
          </w:tcPr>
          <w:p>
            <w:pPr>
              <w:pStyle w:val="TableContents"/>
              <w:bidi w:val="0"/>
              <w:spacing w:before="0" w:after="283"/>
              <w:jc w:val="left"/>
              <w:rPr/>
            </w:pPr>
            <w:r>
              <w:rPr/>
              <w:t> </w:t>
            </w:r>
          </w:p>
        </w:tc>
        <w:tc>
          <w:tcPr>
            <w:tcW w:w="635" w:type="dxa"/>
            <w:tcBorders/>
            <w:tcMar>
              <w:bottom w:w="0" w:type="dxa"/>
            </w:tcMar>
            <w:vAlign w:val="center"/>
          </w:tcPr>
          <w:p>
            <w:pPr>
              <w:pStyle w:val="TableContents"/>
              <w:bidi w:val="0"/>
              <w:spacing w:before="0" w:after="283"/>
              <w:jc w:val="left"/>
              <w:rPr/>
            </w:pPr>
            <w:r>
              <w:rPr/>
              <w:t> </w:t>
            </w:r>
          </w:p>
        </w:tc>
      </w:tr>
      <w:tr>
        <w:trPr/>
        <w:tc>
          <w:tcPr>
            <w:tcW w:w="60" w:type="dxa"/>
            <w:tcBorders/>
            <w:tcMar>
              <w:bottom w:w="0" w:type="dxa"/>
            </w:tcMar>
            <w:vAlign w:val="center"/>
          </w:tcPr>
          <w:p>
            <w:pPr>
              <w:pStyle w:val="TableContents"/>
              <w:bidi w:val="0"/>
              <w:spacing w:before="0" w:after="0"/>
              <w:jc w:val="left"/>
              <w:rPr/>
            </w:pPr>
            <w:r>
              <w:rPr/>
              <w:t> </w:t>
            </w:r>
          </w:p>
        </w:tc>
        <w:tc>
          <w:tcPr>
            <w:tcW w:w="1370" w:type="dxa"/>
            <w:tcBorders/>
            <w:tcMar>
              <w:bottom w:w="0" w:type="dxa"/>
            </w:tcMar>
            <w:vAlign w:val="center"/>
          </w:tcPr>
          <w:p>
            <w:pPr>
              <w:pStyle w:val="TableContents"/>
              <w:bidi w:val="0"/>
              <w:spacing w:before="0" w:after="283"/>
              <w:jc w:val="left"/>
              <w:rPr/>
            </w:pPr>
            <w:r>
              <w:rPr/>
              <w:t> </w:t>
            </w:r>
          </w:p>
        </w:tc>
        <w:tc>
          <w:tcPr>
            <w:tcW w:w="1025" w:type="dxa"/>
            <w:tcBorders/>
            <w:tcMar>
              <w:bottom w:w="0" w:type="dxa"/>
            </w:tcMar>
            <w:vAlign w:val="center"/>
          </w:tcPr>
          <w:p>
            <w:pPr>
              <w:pStyle w:val="TableContents"/>
              <w:bidi w:val="0"/>
              <w:spacing w:before="0" w:after="0"/>
              <w:jc w:val="left"/>
              <w:rPr>
                <w:sz w:val="20"/>
              </w:rPr>
            </w:pPr>
            <w:r>
              <w:rPr>
                <w:sz w:val="20"/>
              </w:rPr>
              <w:t>LC LT IDR</w:t>
            </w:r>
          </w:p>
        </w:tc>
        <w:tc>
          <w:tcPr>
            <w:tcW w:w="620" w:type="dxa"/>
            <w:tcBorders/>
            <w:tcMar>
              <w:bottom w:w="0" w:type="dxa"/>
            </w:tcMar>
            <w:vAlign w:val="center"/>
          </w:tcPr>
          <w:p>
            <w:pPr>
              <w:pStyle w:val="TableContents"/>
              <w:bidi w:val="0"/>
              <w:spacing w:before="0" w:after="0"/>
              <w:jc w:val="left"/>
              <w:rPr>
                <w:sz w:val="20"/>
              </w:rPr>
            </w:pPr>
            <w:r>
              <w:rPr>
                <w:sz w:val="20"/>
              </w:rPr>
              <w:t xml:space="preserve">BBB </w:t>
            </w:r>
            <w:r>
              <w:rPr>
                <w:sz w:val="20"/>
              </w:rPr>
              <w:drawing>
                <wp:inline distT="0" distB="0" distL="0" distR="0">
                  <wp:extent cx="95250" cy="9525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95250" cy="95250"/>
                          </a:xfrm>
                          <a:prstGeom prst="rect">
                            <a:avLst/>
                          </a:prstGeom>
                        </pic:spPr>
                      </pic:pic>
                    </a:graphicData>
                  </a:graphic>
                </wp:inline>
              </w:drawing>
            </w:r>
          </w:p>
        </w:tc>
        <w:tc>
          <w:tcPr>
            <w:tcW w:w="800" w:type="dxa"/>
            <w:tcBorders/>
            <w:tcMar>
              <w:bottom w:w="0" w:type="dxa"/>
            </w:tcMar>
            <w:vAlign w:val="center"/>
          </w:tcPr>
          <w:p>
            <w:pPr>
              <w:pStyle w:val="TableContents"/>
              <w:bidi w:val="0"/>
              <w:spacing w:before="0" w:after="0"/>
              <w:jc w:val="left"/>
              <w:rPr>
                <w:sz w:val="20"/>
              </w:rPr>
            </w:pPr>
            <w:r>
              <w:rPr>
                <w:sz w:val="20"/>
              </w:rPr>
              <w:t>Affirmed</w:t>
            </w:r>
          </w:p>
        </w:tc>
        <w:tc>
          <w:tcPr>
            <w:tcW w:w="1115" w:type="dxa"/>
            <w:tcBorders/>
            <w:tcMar>
              <w:bottom w:w="0" w:type="dxa"/>
            </w:tcMar>
            <w:vAlign w:val="center"/>
          </w:tcPr>
          <w:p>
            <w:pPr>
              <w:pStyle w:val="TableContents"/>
              <w:bidi w:val="0"/>
              <w:spacing w:before="0" w:after="283"/>
              <w:jc w:val="left"/>
              <w:rPr/>
            </w:pPr>
            <w:r>
              <w:rPr/>
              <w:t> </w:t>
            </w:r>
          </w:p>
        </w:tc>
        <w:tc>
          <w:tcPr>
            <w:tcW w:w="635" w:type="dxa"/>
            <w:tcBorders/>
            <w:tcMar>
              <w:bottom w:w="0" w:type="dxa"/>
            </w:tcMar>
            <w:vAlign w:val="center"/>
          </w:tcPr>
          <w:p>
            <w:pPr>
              <w:pStyle w:val="TableContents"/>
              <w:bidi w:val="0"/>
              <w:spacing w:before="0" w:after="0"/>
              <w:jc w:val="left"/>
              <w:rPr>
                <w:sz w:val="20"/>
              </w:rPr>
            </w:pPr>
            <w:r>
              <w:rPr>
                <w:sz w:val="20"/>
              </w:rPr>
              <w:t xml:space="preserve">BBB </w:t>
            </w:r>
            <w:r>
              <w:rPr>
                <w:sz w:val="20"/>
              </w:rPr>
              <w:drawing>
                <wp:inline distT="0" distB="0" distL="0" distR="0">
                  <wp:extent cx="95250" cy="9525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95250" cy="95250"/>
                          </a:xfrm>
                          <a:prstGeom prst="rect">
                            <a:avLst/>
                          </a:prstGeom>
                        </pic:spPr>
                      </pic:pic>
                    </a:graphicData>
                  </a:graphic>
                </wp:inline>
              </w:drawing>
            </w:r>
          </w:p>
        </w:tc>
      </w:tr>
      <w:tr>
        <w:trPr/>
        <w:tc>
          <w:tcPr>
            <w:tcW w:w="60" w:type="dxa"/>
            <w:tcBorders>
              <w:bottom w:val="single" w:sz="12" w:space="0" w:color="000000"/>
            </w:tcBorders>
            <w:vAlign w:val="center"/>
          </w:tcPr>
          <w:p>
            <w:pPr>
              <w:pStyle w:val="TableContents"/>
              <w:bidi w:val="0"/>
              <w:spacing w:before="0" w:after="283"/>
              <w:jc w:val="left"/>
              <w:rPr/>
            </w:pPr>
            <w:r>
              <w:rPr/>
              <w:t> </w:t>
            </w:r>
          </w:p>
        </w:tc>
        <w:tc>
          <w:tcPr>
            <w:tcW w:w="1370" w:type="dxa"/>
            <w:tcBorders>
              <w:bottom w:val="single" w:sz="12" w:space="0" w:color="000000"/>
            </w:tcBorders>
            <w:vAlign w:val="center"/>
          </w:tcPr>
          <w:p>
            <w:pPr>
              <w:pStyle w:val="TableContents"/>
              <w:bidi w:val="0"/>
              <w:spacing w:before="0" w:after="283"/>
              <w:jc w:val="left"/>
              <w:rPr/>
            </w:pPr>
            <w:r>
              <w:rPr/>
              <w:t> </w:t>
            </w:r>
          </w:p>
        </w:tc>
        <w:tc>
          <w:tcPr>
            <w:tcW w:w="1025" w:type="dxa"/>
            <w:tcBorders>
              <w:bottom w:val="single" w:sz="12" w:space="0" w:color="000000"/>
            </w:tcBorders>
            <w:vAlign w:val="center"/>
          </w:tcPr>
          <w:p>
            <w:pPr>
              <w:pStyle w:val="TableContents"/>
              <w:bidi w:val="0"/>
              <w:spacing w:before="0" w:after="283"/>
              <w:jc w:val="left"/>
              <w:rPr/>
            </w:pPr>
            <w:r>
              <w:rPr/>
              <w:t> </w:t>
            </w:r>
          </w:p>
        </w:tc>
        <w:tc>
          <w:tcPr>
            <w:tcW w:w="620" w:type="dxa"/>
            <w:tcBorders>
              <w:bottom w:val="single" w:sz="12" w:space="0" w:color="000000"/>
            </w:tcBorders>
            <w:vAlign w:val="center"/>
          </w:tcPr>
          <w:p>
            <w:pPr>
              <w:pStyle w:val="TableContents"/>
              <w:bidi w:val="0"/>
              <w:spacing w:before="0" w:after="283"/>
              <w:jc w:val="left"/>
              <w:rPr/>
            </w:pPr>
            <w:r>
              <w:rPr/>
              <w:t> </w:t>
            </w:r>
          </w:p>
        </w:tc>
        <w:tc>
          <w:tcPr>
            <w:tcW w:w="800" w:type="dxa"/>
            <w:tcBorders>
              <w:bottom w:val="single" w:sz="12" w:space="0" w:color="000000"/>
            </w:tcBorders>
            <w:vAlign w:val="center"/>
          </w:tcPr>
          <w:p>
            <w:pPr>
              <w:pStyle w:val="TableContents"/>
              <w:bidi w:val="0"/>
              <w:spacing w:before="0" w:after="283"/>
              <w:jc w:val="left"/>
              <w:rPr/>
            </w:pPr>
            <w:r>
              <w:rPr/>
              <w:t> </w:t>
            </w:r>
          </w:p>
        </w:tc>
        <w:tc>
          <w:tcPr>
            <w:tcW w:w="1115" w:type="dxa"/>
            <w:tcBorders>
              <w:bottom w:val="single" w:sz="12" w:space="0" w:color="000000"/>
            </w:tcBorders>
            <w:vAlign w:val="center"/>
          </w:tcPr>
          <w:p>
            <w:pPr>
              <w:pStyle w:val="TableContents"/>
              <w:bidi w:val="0"/>
              <w:spacing w:before="0" w:after="283"/>
              <w:jc w:val="left"/>
              <w:rPr/>
            </w:pPr>
            <w:r>
              <w:rPr/>
              <w:t> </w:t>
            </w:r>
          </w:p>
        </w:tc>
        <w:tc>
          <w:tcPr>
            <w:tcW w:w="635" w:type="dxa"/>
            <w:tcBorders>
              <w:bottom w:val="single" w:sz="12" w:space="0" w:color="000000"/>
            </w:tcBorders>
            <w:vAlign w:val="center"/>
          </w:tcPr>
          <w:p>
            <w:pPr>
              <w:pStyle w:val="TableContents"/>
              <w:bidi w:val="0"/>
              <w:spacing w:before="0" w:after="283"/>
              <w:jc w:val="left"/>
              <w:rPr/>
            </w:pPr>
            <w:r>
              <w:rPr/>
              <w:t> </w:t>
            </w:r>
          </w:p>
        </w:tc>
      </w:tr>
      <w:tr>
        <w:trPr/>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left"/>
              <w:rPr/>
            </w:pPr>
            <w:r>
              <w:rPr/>
              <w:t> </w:t>
            </w:r>
          </w:p>
        </w:tc>
        <w:tc>
          <w:tcPr>
            <w:tcW w:w="1025" w:type="dxa"/>
            <w:tcBorders/>
            <w:tcMar>
              <w:bottom w:w="0" w:type="dxa"/>
            </w:tcMar>
            <w:vAlign w:val="center"/>
          </w:tcPr>
          <w:p>
            <w:pPr>
              <w:pStyle w:val="TableContents"/>
              <w:bidi w:val="0"/>
              <w:spacing w:before="0" w:after="283"/>
              <w:jc w:val="left"/>
              <w:rPr/>
            </w:pPr>
            <w:r>
              <w:rPr/>
              <w:t> </w:t>
            </w:r>
          </w:p>
        </w:tc>
        <w:tc>
          <w:tcPr>
            <w:tcW w:w="62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left"/>
              <w:rPr/>
            </w:pPr>
            <w:r>
              <w:rPr/>
              <w:t> </w:t>
            </w:r>
          </w:p>
        </w:tc>
        <w:tc>
          <w:tcPr>
            <w:tcW w:w="1115" w:type="dxa"/>
            <w:tcBorders/>
            <w:tcMar>
              <w:bottom w:w="0" w:type="dxa"/>
            </w:tcMar>
            <w:vAlign w:val="center"/>
          </w:tcPr>
          <w:p>
            <w:pPr>
              <w:pStyle w:val="TableContents"/>
              <w:bidi w:val="0"/>
              <w:spacing w:before="0" w:after="283"/>
              <w:jc w:val="left"/>
              <w:rPr/>
            </w:pPr>
            <w:r>
              <w:rPr/>
              <w:t> </w:t>
            </w:r>
          </w:p>
        </w:tc>
        <w:tc>
          <w:tcPr>
            <w:tcW w:w="635" w:type="dxa"/>
            <w:tcBorders/>
            <w:tcMar>
              <w:bottom w:w="0" w:type="dxa"/>
            </w:tcMar>
            <w:vAlign w:val="center"/>
          </w:tcPr>
          <w:p>
            <w:pPr>
              <w:pStyle w:val="TableContents"/>
              <w:bidi w:val="0"/>
              <w:spacing w:before="0" w:after="283"/>
              <w:jc w:val="left"/>
              <w:rPr/>
            </w:pPr>
            <w:r>
              <w:rPr/>
              <w:t> </w:t>
            </w:r>
          </w:p>
        </w:tc>
      </w:tr>
      <w:tr>
        <w:trPr/>
        <w:tc>
          <w:tcPr>
            <w:tcW w:w="60" w:type="dxa"/>
            <w:tcBorders/>
            <w:tcMar>
              <w:bottom w:w="0" w:type="dxa"/>
            </w:tcMar>
            <w:vAlign w:val="center"/>
          </w:tcPr>
          <w:p>
            <w:pPr>
              <w:pStyle w:val="TableContents"/>
              <w:bidi w:val="0"/>
              <w:spacing w:before="0" w:after="0"/>
              <w:jc w:val="left"/>
              <w:rPr/>
            </w:pPr>
            <w:r>
              <w:rPr/>
              <w:t> </w:t>
            </w:r>
          </w:p>
        </w:tc>
        <w:tc>
          <w:tcPr>
            <w:tcW w:w="1370" w:type="dxa"/>
            <w:tcBorders/>
            <w:tcMar>
              <w:bottom w:w="0" w:type="dxa"/>
            </w:tcMar>
            <w:vAlign w:val="center"/>
          </w:tcPr>
          <w:p>
            <w:pPr>
              <w:pStyle w:val="TableContents"/>
              <w:bidi w:val="0"/>
              <w:spacing w:before="0" w:after="0"/>
              <w:jc w:val="left"/>
              <w:rPr/>
            </w:pPr>
            <w:r>
              <w:rPr/>
              <w:t> </w:t>
            </w:r>
          </w:p>
        </w:tc>
        <w:tc>
          <w:tcPr>
            <w:tcW w:w="1025" w:type="dxa"/>
            <w:tcBorders/>
            <w:tcMar>
              <w:bottom w:w="0" w:type="dxa"/>
            </w:tcMar>
            <w:vAlign w:val="center"/>
          </w:tcPr>
          <w:p>
            <w:pPr>
              <w:pStyle w:val="TableContents"/>
              <w:bidi w:val="0"/>
              <w:spacing w:before="0" w:after="0"/>
              <w:jc w:val="left"/>
              <w:rPr>
                <w:sz w:val="20"/>
              </w:rPr>
            </w:pPr>
            <w:r>
              <w:rPr>
                <w:sz w:val="20"/>
              </w:rPr>
              <w:t>LC ST IDR</w:t>
            </w:r>
          </w:p>
        </w:tc>
        <w:tc>
          <w:tcPr>
            <w:tcW w:w="620" w:type="dxa"/>
            <w:tcBorders/>
            <w:tcMar>
              <w:bottom w:w="0" w:type="dxa"/>
            </w:tcMar>
            <w:vAlign w:val="center"/>
          </w:tcPr>
          <w:p>
            <w:pPr>
              <w:pStyle w:val="TableContents"/>
              <w:bidi w:val="0"/>
              <w:spacing w:before="0" w:after="0"/>
              <w:jc w:val="left"/>
              <w:rPr>
                <w:sz w:val="20"/>
              </w:rPr>
            </w:pPr>
            <w:r>
              <w:rPr>
                <w:sz w:val="20"/>
              </w:rPr>
              <w:t>F2</w:t>
            </w:r>
          </w:p>
        </w:tc>
        <w:tc>
          <w:tcPr>
            <w:tcW w:w="800" w:type="dxa"/>
            <w:tcBorders/>
            <w:tcMar>
              <w:bottom w:w="0" w:type="dxa"/>
            </w:tcMar>
            <w:vAlign w:val="center"/>
          </w:tcPr>
          <w:p>
            <w:pPr>
              <w:pStyle w:val="TableContents"/>
              <w:bidi w:val="0"/>
              <w:spacing w:before="0" w:after="0"/>
              <w:jc w:val="left"/>
              <w:rPr>
                <w:sz w:val="20"/>
              </w:rPr>
            </w:pPr>
            <w:r>
              <w:rPr>
                <w:sz w:val="20"/>
              </w:rPr>
              <w:t>Affirmed</w:t>
            </w:r>
          </w:p>
        </w:tc>
        <w:tc>
          <w:tcPr>
            <w:tcW w:w="1115" w:type="dxa"/>
            <w:tcBorders/>
            <w:tcMar>
              <w:bottom w:w="0" w:type="dxa"/>
            </w:tcMar>
            <w:vAlign w:val="center"/>
          </w:tcPr>
          <w:p>
            <w:pPr>
              <w:pStyle w:val="TableContents"/>
              <w:bidi w:val="0"/>
              <w:spacing w:before="0" w:after="283"/>
              <w:jc w:val="left"/>
              <w:rPr/>
            </w:pPr>
            <w:r>
              <w:rPr/>
              <w:t> </w:t>
            </w:r>
          </w:p>
        </w:tc>
        <w:tc>
          <w:tcPr>
            <w:tcW w:w="635" w:type="dxa"/>
            <w:tcBorders/>
            <w:tcMar>
              <w:bottom w:w="0" w:type="dxa"/>
            </w:tcMar>
            <w:vAlign w:val="center"/>
          </w:tcPr>
          <w:p>
            <w:pPr>
              <w:pStyle w:val="TableContents"/>
              <w:bidi w:val="0"/>
              <w:spacing w:before="0" w:after="0"/>
              <w:jc w:val="left"/>
              <w:rPr>
                <w:sz w:val="20"/>
              </w:rPr>
            </w:pPr>
            <w:r>
              <w:rPr>
                <w:sz w:val="20"/>
              </w:rPr>
              <w:t>F2</w:t>
            </w:r>
          </w:p>
        </w:tc>
      </w:tr>
      <w:tr>
        <w:trPr/>
        <w:tc>
          <w:tcPr>
            <w:tcW w:w="60" w:type="dxa"/>
            <w:tcBorders>
              <w:bottom w:val="single" w:sz="12" w:space="0" w:color="000000"/>
            </w:tcBorders>
            <w:vAlign w:val="center"/>
          </w:tcPr>
          <w:p>
            <w:pPr>
              <w:pStyle w:val="TableContents"/>
              <w:bidi w:val="0"/>
              <w:spacing w:before="0" w:after="283"/>
              <w:jc w:val="left"/>
              <w:rPr/>
            </w:pPr>
            <w:r>
              <w:rPr/>
              <w:t> </w:t>
            </w:r>
          </w:p>
        </w:tc>
        <w:tc>
          <w:tcPr>
            <w:tcW w:w="1370" w:type="dxa"/>
            <w:tcBorders>
              <w:bottom w:val="single" w:sz="12" w:space="0" w:color="000000"/>
            </w:tcBorders>
            <w:vAlign w:val="center"/>
          </w:tcPr>
          <w:p>
            <w:pPr>
              <w:pStyle w:val="TableContents"/>
              <w:bidi w:val="0"/>
              <w:spacing w:before="0" w:after="283"/>
              <w:jc w:val="left"/>
              <w:rPr/>
            </w:pPr>
            <w:r>
              <w:rPr/>
              <w:t> </w:t>
            </w:r>
          </w:p>
        </w:tc>
        <w:tc>
          <w:tcPr>
            <w:tcW w:w="1025" w:type="dxa"/>
            <w:tcBorders>
              <w:bottom w:val="single" w:sz="12" w:space="0" w:color="000000"/>
            </w:tcBorders>
            <w:vAlign w:val="center"/>
          </w:tcPr>
          <w:p>
            <w:pPr>
              <w:pStyle w:val="TableContents"/>
              <w:bidi w:val="0"/>
              <w:spacing w:before="0" w:after="283"/>
              <w:jc w:val="left"/>
              <w:rPr/>
            </w:pPr>
            <w:r>
              <w:rPr/>
              <w:t> </w:t>
            </w:r>
          </w:p>
        </w:tc>
        <w:tc>
          <w:tcPr>
            <w:tcW w:w="620" w:type="dxa"/>
            <w:tcBorders>
              <w:bottom w:val="single" w:sz="12" w:space="0" w:color="000000"/>
            </w:tcBorders>
            <w:vAlign w:val="center"/>
          </w:tcPr>
          <w:p>
            <w:pPr>
              <w:pStyle w:val="TableContents"/>
              <w:bidi w:val="0"/>
              <w:spacing w:before="0" w:after="283"/>
              <w:jc w:val="left"/>
              <w:rPr/>
            </w:pPr>
            <w:r>
              <w:rPr/>
              <w:t> </w:t>
            </w:r>
          </w:p>
        </w:tc>
        <w:tc>
          <w:tcPr>
            <w:tcW w:w="800" w:type="dxa"/>
            <w:tcBorders>
              <w:bottom w:val="single" w:sz="12" w:space="0" w:color="000000"/>
            </w:tcBorders>
            <w:vAlign w:val="center"/>
          </w:tcPr>
          <w:p>
            <w:pPr>
              <w:pStyle w:val="TableContents"/>
              <w:bidi w:val="0"/>
              <w:spacing w:before="0" w:after="283"/>
              <w:jc w:val="left"/>
              <w:rPr/>
            </w:pPr>
            <w:r>
              <w:rPr/>
              <w:t> </w:t>
            </w:r>
          </w:p>
        </w:tc>
        <w:tc>
          <w:tcPr>
            <w:tcW w:w="1115" w:type="dxa"/>
            <w:tcBorders>
              <w:bottom w:val="single" w:sz="12" w:space="0" w:color="000000"/>
            </w:tcBorders>
            <w:vAlign w:val="center"/>
          </w:tcPr>
          <w:p>
            <w:pPr>
              <w:pStyle w:val="TableContents"/>
              <w:bidi w:val="0"/>
              <w:spacing w:before="0" w:after="283"/>
              <w:jc w:val="left"/>
              <w:rPr/>
            </w:pPr>
            <w:r>
              <w:rPr/>
              <w:t> </w:t>
            </w:r>
          </w:p>
        </w:tc>
        <w:tc>
          <w:tcPr>
            <w:tcW w:w="635" w:type="dxa"/>
            <w:tcBorders>
              <w:bottom w:val="single" w:sz="12" w:space="0" w:color="000000"/>
            </w:tcBorders>
            <w:vAlign w:val="center"/>
          </w:tcPr>
          <w:p>
            <w:pPr>
              <w:pStyle w:val="TableContents"/>
              <w:bidi w:val="0"/>
              <w:spacing w:before="0" w:after="283"/>
              <w:jc w:val="left"/>
              <w:rPr/>
            </w:pPr>
            <w:r>
              <w:rPr/>
              <w:t> </w:t>
            </w:r>
          </w:p>
        </w:tc>
      </w:tr>
      <w:tr>
        <w:trPr/>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left"/>
              <w:rPr/>
            </w:pPr>
            <w:r>
              <w:rPr/>
              <w:t> </w:t>
            </w:r>
          </w:p>
        </w:tc>
        <w:tc>
          <w:tcPr>
            <w:tcW w:w="1025" w:type="dxa"/>
            <w:tcBorders/>
            <w:tcMar>
              <w:bottom w:w="0" w:type="dxa"/>
            </w:tcMar>
            <w:vAlign w:val="center"/>
          </w:tcPr>
          <w:p>
            <w:pPr>
              <w:pStyle w:val="TableContents"/>
              <w:bidi w:val="0"/>
              <w:spacing w:before="0" w:after="283"/>
              <w:jc w:val="left"/>
              <w:rPr/>
            </w:pPr>
            <w:r>
              <w:rPr/>
              <w:t> </w:t>
            </w:r>
          </w:p>
        </w:tc>
        <w:tc>
          <w:tcPr>
            <w:tcW w:w="62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left"/>
              <w:rPr/>
            </w:pPr>
            <w:r>
              <w:rPr/>
              <w:t> </w:t>
            </w:r>
          </w:p>
        </w:tc>
        <w:tc>
          <w:tcPr>
            <w:tcW w:w="1115" w:type="dxa"/>
            <w:tcBorders/>
            <w:tcMar>
              <w:bottom w:w="0" w:type="dxa"/>
            </w:tcMar>
            <w:vAlign w:val="center"/>
          </w:tcPr>
          <w:p>
            <w:pPr>
              <w:pStyle w:val="TableContents"/>
              <w:bidi w:val="0"/>
              <w:spacing w:before="0" w:after="283"/>
              <w:jc w:val="left"/>
              <w:rPr/>
            </w:pPr>
            <w:r>
              <w:rPr/>
              <w:t> </w:t>
            </w:r>
          </w:p>
        </w:tc>
        <w:tc>
          <w:tcPr>
            <w:tcW w:w="635" w:type="dxa"/>
            <w:tcBorders/>
            <w:tcMar>
              <w:bottom w:w="0" w:type="dxa"/>
            </w:tcMar>
            <w:vAlign w:val="center"/>
          </w:tcPr>
          <w:p>
            <w:pPr>
              <w:pStyle w:val="TableContents"/>
              <w:bidi w:val="0"/>
              <w:spacing w:before="0" w:after="283"/>
              <w:jc w:val="left"/>
              <w:rPr/>
            </w:pPr>
            <w:r>
              <w:rPr/>
              <w:t> </w:t>
            </w:r>
          </w:p>
        </w:tc>
      </w:tr>
      <w:tr>
        <w:trPr/>
        <w:tc>
          <w:tcPr>
            <w:tcW w:w="60" w:type="dxa"/>
            <w:tcBorders/>
            <w:tcMar>
              <w:bottom w:w="0" w:type="dxa"/>
            </w:tcMar>
            <w:vAlign w:val="center"/>
          </w:tcPr>
          <w:p>
            <w:pPr>
              <w:pStyle w:val="TableContents"/>
              <w:bidi w:val="0"/>
              <w:spacing w:before="0" w:after="0"/>
              <w:jc w:val="left"/>
              <w:rPr/>
            </w:pPr>
            <w:r>
              <w:rPr/>
              <w:t> </w:t>
            </w:r>
          </w:p>
        </w:tc>
        <w:tc>
          <w:tcPr>
            <w:tcW w:w="1370" w:type="dxa"/>
            <w:tcBorders/>
            <w:tcMar>
              <w:bottom w:w="0" w:type="dxa"/>
            </w:tcMar>
            <w:vAlign w:val="center"/>
          </w:tcPr>
          <w:p>
            <w:pPr>
              <w:pStyle w:val="TableContents"/>
              <w:bidi w:val="0"/>
              <w:spacing w:before="0" w:after="283"/>
              <w:jc w:val="left"/>
              <w:rPr/>
            </w:pPr>
            <w:r>
              <w:rPr/>
              <w:t> </w:t>
            </w:r>
          </w:p>
        </w:tc>
        <w:tc>
          <w:tcPr>
            <w:tcW w:w="1025" w:type="dxa"/>
            <w:tcBorders/>
            <w:tcMar>
              <w:bottom w:w="0" w:type="dxa"/>
            </w:tcMar>
            <w:vAlign w:val="center"/>
          </w:tcPr>
          <w:p>
            <w:pPr>
              <w:pStyle w:val="TableContents"/>
              <w:bidi w:val="0"/>
              <w:spacing w:before="0" w:after="0"/>
              <w:jc w:val="left"/>
              <w:rPr>
                <w:sz w:val="20"/>
              </w:rPr>
            </w:pPr>
            <w:r>
              <w:rPr>
                <w:sz w:val="20"/>
              </w:rPr>
              <w:t>Viability</w:t>
            </w:r>
          </w:p>
        </w:tc>
        <w:tc>
          <w:tcPr>
            <w:tcW w:w="620" w:type="dxa"/>
            <w:tcBorders/>
            <w:tcMar>
              <w:bottom w:w="0" w:type="dxa"/>
            </w:tcMar>
            <w:vAlign w:val="center"/>
          </w:tcPr>
          <w:p>
            <w:pPr>
              <w:pStyle w:val="TableContents"/>
              <w:bidi w:val="0"/>
              <w:spacing w:before="0" w:after="0"/>
              <w:jc w:val="left"/>
              <w:rPr>
                <w:sz w:val="20"/>
              </w:rPr>
            </w:pPr>
            <w:r>
              <w:rPr>
                <w:sz w:val="20"/>
              </w:rPr>
              <w:t>bbb</w:t>
            </w:r>
          </w:p>
        </w:tc>
        <w:tc>
          <w:tcPr>
            <w:tcW w:w="800" w:type="dxa"/>
            <w:tcBorders/>
            <w:tcMar>
              <w:bottom w:w="0" w:type="dxa"/>
            </w:tcMar>
            <w:vAlign w:val="center"/>
          </w:tcPr>
          <w:p>
            <w:pPr>
              <w:pStyle w:val="TableContents"/>
              <w:bidi w:val="0"/>
              <w:spacing w:before="0" w:after="0"/>
              <w:jc w:val="left"/>
              <w:rPr>
                <w:sz w:val="20"/>
              </w:rPr>
            </w:pPr>
            <w:r>
              <w:rPr>
                <w:sz w:val="20"/>
              </w:rPr>
              <w:t>Affirmed</w:t>
            </w:r>
          </w:p>
        </w:tc>
        <w:tc>
          <w:tcPr>
            <w:tcW w:w="1115" w:type="dxa"/>
            <w:tcBorders/>
            <w:tcMar>
              <w:bottom w:w="0" w:type="dxa"/>
            </w:tcMar>
            <w:vAlign w:val="center"/>
          </w:tcPr>
          <w:p>
            <w:pPr>
              <w:pStyle w:val="TableContents"/>
              <w:bidi w:val="0"/>
              <w:spacing w:before="0" w:after="283"/>
              <w:jc w:val="left"/>
              <w:rPr/>
            </w:pPr>
            <w:r>
              <w:rPr/>
              <w:t> </w:t>
            </w:r>
          </w:p>
        </w:tc>
        <w:tc>
          <w:tcPr>
            <w:tcW w:w="635" w:type="dxa"/>
            <w:tcBorders/>
            <w:tcMar>
              <w:bottom w:w="0" w:type="dxa"/>
            </w:tcMar>
            <w:vAlign w:val="center"/>
          </w:tcPr>
          <w:p>
            <w:pPr>
              <w:pStyle w:val="TableContents"/>
              <w:bidi w:val="0"/>
              <w:spacing w:before="0" w:after="0"/>
              <w:jc w:val="left"/>
              <w:rPr>
                <w:sz w:val="20"/>
              </w:rPr>
            </w:pPr>
            <w:r>
              <w:rPr>
                <w:sz w:val="20"/>
              </w:rPr>
              <w:t>bbb</w:t>
            </w:r>
          </w:p>
        </w:tc>
      </w:tr>
      <w:tr>
        <w:trPr/>
        <w:tc>
          <w:tcPr>
            <w:tcW w:w="60" w:type="dxa"/>
            <w:tcBorders>
              <w:bottom w:val="single" w:sz="12" w:space="0" w:color="000000"/>
            </w:tcBorders>
            <w:vAlign w:val="center"/>
          </w:tcPr>
          <w:p>
            <w:pPr>
              <w:pStyle w:val="TableContents"/>
              <w:bidi w:val="0"/>
              <w:spacing w:before="0" w:after="283"/>
              <w:jc w:val="left"/>
              <w:rPr/>
            </w:pPr>
            <w:r>
              <w:rPr/>
              <w:t> </w:t>
            </w:r>
          </w:p>
        </w:tc>
        <w:tc>
          <w:tcPr>
            <w:tcW w:w="1370" w:type="dxa"/>
            <w:tcBorders>
              <w:bottom w:val="single" w:sz="12" w:space="0" w:color="000000"/>
            </w:tcBorders>
            <w:vAlign w:val="center"/>
          </w:tcPr>
          <w:p>
            <w:pPr>
              <w:pStyle w:val="TableContents"/>
              <w:bidi w:val="0"/>
              <w:spacing w:before="0" w:after="283"/>
              <w:jc w:val="left"/>
              <w:rPr/>
            </w:pPr>
            <w:r>
              <w:rPr/>
              <w:t> </w:t>
            </w:r>
          </w:p>
        </w:tc>
        <w:tc>
          <w:tcPr>
            <w:tcW w:w="1025" w:type="dxa"/>
            <w:tcBorders>
              <w:bottom w:val="single" w:sz="12" w:space="0" w:color="000000"/>
            </w:tcBorders>
            <w:vAlign w:val="center"/>
          </w:tcPr>
          <w:p>
            <w:pPr>
              <w:pStyle w:val="TableContents"/>
              <w:bidi w:val="0"/>
              <w:spacing w:before="0" w:after="283"/>
              <w:jc w:val="left"/>
              <w:rPr/>
            </w:pPr>
            <w:r>
              <w:rPr/>
              <w:t> </w:t>
            </w:r>
          </w:p>
        </w:tc>
        <w:tc>
          <w:tcPr>
            <w:tcW w:w="620" w:type="dxa"/>
            <w:tcBorders>
              <w:bottom w:val="single" w:sz="12" w:space="0" w:color="000000"/>
            </w:tcBorders>
            <w:vAlign w:val="center"/>
          </w:tcPr>
          <w:p>
            <w:pPr>
              <w:pStyle w:val="TableContents"/>
              <w:bidi w:val="0"/>
              <w:spacing w:before="0" w:after="283"/>
              <w:jc w:val="left"/>
              <w:rPr/>
            </w:pPr>
            <w:r>
              <w:rPr/>
              <w:t> </w:t>
            </w:r>
          </w:p>
        </w:tc>
        <w:tc>
          <w:tcPr>
            <w:tcW w:w="800" w:type="dxa"/>
            <w:tcBorders>
              <w:bottom w:val="single" w:sz="12" w:space="0" w:color="000000"/>
            </w:tcBorders>
            <w:vAlign w:val="center"/>
          </w:tcPr>
          <w:p>
            <w:pPr>
              <w:pStyle w:val="TableContents"/>
              <w:bidi w:val="0"/>
              <w:spacing w:before="0" w:after="283"/>
              <w:jc w:val="left"/>
              <w:rPr/>
            </w:pPr>
            <w:r>
              <w:rPr/>
              <w:t> </w:t>
            </w:r>
          </w:p>
        </w:tc>
        <w:tc>
          <w:tcPr>
            <w:tcW w:w="1115" w:type="dxa"/>
            <w:tcBorders>
              <w:bottom w:val="single" w:sz="12" w:space="0" w:color="000000"/>
            </w:tcBorders>
            <w:vAlign w:val="center"/>
          </w:tcPr>
          <w:p>
            <w:pPr>
              <w:pStyle w:val="TableContents"/>
              <w:bidi w:val="0"/>
              <w:spacing w:before="0" w:after="283"/>
              <w:jc w:val="left"/>
              <w:rPr/>
            </w:pPr>
            <w:r>
              <w:rPr/>
              <w:t> </w:t>
            </w:r>
          </w:p>
        </w:tc>
        <w:tc>
          <w:tcPr>
            <w:tcW w:w="635" w:type="dxa"/>
            <w:tcBorders>
              <w:bottom w:val="single" w:sz="12" w:space="0" w:color="000000"/>
            </w:tcBorders>
            <w:vAlign w:val="center"/>
          </w:tcPr>
          <w:p>
            <w:pPr>
              <w:pStyle w:val="TableContents"/>
              <w:bidi w:val="0"/>
              <w:spacing w:before="0" w:after="283"/>
              <w:jc w:val="left"/>
              <w:rPr/>
            </w:pPr>
            <w:r>
              <w:rPr/>
              <w:t> </w:t>
            </w:r>
          </w:p>
        </w:tc>
      </w:tr>
      <w:tr>
        <w:trPr/>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left"/>
              <w:rPr/>
            </w:pPr>
            <w:r>
              <w:rPr/>
              <w:t> </w:t>
            </w:r>
          </w:p>
        </w:tc>
        <w:tc>
          <w:tcPr>
            <w:tcW w:w="1025" w:type="dxa"/>
            <w:tcBorders/>
            <w:tcMar>
              <w:bottom w:w="0" w:type="dxa"/>
            </w:tcMar>
            <w:vAlign w:val="center"/>
          </w:tcPr>
          <w:p>
            <w:pPr>
              <w:pStyle w:val="TableContents"/>
              <w:bidi w:val="0"/>
              <w:spacing w:before="0" w:after="283"/>
              <w:jc w:val="left"/>
              <w:rPr/>
            </w:pPr>
            <w:r>
              <w:rPr/>
              <w:t> </w:t>
            </w:r>
          </w:p>
        </w:tc>
        <w:tc>
          <w:tcPr>
            <w:tcW w:w="62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left"/>
              <w:rPr/>
            </w:pPr>
            <w:r>
              <w:rPr/>
              <w:t> </w:t>
            </w:r>
          </w:p>
        </w:tc>
        <w:tc>
          <w:tcPr>
            <w:tcW w:w="1115" w:type="dxa"/>
            <w:tcBorders/>
            <w:tcMar>
              <w:bottom w:w="0" w:type="dxa"/>
            </w:tcMar>
            <w:vAlign w:val="center"/>
          </w:tcPr>
          <w:p>
            <w:pPr>
              <w:pStyle w:val="TableContents"/>
              <w:bidi w:val="0"/>
              <w:spacing w:before="0" w:after="283"/>
              <w:jc w:val="left"/>
              <w:rPr/>
            </w:pPr>
            <w:r>
              <w:rPr/>
              <w:t> </w:t>
            </w:r>
          </w:p>
        </w:tc>
        <w:tc>
          <w:tcPr>
            <w:tcW w:w="635" w:type="dxa"/>
            <w:tcBorders/>
            <w:tcMar>
              <w:bottom w:w="0" w:type="dxa"/>
            </w:tcMar>
            <w:vAlign w:val="center"/>
          </w:tcPr>
          <w:p>
            <w:pPr>
              <w:pStyle w:val="TableContents"/>
              <w:bidi w:val="0"/>
              <w:spacing w:before="0" w:after="283"/>
              <w:jc w:val="left"/>
              <w:rPr/>
            </w:pPr>
            <w:r>
              <w:rPr/>
              <w:t> </w:t>
            </w:r>
          </w:p>
        </w:tc>
      </w:tr>
      <w:tr>
        <w:trPr/>
        <w:tc>
          <w:tcPr>
            <w:tcW w:w="60" w:type="dxa"/>
            <w:tcBorders/>
            <w:tcMar>
              <w:bottom w:w="0" w:type="dxa"/>
            </w:tcMar>
            <w:vAlign w:val="center"/>
          </w:tcPr>
          <w:p>
            <w:pPr>
              <w:pStyle w:val="TableContents"/>
              <w:bidi w:val="0"/>
              <w:spacing w:before="0" w:after="0"/>
              <w:jc w:val="left"/>
              <w:rPr/>
            </w:pPr>
            <w:r>
              <w:rPr/>
              <w:t> </w:t>
            </w:r>
          </w:p>
        </w:tc>
        <w:tc>
          <w:tcPr>
            <w:tcW w:w="1370" w:type="dxa"/>
            <w:tcBorders/>
            <w:tcMar>
              <w:bottom w:w="0" w:type="dxa"/>
            </w:tcMar>
            <w:vAlign w:val="center"/>
          </w:tcPr>
          <w:p>
            <w:pPr>
              <w:pStyle w:val="TableContents"/>
              <w:bidi w:val="0"/>
              <w:spacing w:before="0" w:after="0"/>
              <w:jc w:val="left"/>
              <w:rPr/>
            </w:pPr>
            <w:r>
              <w:rPr/>
              <w:t> </w:t>
            </w:r>
          </w:p>
        </w:tc>
        <w:tc>
          <w:tcPr>
            <w:tcW w:w="1025" w:type="dxa"/>
            <w:tcBorders/>
            <w:tcMar>
              <w:bottom w:w="0" w:type="dxa"/>
            </w:tcMar>
            <w:vAlign w:val="center"/>
          </w:tcPr>
          <w:p>
            <w:pPr>
              <w:pStyle w:val="TableContents"/>
              <w:bidi w:val="0"/>
              <w:spacing w:before="0" w:after="0"/>
              <w:jc w:val="left"/>
              <w:rPr>
                <w:sz w:val="20"/>
              </w:rPr>
            </w:pPr>
            <w:r>
              <w:rPr>
                <w:sz w:val="20"/>
              </w:rPr>
              <w:t>Government</w:t>
            </w:r>
          </w:p>
          <w:p>
            <w:pPr>
              <w:pStyle w:val="TableContents"/>
              <w:bidi w:val="0"/>
              <w:spacing w:before="0" w:after="0"/>
              <w:jc w:val="left"/>
              <w:rPr>
                <w:sz w:val="20"/>
              </w:rPr>
            </w:pPr>
            <w:r>
              <w:rPr>
                <w:sz w:val="20"/>
              </w:rPr>
              <w:t>Support</w:t>
            </w:r>
          </w:p>
        </w:tc>
        <w:tc>
          <w:tcPr>
            <w:tcW w:w="620" w:type="dxa"/>
            <w:tcBorders/>
            <w:tcMar>
              <w:bottom w:w="0" w:type="dxa"/>
            </w:tcMar>
            <w:vAlign w:val="center"/>
          </w:tcPr>
          <w:p>
            <w:pPr>
              <w:pStyle w:val="TableContents"/>
              <w:bidi w:val="0"/>
              <w:spacing w:before="0" w:after="0"/>
              <w:jc w:val="left"/>
              <w:rPr>
                <w:sz w:val="20"/>
              </w:rPr>
            </w:pPr>
            <w:r>
              <w:rPr>
                <w:sz w:val="20"/>
              </w:rPr>
              <w:t>bbb-</w:t>
            </w:r>
          </w:p>
        </w:tc>
        <w:tc>
          <w:tcPr>
            <w:tcW w:w="800" w:type="dxa"/>
            <w:tcBorders/>
            <w:tcMar>
              <w:bottom w:w="0" w:type="dxa"/>
            </w:tcMar>
            <w:vAlign w:val="center"/>
          </w:tcPr>
          <w:p>
            <w:pPr>
              <w:pStyle w:val="TableContents"/>
              <w:bidi w:val="0"/>
              <w:spacing w:before="0" w:after="0"/>
              <w:jc w:val="left"/>
              <w:rPr>
                <w:sz w:val="20"/>
              </w:rPr>
            </w:pPr>
            <w:r>
              <w:rPr>
                <w:sz w:val="20"/>
              </w:rPr>
              <w:t>Affirmed</w:t>
            </w:r>
          </w:p>
        </w:tc>
        <w:tc>
          <w:tcPr>
            <w:tcW w:w="1115" w:type="dxa"/>
            <w:tcBorders/>
            <w:tcMar>
              <w:bottom w:w="0" w:type="dxa"/>
            </w:tcMar>
            <w:vAlign w:val="center"/>
          </w:tcPr>
          <w:p>
            <w:pPr>
              <w:pStyle w:val="TableContents"/>
              <w:bidi w:val="0"/>
              <w:spacing w:before="0" w:after="0"/>
              <w:jc w:val="left"/>
              <w:rPr/>
            </w:pPr>
            <w:r>
              <w:rPr/>
              <w:t> </w:t>
            </w:r>
          </w:p>
        </w:tc>
        <w:tc>
          <w:tcPr>
            <w:tcW w:w="635" w:type="dxa"/>
            <w:tcBorders/>
            <w:tcMar>
              <w:bottom w:w="0" w:type="dxa"/>
            </w:tcMar>
            <w:vAlign w:val="center"/>
          </w:tcPr>
          <w:p>
            <w:pPr>
              <w:pStyle w:val="TableContents"/>
              <w:bidi w:val="0"/>
              <w:spacing w:before="0" w:after="0"/>
              <w:jc w:val="left"/>
              <w:rPr>
                <w:sz w:val="20"/>
              </w:rPr>
            </w:pPr>
            <w:r>
              <w:rPr>
                <w:sz w:val="20"/>
              </w:rPr>
              <w:t>bbb-</w:t>
            </w:r>
          </w:p>
        </w:tc>
      </w:tr>
      <w:tr>
        <w:trPr/>
        <w:tc>
          <w:tcPr>
            <w:tcW w:w="60" w:type="dxa"/>
            <w:tcBorders>
              <w:bottom w:val="single" w:sz="12" w:space="0" w:color="000000"/>
            </w:tcBorders>
            <w:vAlign w:val="center"/>
          </w:tcPr>
          <w:p>
            <w:pPr>
              <w:pStyle w:val="TableContents"/>
              <w:bidi w:val="0"/>
              <w:spacing w:before="0" w:after="283"/>
              <w:jc w:val="left"/>
              <w:rPr/>
            </w:pPr>
            <w:r>
              <w:rPr/>
              <w:t> </w:t>
            </w:r>
          </w:p>
        </w:tc>
        <w:tc>
          <w:tcPr>
            <w:tcW w:w="1370" w:type="dxa"/>
            <w:tcBorders>
              <w:bottom w:val="single" w:sz="12" w:space="0" w:color="000000"/>
            </w:tcBorders>
            <w:vAlign w:val="center"/>
          </w:tcPr>
          <w:p>
            <w:pPr>
              <w:pStyle w:val="TableContents"/>
              <w:bidi w:val="0"/>
              <w:spacing w:before="0" w:after="283"/>
              <w:jc w:val="left"/>
              <w:rPr/>
            </w:pPr>
            <w:r>
              <w:rPr/>
              <w:t> </w:t>
            </w:r>
          </w:p>
        </w:tc>
        <w:tc>
          <w:tcPr>
            <w:tcW w:w="1025" w:type="dxa"/>
            <w:tcBorders>
              <w:bottom w:val="single" w:sz="12" w:space="0" w:color="000000"/>
            </w:tcBorders>
            <w:vAlign w:val="center"/>
          </w:tcPr>
          <w:p>
            <w:pPr>
              <w:pStyle w:val="TableContents"/>
              <w:bidi w:val="0"/>
              <w:spacing w:before="0" w:after="283"/>
              <w:jc w:val="left"/>
              <w:rPr/>
            </w:pPr>
            <w:r>
              <w:rPr/>
              <w:t> </w:t>
            </w:r>
          </w:p>
        </w:tc>
        <w:tc>
          <w:tcPr>
            <w:tcW w:w="620" w:type="dxa"/>
            <w:tcBorders>
              <w:bottom w:val="single" w:sz="12" w:space="0" w:color="000000"/>
            </w:tcBorders>
            <w:vAlign w:val="center"/>
          </w:tcPr>
          <w:p>
            <w:pPr>
              <w:pStyle w:val="TableContents"/>
              <w:bidi w:val="0"/>
              <w:spacing w:before="0" w:after="283"/>
              <w:jc w:val="left"/>
              <w:rPr/>
            </w:pPr>
            <w:r>
              <w:rPr/>
              <w:t> </w:t>
            </w:r>
          </w:p>
        </w:tc>
        <w:tc>
          <w:tcPr>
            <w:tcW w:w="800" w:type="dxa"/>
            <w:tcBorders>
              <w:bottom w:val="single" w:sz="12" w:space="0" w:color="000000"/>
            </w:tcBorders>
            <w:vAlign w:val="center"/>
          </w:tcPr>
          <w:p>
            <w:pPr>
              <w:pStyle w:val="TableContents"/>
              <w:bidi w:val="0"/>
              <w:spacing w:before="0" w:after="283"/>
              <w:jc w:val="left"/>
              <w:rPr/>
            </w:pPr>
            <w:r>
              <w:rPr/>
              <w:t> </w:t>
            </w:r>
          </w:p>
        </w:tc>
        <w:tc>
          <w:tcPr>
            <w:tcW w:w="1115" w:type="dxa"/>
            <w:tcBorders>
              <w:bottom w:val="single" w:sz="12" w:space="0" w:color="000000"/>
            </w:tcBorders>
            <w:vAlign w:val="center"/>
          </w:tcPr>
          <w:p>
            <w:pPr>
              <w:pStyle w:val="TableContents"/>
              <w:bidi w:val="0"/>
              <w:spacing w:before="0" w:after="283"/>
              <w:jc w:val="left"/>
              <w:rPr/>
            </w:pPr>
            <w:r>
              <w:rPr/>
              <w:t> </w:t>
            </w:r>
          </w:p>
        </w:tc>
        <w:tc>
          <w:tcPr>
            <w:tcW w:w="635" w:type="dxa"/>
            <w:tcBorders>
              <w:bottom w:val="single" w:sz="12" w:space="0" w:color="000000"/>
            </w:tcBorders>
            <w:vAlign w:val="center"/>
          </w:tcPr>
          <w:p>
            <w:pPr>
              <w:pStyle w:val="TableContents"/>
              <w:bidi w:val="0"/>
              <w:spacing w:before="0" w:after="283"/>
              <w:jc w:val="left"/>
              <w:rPr/>
            </w:pPr>
            <w:r>
              <w:rPr/>
              <w:t> </w:t>
            </w:r>
          </w:p>
        </w:tc>
      </w:tr>
      <w:tr>
        <w:trPr/>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left"/>
              <w:rPr/>
            </w:pPr>
            <w:r>
              <w:rPr/>
              <w:t> </w:t>
            </w:r>
          </w:p>
        </w:tc>
        <w:tc>
          <w:tcPr>
            <w:tcW w:w="1025" w:type="dxa"/>
            <w:tcBorders/>
            <w:tcMar>
              <w:bottom w:w="0" w:type="dxa"/>
            </w:tcMar>
            <w:vAlign w:val="center"/>
          </w:tcPr>
          <w:p>
            <w:pPr>
              <w:pStyle w:val="TableContents"/>
              <w:bidi w:val="0"/>
              <w:spacing w:before="0" w:after="283"/>
              <w:jc w:val="left"/>
              <w:rPr/>
            </w:pPr>
            <w:r>
              <w:rPr/>
              <w:t> </w:t>
            </w:r>
          </w:p>
        </w:tc>
        <w:tc>
          <w:tcPr>
            <w:tcW w:w="62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left"/>
              <w:rPr/>
            </w:pPr>
            <w:r>
              <w:rPr/>
              <w:t> </w:t>
            </w:r>
          </w:p>
        </w:tc>
        <w:tc>
          <w:tcPr>
            <w:tcW w:w="1115" w:type="dxa"/>
            <w:tcBorders/>
            <w:tcMar>
              <w:bottom w:w="0" w:type="dxa"/>
            </w:tcMar>
            <w:vAlign w:val="center"/>
          </w:tcPr>
          <w:p>
            <w:pPr>
              <w:pStyle w:val="TableContents"/>
              <w:bidi w:val="0"/>
              <w:spacing w:before="0" w:after="283"/>
              <w:jc w:val="left"/>
              <w:rPr/>
            </w:pPr>
            <w:r>
              <w:rPr/>
              <w:t> </w:t>
            </w:r>
          </w:p>
        </w:tc>
        <w:tc>
          <w:tcPr>
            <w:tcW w:w="635" w:type="dxa"/>
            <w:tcBorders/>
            <w:tcMar>
              <w:bottom w:w="0" w:type="dxa"/>
            </w:tcMar>
            <w:vAlign w:val="center"/>
          </w:tcPr>
          <w:p>
            <w:pPr>
              <w:pStyle w:val="TableContents"/>
              <w:bidi w:val="0"/>
              <w:spacing w:before="0" w:after="283"/>
              <w:jc w:val="left"/>
              <w:rPr/>
            </w:pPr>
            <w:r>
              <w:rPr/>
              <w:t> </w:t>
            </w:r>
          </w:p>
        </w:tc>
      </w:tr>
      <w:tr>
        <w:trPr/>
        <w:tc>
          <w:tcPr>
            <w:tcW w:w="60" w:type="dxa"/>
            <w:tcBorders/>
            <w:tcMar>
              <w:bottom w:w="0" w:type="dxa"/>
            </w:tcMar>
            <w:vAlign w:val="center"/>
          </w:tcPr>
          <w:p>
            <w:pPr>
              <w:pStyle w:val="TableContents"/>
              <w:bidi w:val="0"/>
              <w:spacing w:before="0" w:after="0"/>
              <w:jc w:val="left"/>
              <w:rPr/>
            </w:pPr>
            <w:r>
              <w:rPr/>
              <w:t> </w:t>
            </w:r>
          </w:p>
        </w:tc>
        <w:tc>
          <w:tcPr>
            <w:tcW w:w="1370" w:type="dxa"/>
            <w:tcBorders/>
            <w:tcMar>
              <w:bottom w:w="0" w:type="dxa"/>
            </w:tcMar>
            <w:vAlign w:val="center"/>
          </w:tcPr>
          <w:p>
            <w:pPr>
              <w:pStyle w:val="TableContents"/>
              <w:bidi w:val="0"/>
              <w:spacing w:before="0" w:after="0"/>
              <w:ind w:left="180" w:right="0" w:hanging="0"/>
              <w:jc w:val="left"/>
              <w:rPr/>
            </w:pPr>
            <w:r>
              <w:rPr/>
              <w:t xml:space="preserve">•  </w:t>
            </w:r>
            <w:r>
              <w:rPr>
                <w:sz w:val="20"/>
              </w:rPr>
              <w:t>senior</w:t>
            </w:r>
          </w:p>
          <w:p>
            <w:pPr>
              <w:pStyle w:val="TableContents"/>
              <w:bidi w:val="0"/>
              <w:spacing w:before="0" w:after="0"/>
              <w:ind w:left="1080" w:right="0" w:hanging="720"/>
              <w:jc w:val="left"/>
              <w:rPr>
                <w:sz w:val="20"/>
              </w:rPr>
            </w:pPr>
            <w:r>
              <w:rPr>
                <w:sz w:val="20"/>
              </w:rPr>
              <w:t>unsecured</w:t>
            </w:r>
          </w:p>
        </w:tc>
        <w:tc>
          <w:tcPr>
            <w:tcW w:w="1025" w:type="dxa"/>
            <w:tcBorders/>
            <w:tcMar>
              <w:bottom w:w="0" w:type="dxa"/>
            </w:tcMar>
            <w:vAlign w:val="center"/>
          </w:tcPr>
          <w:p>
            <w:pPr>
              <w:pStyle w:val="TableContents"/>
              <w:bidi w:val="0"/>
              <w:spacing w:before="0" w:after="0"/>
              <w:jc w:val="left"/>
              <w:rPr>
                <w:sz w:val="20"/>
              </w:rPr>
            </w:pPr>
            <w:r>
              <w:rPr>
                <w:sz w:val="20"/>
              </w:rPr>
              <w:t>LT</w:t>
            </w:r>
          </w:p>
        </w:tc>
        <w:tc>
          <w:tcPr>
            <w:tcW w:w="620" w:type="dxa"/>
            <w:tcBorders/>
            <w:tcMar>
              <w:bottom w:w="0" w:type="dxa"/>
            </w:tcMar>
            <w:vAlign w:val="center"/>
          </w:tcPr>
          <w:p>
            <w:pPr>
              <w:pStyle w:val="TableContents"/>
              <w:bidi w:val="0"/>
              <w:spacing w:before="0" w:after="0"/>
              <w:jc w:val="left"/>
              <w:rPr>
                <w:sz w:val="20"/>
              </w:rPr>
            </w:pPr>
            <w:r>
              <w:rPr>
                <w:sz w:val="20"/>
              </w:rPr>
              <w:t>BBB</w:t>
            </w:r>
          </w:p>
        </w:tc>
        <w:tc>
          <w:tcPr>
            <w:tcW w:w="800" w:type="dxa"/>
            <w:tcBorders/>
            <w:tcMar>
              <w:bottom w:w="0" w:type="dxa"/>
            </w:tcMar>
            <w:vAlign w:val="center"/>
          </w:tcPr>
          <w:p>
            <w:pPr>
              <w:pStyle w:val="TableContents"/>
              <w:bidi w:val="0"/>
              <w:spacing w:before="0" w:after="0"/>
              <w:jc w:val="left"/>
              <w:rPr>
                <w:sz w:val="20"/>
              </w:rPr>
            </w:pPr>
            <w:r>
              <w:rPr>
                <w:sz w:val="20"/>
              </w:rPr>
              <w:t>Affirmed</w:t>
            </w:r>
          </w:p>
        </w:tc>
        <w:tc>
          <w:tcPr>
            <w:tcW w:w="1115" w:type="dxa"/>
            <w:tcBorders/>
            <w:tcMar>
              <w:bottom w:w="0" w:type="dxa"/>
            </w:tcMar>
            <w:vAlign w:val="center"/>
          </w:tcPr>
          <w:p>
            <w:pPr>
              <w:pStyle w:val="TableContents"/>
              <w:bidi w:val="0"/>
              <w:spacing w:before="0" w:after="0"/>
              <w:jc w:val="left"/>
              <w:rPr/>
            </w:pPr>
            <w:r>
              <w:rPr/>
              <w:t> </w:t>
            </w:r>
          </w:p>
        </w:tc>
        <w:tc>
          <w:tcPr>
            <w:tcW w:w="635" w:type="dxa"/>
            <w:tcBorders/>
            <w:tcMar>
              <w:bottom w:w="0" w:type="dxa"/>
            </w:tcMar>
            <w:vAlign w:val="center"/>
          </w:tcPr>
          <w:p>
            <w:pPr>
              <w:pStyle w:val="TableContents"/>
              <w:bidi w:val="0"/>
              <w:spacing w:before="0" w:after="0"/>
              <w:jc w:val="left"/>
              <w:rPr>
                <w:sz w:val="20"/>
              </w:rPr>
            </w:pPr>
            <w:r>
              <w:rPr>
                <w:sz w:val="20"/>
              </w:rPr>
              <w:t>BBB</w:t>
            </w:r>
          </w:p>
        </w:tc>
      </w:tr>
      <w:tr>
        <w:trPr/>
        <w:tc>
          <w:tcPr>
            <w:tcW w:w="60" w:type="dxa"/>
            <w:tcBorders>
              <w:bottom w:val="single" w:sz="12" w:space="0" w:color="000000"/>
            </w:tcBorders>
            <w:vAlign w:val="center"/>
          </w:tcPr>
          <w:p>
            <w:pPr>
              <w:pStyle w:val="TableContents"/>
              <w:bidi w:val="0"/>
              <w:spacing w:before="0" w:after="283"/>
              <w:jc w:val="left"/>
              <w:rPr/>
            </w:pPr>
            <w:r>
              <w:rPr/>
              <w:t> </w:t>
            </w:r>
          </w:p>
        </w:tc>
        <w:tc>
          <w:tcPr>
            <w:tcW w:w="1370" w:type="dxa"/>
            <w:tcBorders>
              <w:bottom w:val="single" w:sz="12" w:space="0" w:color="000000"/>
            </w:tcBorders>
            <w:vAlign w:val="center"/>
          </w:tcPr>
          <w:p>
            <w:pPr>
              <w:pStyle w:val="TableContents"/>
              <w:bidi w:val="0"/>
              <w:spacing w:before="0" w:after="283"/>
              <w:jc w:val="left"/>
              <w:rPr/>
            </w:pPr>
            <w:r>
              <w:rPr/>
              <w:t> </w:t>
            </w:r>
          </w:p>
        </w:tc>
        <w:tc>
          <w:tcPr>
            <w:tcW w:w="1025" w:type="dxa"/>
            <w:tcBorders>
              <w:bottom w:val="single" w:sz="12" w:space="0" w:color="000000"/>
            </w:tcBorders>
            <w:vAlign w:val="center"/>
          </w:tcPr>
          <w:p>
            <w:pPr>
              <w:pStyle w:val="TableContents"/>
              <w:bidi w:val="0"/>
              <w:spacing w:before="0" w:after="283"/>
              <w:jc w:val="left"/>
              <w:rPr/>
            </w:pPr>
            <w:r>
              <w:rPr/>
              <w:t> </w:t>
            </w:r>
          </w:p>
        </w:tc>
        <w:tc>
          <w:tcPr>
            <w:tcW w:w="620" w:type="dxa"/>
            <w:tcBorders>
              <w:bottom w:val="single" w:sz="12" w:space="0" w:color="000000"/>
            </w:tcBorders>
            <w:vAlign w:val="center"/>
          </w:tcPr>
          <w:p>
            <w:pPr>
              <w:pStyle w:val="TableContents"/>
              <w:bidi w:val="0"/>
              <w:spacing w:before="0" w:after="283"/>
              <w:jc w:val="left"/>
              <w:rPr/>
            </w:pPr>
            <w:r>
              <w:rPr/>
              <w:t> </w:t>
            </w:r>
          </w:p>
        </w:tc>
        <w:tc>
          <w:tcPr>
            <w:tcW w:w="800" w:type="dxa"/>
            <w:tcBorders>
              <w:bottom w:val="single" w:sz="12" w:space="0" w:color="000000"/>
            </w:tcBorders>
            <w:vAlign w:val="center"/>
          </w:tcPr>
          <w:p>
            <w:pPr>
              <w:pStyle w:val="TableContents"/>
              <w:bidi w:val="0"/>
              <w:spacing w:before="0" w:after="283"/>
              <w:jc w:val="left"/>
              <w:rPr/>
            </w:pPr>
            <w:r>
              <w:rPr/>
              <w:t> </w:t>
            </w:r>
          </w:p>
        </w:tc>
        <w:tc>
          <w:tcPr>
            <w:tcW w:w="1115" w:type="dxa"/>
            <w:tcBorders>
              <w:bottom w:val="single" w:sz="12" w:space="0" w:color="000000"/>
            </w:tcBorders>
            <w:vAlign w:val="center"/>
          </w:tcPr>
          <w:p>
            <w:pPr>
              <w:pStyle w:val="TableContents"/>
              <w:bidi w:val="0"/>
              <w:spacing w:before="0" w:after="283"/>
              <w:jc w:val="left"/>
              <w:rPr/>
            </w:pPr>
            <w:r>
              <w:rPr/>
              <w:t> </w:t>
            </w:r>
          </w:p>
        </w:tc>
        <w:tc>
          <w:tcPr>
            <w:tcW w:w="635" w:type="dxa"/>
            <w:tcBorders>
              <w:bottom w:val="single" w:sz="12" w:space="0" w:color="000000"/>
            </w:tcBorders>
            <w:vAlign w:val="center"/>
          </w:tcPr>
          <w:p>
            <w:pPr>
              <w:pStyle w:val="TableContents"/>
              <w:bidi w:val="0"/>
              <w:spacing w:before="0" w:after="283"/>
              <w:jc w:val="left"/>
              <w:rPr/>
            </w:pPr>
            <w:r>
              <w:rPr/>
              <w:t> </w:t>
            </w:r>
          </w:p>
        </w:tc>
      </w:tr>
      <w:tr>
        <w:trPr/>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left"/>
              <w:rPr/>
            </w:pPr>
            <w:r>
              <w:rPr/>
              <w:t> </w:t>
            </w:r>
          </w:p>
        </w:tc>
        <w:tc>
          <w:tcPr>
            <w:tcW w:w="1025" w:type="dxa"/>
            <w:tcBorders/>
            <w:tcMar>
              <w:bottom w:w="0" w:type="dxa"/>
            </w:tcMar>
            <w:vAlign w:val="center"/>
          </w:tcPr>
          <w:p>
            <w:pPr>
              <w:pStyle w:val="TableContents"/>
              <w:bidi w:val="0"/>
              <w:spacing w:before="0" w:after="283"/>
              <w:jc w:val="left"/>
              <w:rPr/>
            </w:pPr>
            <w:r>
              <w:rPr/>
              <w:t> </w:t>
            </w:r>
          </w:p>
        </w:tc>
        <w:tc>
          <w:tcPr>
            <w:tcW w:w="62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left"/>
              <w:rPr/>
            </w:pPr>
            <w:r>
              <w:rPr/>
              <w:t> </w:t>
            </w:r>
          </w:p>
        </w:tc>
        <w:tc>
          <w:tcPr>
            <w:tcW w:w="1115" w:type="dxa"/>
            <w:tcBorders/>
            <w:tcMar>
              <w:bottom w:w="0" w:type="dxa"/>
            </w:tcMar>
            <w:vAlign w:val="center"/>
          </w:tcPr>
          <w:p>
            <w:pPr>
              <w:pStyle w:val="TableContents"/>
              <w:bidi w:val="0"/>
              <w:spacing w:before="0" w:after="283"/>
              <w:jc w:val="left"/>
              <w:rPr/>
            </w:pPr>
            <w:r>
              <w:rPr/>
              <w:t> </w:t>
            </w:r>
          </w:p>
        </w:tc>
        <w:tc>
          <w:tcPr>
            <w:tcW w:w="635" w:type="dxa"/>
            <w:tcBorders/>
            <w:tcMar>
              <w:bottom w:w="0" w:type="dxa"/>
            </w:tcMar>
            <w:vAlign w:val="center"/>
          </w:tcPr>
          <w:p>
            <w:pPr>
              <w:pStyle w:val="TableContents"/>
              <w:bidi w:val="0"/>
              <w:spacing w:before="0" w:after="283"/>
              <w:jc w:val="left"/>
              <w:rPr/>
            </w:pPr>
            <w:r>
              <w:rPr/>
              <w:t> </w:t>
            </w:r>
          </w:p>
        </w:tc>
      </w:tr>
      <w:tr>
        <w:trPr/>
        <w:tc>
          <w:tcPr>
            <w:tcW w:w="60" w:type="dxa"/>
            <w:tcBorders/>
            <w:tcMar>
              <w:bottom w:w="0" w:type="dxa"/>
            </w:tcMar>
            <w:vAlign w:val="center"/>
          </w:tcPr>
          <w:p>
            <w:pPr>
              <w:pStyle w:val="TableContents"/>
              <w:bidi w:val="0"/>
              <w:spacing w:before="0" w:after="0"/>
              <w:jc w:val="left"/>
              <w:rPr/>
            </w:pPr>
            <w:r>
              <w:rPr/>
              <w:t> </w:t>
            </w:r>
          </w:p>
        </w:tc>
        <w:tc>
          <w:tcPr>
            <w:tcW w:w="1370" w:type="dxa"/>
            <w:tcBorders/>
            <w:tcMar>
              <w:bottom w:w="0" w:type="dxa"/>
            </w:tcMar>
            <w:vAlign w:val="center"/>
          </w:tcPr>
          <w:p>
            <w:pPr>
              <w:pStyle w:val="TableContents"/>
              <w:bidi w:val="0"/>
              <w:spacing w:before="0" w:after="0"/>
              <w:jc w:val="left"/>
              <w:rPr>
                <w:sz w:val="20"/>
              </w:rPr>
            </w:pPr>
            <w:r>
              <w:rPr>
                <w:sz w:val="20"/>
              </w:rPr>
              <w:t>Scotiabank</w:t>
            </w:r>
          </w:p>
          <w:p>
            <w:pPr>
              <w:pStyle w:val="TableContents"/>
              <w:bidi w:val="0"/>
              <w:spacing w:before="0" w:after="0"/>
              <w:jc w:val="left"/>
              <w:rPr>
                <w:sz w:val="20"/>
              </w:rPr>
            </w:pPr>
            <w:r>
              <w:rPr>
                <w:sz w:val="20"/>
              </w:rPr>
              <w:t>Peru S.A.A.</w:t>
            </w:r>
          </w:p>
        </w:tc>
        <w:tc>
          <w:tcPr>
            <w:tcW w:w="1025" w:type="dxa"/>
            <w:tcBorders/>
            <w:tcMar>
              <w:bottom w:w="0" w:type="dxa"/>
            </w:tcMar>
            <w:vAlign w:val="center"/>
          </w:tcPr>
          <w:p>
            <w:pPr>
              <w:pStyle w:val="TableContents"/>
              <w:bidi w:val="0"/>
              <w:spacing w:before="0" w:after="0"/>
              <w:jc w:val="left"/>
              <w:rPr>
                <w:sz w:val="20"/>
              </w:rPr>
            </w:pPr>
            <w:r>
              <w:rPr>
                <w:sz w:val="20"/>
              </w:rPr>
              <w:t>LT IDR</w:t>
            </w:r>
          </w:p>
        </w:tc>
        <w:tc>
          <w:tcPr>
            <w:tcW w:w="620" w:type="dxa"/>
            <w:tcBorders/>
            <w:tcMar>
              <w:bottom w:w="0" w:type="dxa"/>
            </w:tcMar>
            <w:vAlign w:val="center"/>
          </w:tcPr>
          <w:p>
            <w:pPr>
              <w:pStyle w:val="TableContents"/>
              <w:bidi w:val="0"/>
              <w:spacing w:before="0" w:after="0"/>
              <w:jc w:val="left"/>
              <w:rPr>
                <w:sz w:val="20"/>
              </w:rPr>
            </w:pPr>
            <w:r>
              <w:rPr>
                <w:sz w:val="20"/>
              </w:rPr>
              <w:t xml:space="preserve">A- </w:t>
            </w:r>
            <w:r>
              <w:rPr>
                <w:sz w:val="20"/>
              </w:rPr>
              <w:drawing>
                <wp:inline distT="0" distB="0" distL="0" distR="0">
                  <wp:extent cx="95250" cy="9525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95250" cy="95250"/>
                          </a:xfrm>
                          <a:prstGeom prst="rect">
                            <a:avLst/>
                          </a:prstGeom>
                        </pic:spPr>
                      </pic:pic>
                    </a:graphicData>
                  </a:graphic>
                </wp:inline>
              </w:drawing>
            </w:r>
          </w:p>
        </w:tc>
        <w:tc>
          <w:tcPr>
            <w:tcW w:w="800" w:type="dxa"/>
            <w:tcBorders/>
            <w:tcMar>
              <w:bottom w:w="0" w:type="dxa"/>
            </w:tcMar>
            <w:vAlign w:val="center"/>
          </w:tcPr>
          <w:p>
            <w:pPr>
              <w:pStyle w:val="TableContents"/>
              <w:bidi w:val="0"/>
              <w:spacing w:before="0" w:after="0"/>
              <w:jc w:val="left"/>
              <w:rPr>
                <w:sz w:val="20"/>
              </w:rPr>
            </w:pPr>
            <w:r>
              <w:rPr>
                <w:sz w:val="20"/>
              </w:rPr>
              <w:t>Affirmed</w:t>
            </w:r>
          </w:p>
        </w:tc>
        <w:tc>
          <w:tcPr>
            <w:tcW w:w="1115" w:type="dxa"/>
            <w:tcBorders/>
            <w:tcMar>
              <w:bottom w:w="0" w:type="dxa"/>
            </w:tcMar>
            <w:vAlign w:val="center"/>
          </w:tcPr>
          <w:p>
            <w:pPr>
              <w:pStyle w:val="TableContents"/>
              <w:bidi w:val="0"/>
              <w:spacing w:before="0" w:after="0"/>
              <w:jc w:val="left"/>
              <w:rPr/>
            </w:pPr>
            <w:r>
              <w:rPr/>
              <w:t> </w:t>
            </w:r>
          </w:p>
        </w:tc>
        <w:tc>
          <w:tcPr>
            <w:tcW w:w="635" w:type="dxa"/>
            <w:tcBorders/>
            <w:tcMar>
              <w:bottom w:w="0" w:type="dxa"/>
            </w:tcMar>
            <w:vAlign w:val="center"/>
          </w:tcPr>
          <w:p>
            <w:pPr>
              <w:pStyle w:val="TableContents"/>
              <w:bidi w:val="0"/>
              <w:spacing w:before="0" w:after="0"/>
              <w:jc w:val="left"/>
              <w:rPr>
                <w:sz w:val="20"/>
              </w:rPr>
            </w:pPr>
            <w:r>
              <w:rPr>
                <w:sz w:val="20"/>
              </w:rPr>
              <w:t xml:space="preserve">A- </w:t>
            </w:r>
            <w:r>
              <w:rPr>
                <w:sz w:val="20"/>
              </w:rPr>
              <w:drawing>
                <wp:inline distT="0" distB="0" distL="0" distR="0">
                  <wp:extent cx="85725" cy="8572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85725" cy="85725"/>
                          </a:xfrm>
                          <a:prstGeom prst="rect">
                            <a:avLst/>
                          </a:prstGeom>
                        </pic:spPr>
                      </pic:pic>
                    </a:graphicData>
                  </a:graphic>
                </wp:inline>
              </w:drawing>
            </w:r>
          </w:p>
        </w:tc>
      </w:tr>
      <w:tr>
        <w:trPr/>
        <w:tc>
          <w:tcPr>
            <w:tcW w:w="60" w:type="dxa"/>
            <w:tcBorders>
              <w:bottom w:val="single" w:sz="12" w:space="0" w:color="000000"/>
            </w:tcBorders>
            <w:vAlign w:val="center"/>
          </w:tcPr>
          <w:p>
            <w:pPr>
              <w:pStyle w:val="TableContents"/>
              <w:bidi w:val="0"/>
              <w:spacing w:before="0" w:after="283"/>
              <w:jc w:val="left"/>
              <w:rPr/>
            </w:pPr>
            <w:r>
              <w:rPr/>
              <w:t> </w:t>
            </w:r>
          </w:p>
        </w:tc>
        <w:tc>
          <w:tcPr>
            <w:tcW w:w="1370" w:type="dxa"/>
            <w:tcBorders>
              <w:bottom w:val="single" w:sz="12" w:space="0" w:color="000000"/>
            </w:tcBorders>
            <w:vAlign w:val="center"/>
          </w:tcPr>
          <w:p>
            <w:pPr>
              <w:pStyle w:val="TableContents"/>
              <w:bidi w:val="0"/>
              <w:spacing w:before="0" w:after="283"/>
              <w:jc w:val="left"/>
              <w:rPr/>
            </w:pPr>
            <w:r>
              <w:rPr/>
              <w:t> </w:t>
            </w:r>
          </w:p>
        </w:tc>
        <w:tc>
          <w:tcPr>
            <w:tcW w:w="1025" w:type="dxa"/>
            <w:tcBorders>
              <w:bottom w:val="single" w:sz="12" w:space="0" w:color="000000"/>
            </w:tcBorders>
            <w:vAlign w:val="center"/>
          </w:tcPr>
          <w:p>
            <w:pPr>
              <w:pStyle w:val="TableContents"/>
              <w:bidi w:val="0"/>
              <w:spacing w:before="0" w:after="283"/>
              <w:jc w:val="left"/>
              <w:rPr/>
            </w:pPr>
            <w:r>
              <w:rPr/>
              <w:t> </w:t>
            </w:r>
          </w:p>
        </w:tc>
        <w:tc>
          <w:tcPr>
            <w:tcW w:w="620" w:type="dxa"/>
            <w:tcBorders>
              <w:bottom w:val="single" w:sz="12" w:space="0" w:color="000000"/>
            </w:tcBorders>
            <w:vAlign w:val="center"/>
          </w:tcPr>
          <w:p>
            <w:pPr>
              <w:pStyle w:val="TableContents"/>
              <w:bidi w:val="0"/>
              <w:spacing w:before="0" w:after="283"/>
              <w:jc w:val="left"/>
              <w:rPr/>
            </w:pPr>
            <w:r>
              <w:rPr/>
              <w:t> </w:t>
            </w:r>
          </w:p>
        </w:tc>
        <w:tc>
          <w:tcPr>
            <w:tcW w:w="800" w:type="dxa"/>
            <w:tcBorders>
              <w:bottom w:val="single" w:sz="12" w:space="0" w:color="000000"/>
            </w:tcBorders>
            <w:vAlign w:val="center"/>
          </w:tcPr>
          <w:p>
            <w:pPr>
              <w:pStyle w:val="TableContents"/>
              <w:bidi w:val="0"/>
              <w:spacing w:before="0" w:after="283"/>
              <w:jc w:val="left"/>
              <w:rPr/>
            </w:pPr>
            <w:r>
              <w:rPr/>
              <w:t> </w:t>
            </w:r>
          </w:p>
        </w:tc>
        <w:tc>
          <w:tcPr>
            <w:tcW w:w="1115" w:type="dxa"/>
            <w:tcBorders>
              <w:bottom w:val="single" w:sz="12" w:space="0" w:color="000000"/>
            </w:tcBorders>
            <w:vAlign w:val="center"/>
          </w:tcPr>
          <w:p>
            <w:pPr>
              <w:pStyle w:val="TableContents"/>
              <w:bidi w:val="0"/>
              <w:spacing w:before="0" w:after="283"/>
              <w:jc w:val="left"/>
              <w:rPr/>
            </w:pPr>
            <w:r>
              <w:rPr/>
              <w:t> </w:t>
            </w:r>
          </w:p>
        </w:tc>
        <w:tc>
          <w:tcPr>
            <w:tcW w:w="635" w:type="dxa"/>
            <w:tcBorders>
              <w:bottom w:val="single" w:sz="12" w:space="0" w:color="000000"/>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HorizontalLine"/>
        <w:pBdr>
          <w:bottom w:val="single" w:sz="12" w:space="0" w:color="808080"/>
        </w:pBdr>
        <w:bidi w:val="0"/>
        <w:spacing w:before="180" w:after="180"/>
        <w:jc w:val="left"/>
        <w:rPr/>
      </w:pPr>
      <w:r>
        <w:rPr/>
      </w:r>
    </w:p>
    <w:p>
      <w:pPr>
        <w:pStyle w:val="Normal"/>
        <w:bidi w:val="0"/>
        <w:spacing w:before="0" w:after="0"/>
        <w:jc w:val="left"/>
        <w:rPr>
          <w:sz w:val="4"/>
          <w:szCs w:val="4"/>
        </w:rPr>
      </w:pPr>
      <w:r>
        <w:rPr>
          <w:sz w:val="4"/>
          <w:szCs w:val="4"/>
        </w:rPr>
      </w:r>
      <w:bookmarkStart w:id="18" w:name="ze82cda1e36f345d9947eac272d47d20c"/>
      <w:bookmarkStart w:id="19" w:name="ze82cda1e36f345d9947eac272d47d20c"/>
      <w:bookmarkEnd w:id="19"/>
    </w:p>
    <w:tbl>
      <w:tblPr>
        <w:tblW w:w="5325" w:type="dxa"/>
        <w:jc w:val="left"/>
        <w:tblInd w:w="0" w:type="dxa"/>
        <w:tblLayout w:type="fixed"/>
        <w:tblCellMar>
          <w:top w:w="0" w:type="dxa"/>
          <w:left w:w="0" w:type="dxa"/>
          <w:bottom w:w="28" w:type="dxa"/>
          <w:right w:w="0" w:type="dxa"/>
        </w:tblCellMar>
      </w:tblPr>
      <w:tblGrid>
        <w:gridCol w:w="60"/>
        <w:gridCol w:w="1370"/>
        <w:gridCol w:w="995"/>
        <w:gridCol w:w="410"/>
        <w:gridCol w:w="740"/>
        <w:gridCol w:w="1115"/>
        <w:gridCol w:w="635"/>
      </w:tblGrid>
      <w:tr>
        <w:trPr/>
        <w:tc>
          <w:tcPr>
            <w:tcW w:w="60" w:type="dxa"/>
            <w:tcBorders>
              <w:bottom w:val="single" w:sz="12" w:space="0" w:color="000000"/>
            </w:tcBorders>
            <w:vAlign w:val="center"/>
          </w:tcPr>
          <w:p>
            <w:pPr>
              <w:pStyle w:val="TableContents"/>
              <w:bidi w:val="0"/>
              <w:spacing w:before="0" w:after="283"/>
              <w:jc w:val="left"/>
              <w:rPr/>
            </w:pPr>
            <w:r>
              <w:rPr/>
              <w:t> </w:t>
            </w:r>
          </w:p>
        </w:tc>
        <w:tc>
          <w:tcPr>
            <w:tcW w:w="1370" w:type="dxa"/>
            <w:tcBorders>
              <w:bottom w:val="single" w:sz="12" w:space="0" w:color="000000"/>
            </w:tcBorders>
            <w:vAlign w:val="center"/>
          </w:tcPr>
          <w:p>
            <w:pPr>
              <w:pStyle w:val="TableContents"/>
              <w:bidi w:val="0"/>
              <w:spacing w:before="0" w:after="0"/>
              <w:jc w:val="left"/>
              <w:rPr>
                <w:b/>
                <w:sz w:val="20"/>
              </w:rPr>
            </w:pPr>
            <w:r>
              <w:rPr>
                <w:b/>
                <w:sz w:val="20"/>
              </w:rPr>
              <w:t>ENTITY/DEBT</w:t>
            </w:r>
          </w:p>
        </w:tc>
        <w:tc>
          <w:tcPr>
            <w:tcW w:w="995" w:type="dxa"/>
            <w:tcBorders>
              <w:bottom w:val="single" w:sz="12" w:space="0" w:color="000000"/>
            </w:tcBorders>
            <w:vAlign w:val="center"/>
          </w:tcPr>
          <w:p>
            <w:pPr>
              <w:pStyle w:val="TableContents"/>
              <w:bidi w:val="0"/>
              <w:spacing w:before="0" w:after="0"/>
              <w:jc w:val="left"/>
              <w:rPr>
                <w:b/>
                <w:sz w:val="20"/>
              </w:rPr>
            </w:pPr>
            <w:r>
              <w:rPr>
                <w:b/>
                <w:sz w:val="20"/>
              </w:rPr>
              <w:t>RATING</w:t>
            </w:r>
          </w:p>
        </w:tc>
        <w:tc>
          <w:tcPr>
            <w:tcW w:w="410" w:type="dxa"/>
            <w:tcBorders>
              <w:bottom w:val="single" w:sz="12" w:space="0" w:color="000000"/>
            </w:tcBorders>
            <w:vAlign w:val="center"/>
          </w:tcPr>
          <w:p>
            <w:pPr>
              <w:pStyle w:val="TableContents"/>
              <w:bidi w:val="0"/>
              <w:spacing w:before="0" w:after="283"/>
              <w:jc w:val="left"/>
              <w:rPr/>
            </w:pPr>
            <w:r>
              <w:rPr/>
            </w:r>
          </w:p>
        </w:tc>
        <w:tc>
          <w:tcPr>
            <w:tcW w:w="740" w:type="dxa"/>
            <w:tcBorders>
              <w:bottom w:val="single" w:sz="12" w:space="0" w:color="000000"/>
            </w:tcBorders>
            <w:vAlign w:val="center"/>
          </w:tcPr>
          <w:p>
            <w:pPr>
              <w:pStyle w:val="TableContents"/>
              <w:bidi w:val="0"/>
              <w:spacing w:before="0" w:after="283"/>
              <w:jc w:val="left"/>
              <w:rPr/>
            </w:pPr>
            <w:r>
              <w:rPr/>
            </w:r>
          </w:p>
        </w:tc>
        <w:tc>
          <w:tcPr>
            <w:tcW w:w="1115" w:type="dxa"/>
            <w:tcBorders>
              <w:bottom w:val="single" w:sz="12" w:space="0" w:color="000000"/>
            </w:tcBorders>
            <w:vAlign w:val="center"/>
          </w:tcPr>
          <w:p>
            <w:pPr>
              <w:pStyle w:val="TableContents"/>
              <w:bidi w:val="0"/>
              <w:spacing w:before="0" w:after="0"/>
              <w:jc w:val="center"/>
              <w:rPr>
                <w:b/>
                <w:sz w:val="20"/>
              </w:rPr>
            </w:pPr>
            <w:r>
              <w:rPr>
                <w:b/>
                <w:sz w:val="20"/>
              </w:rPr>
              <w:t>RECOVERY</w:t>
            </w:r>
          </w:p>
        </w:tc>
        <w:tc>
          <w:tcPr>
            <w:tcW w:w="635" w:type="dxa"/>
            <w:tcBorders>
              <w:bottom w:val="single" w:sz="12" w:space="0" w:color="000000"/>
            </w:tcBorders>
            <w:vAlign w:val="center"/>
          </w:tcPr>
          <w:p>
            <w:pPr>
              <w:pStyle w:val="TableContents"/>
              <w:bidi w:val="0"/>
              <w:spacing w:before="0" w:after="0"/>
              <w:jc w:val="left"/>
              <w:rPr>
                <w:b/>
                <w:sz w:val="20"/>
              </w:rPr>
            </w:pPr>
            <w:r>
              <w:rPr>
                <w:b/>
                <w:sz w:val="20"/>
              </w:rPr>
              <w:t>PRIOR</w:t>
            </w:r>
          </w:p>
        </w:tc>
      </w:tr>
      <w:tr>
        <w:trPr/>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left"/>
              <w:rPr/>
            </w:pPr>
            <w:r>
              <w:rPr/>
              <w:t> </w:t>
            </w:r>
          </w:p>
        </w:tc>
        <w:tc>
          <w:tcPr>
            <w:tcW w:w="995" w:type="dxa"/>
            <w:tcBorders/>
            <w:tcMar>
              <w:bottom w:w="0" w:type="dxa"/>
            </w:tcMar>
            <w:vAlign w:val="center"/>
          </w:tcPr>
          <w:p>
            <w:pPr>
              <w:pStyle w:val="TableContents"/>
              <w:bidi w:val="0"/>
              <w:spacing w:before="0" w:after="283"/>
              <w:jc w:val="left"/>
              <w:rPr/>
            </w:pPr>
            <w:r>
              <w:rPr/>
              <w:t> </w:t>
            </w:r>
          </w:p>
        </w:tc>
        <w:tc>
          <w:tcPr>
            <w:tcW w:w="410" w:type="dxa"/>
            <w:tcBorders/>
            <w:tcMar>
              <w:bottom w:w="0" w:type="dxa"/>
            </w:tcMar>
            <w:vAlign w:val="center"/>
          </w:tcPr>
          <w:p>
            <w:pPr>
              <w:pStyle w:val="TableContents"/>
              <w:bidi w:val="0"/>
              <w:spacing w:before="0" w:after="283"/>
              <w:jc w:val="left"/>
              <w:rPr/>
            </w:pPr>
            <w:r>
              <w:rPr/>
              <w:t> </w:t>
            </w:r>
          </w:p>
        </w:tc>
        <w:tc>
          <w:tcPr>
            <w:tcW w:w="740" w:type="dxa"/>
            <w:tcBorders/>
            <w:tcMar>
              <w:bottom w:w="0" w:type="dxa"/>
            </w:tcMar>
            <w:vAlign w:val="center"/>
          </w:tcPr>
          <w:p>
            <w:pPr>
              <w:pStyle w:val="TableContents"/>
              <w:bidi w:val="0"/>
              <w:spacing w:before="0" w:after="283"/>
              <w:jc w:val="left"/>
              <w:rPr/>
            </w:pPr>
            <w:r>
              <w:rPr/>
            </w:r>
          </w:p>
        </w:tc>
        <w:tc>
          <w:tcPr>
            <w:tcW w:w="1115" w:type="dxa"/>
            <w:tcBorders/>
            <w:tcMar>
              <w:bottom w:w="0" w:type="dxa"/>
            </w:tcMar>
            <w:vAlign w:val="center"/>
          </w:tcPr>
          <w:p>
            <w:pPr>
              <w:pStyle w:val="TableContents"/>
              <w:bidi w:val="0"/>
              <w:spacing w:before="0" w:after="283"/>
              <w:jc w:val="left"/>
              <w:rPr/>
            </w:pPr>
            <w:r>
              <w:rPr/>
              <w:t> </w:t>
            </w:r>
          </w:p>
        </w:tc>
        <w:tc>
          <w:tcPr>
            <w:tcW w:w="635" w:type="dxa"/>
            <w:tcBorders/>
            <w:tcMar>
              <w:bottom w:w="0" w:type="dxa"/>
            </w:tcMar>
            <w:vAlign w:val="center"/>
          </w:tcPr>
          <w:p>
            <w:pPr>
              <w:pStyle w:val="TableContents"/>
              <w:bidi w:val="0"/>
              <w:spacing w:before="0" w:after="283"/>
              <w:jc w:val="left"/>
              <w:rPr/>
            </w:pPr>
            <w:r>
              <w:rPr/>
              <w:t> </w:t>
            </w:r>
          </w:p>
        </w:tc>
      </w:tr>
      <w:tr>
        <w:trPr/>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left"/>
              <w:rPr/>
            </w:pPr>
            <w:r>
              <w:rPr/>
              <w:t> </w:t>
            </w:r>
          </w:p>
        </w:tc>
        <w:tc>
          <w:tcPr>
            <w:tcW w:w="995" w:type="dxa"/>
            <w:tcBorders/>
            <w:tcMar>
              <w:bottom w:w="0" w:type="dxa"/>
            </w:tcMar>
            <w:vAlign w:val="center"/>
          </w:tcPr>
          <w:p>
            <w:pPr>
              <w:pStyle w:val="TableContents"/>
              <w:bidi w:val="0"/>
              <w:spacing w:before="0" w:after="0"/>
              <w:jc w:val="left"/>
              <w:rPr>
                <w:sz w:val="20"/>
              </w:rPr>
            </w:pPr>
            <w:r>
              <w:rPr>
                <w:sz w:val="20"/>
              </w:rPr>
              <w:t>ST IDR</w:t>
            </w:r>
          </w:p>
        </w:tc>
        <w:tc>
          <w:tcPr>
            <w:tcW w:w="410" w:type="dxa"/>
            <w:tcBorders/>
            <w:tcMar>
              <w:bottom w:w="0" w:type="dxa"/>
            </w:tcMar>
            <w:vAlign w:val="center"/>
          </w:tcPr>
          <w:p>
            <w:pPr>
              <w:pStyle w:val="TableContents"/>
              <w:bidi w:val="0"/>
              <w:spacing w:before="0" w:after="0"/>
              <w:jc w:val="left"/>
              <w:rPr>
                <w:sz w:val="20"/>
              </w:rPr>
            </w:pPr>
            <w:r>
              <w:rPr>
                <w:sz w:val="20"/>
              </w:rPr>
              <w:t>F1</w:t>
            </w:r>
          </w:p>
        </w:tc>
        <w:tc>
          <w:tcPr>
            <w:tcW w:w="740" w:type="dxa"/>
            <w:tcBorders/>
            <w:tcMar>
              <w:bottom w:w="0" w:type="dxa"/>
            </w:tcMar>
            <w:vAlign w:val="center"/>
          </w:tcPr>
          <w:p>
            <w:pPr>
              <w:pStyle w:val="TableContents"/>
              <w:bidi w:val="0"/>
              <w:spacing w:before="0" w:after="0"/>
              <w:jc w:val="left"/>
              <w:rPr>
                <w:sz w:val="20"/>
              </w:rPr>
            </w:pPr>
            <w:r>
              <w:rPr>
                <w:sz w:val="20"/>
              </w:rPr>
              <w:t>Affirmed</w:t>
            </w:r>
          </w:p>
        </w:tc>
        <w:tc>
          <w:tcPr>
            <w:tcW w:w="1115" w:type="dxa"/>
            <w:tcBorders/>
            <w:tcMar>
              <w:bottom w:w="0" w:type="dxa"/>
            </w:tcMar>
            <w:vAlign w:val="center"/>
          </w:tcPr>
          <w:p>
            <w:pPr>
              <w:pStyle w:val="TableContents"/>
              <w:bidi w:val="0"/>
              <w:spacing w:before="0" w:after="283"/>
              <w:jc w:val="left"/>
              <w:rPr/>
            </w:pPr>
            <w:r>
              <w:rPr/>
              <w:t> </w:t>
            </w:r>
          </w:p>
        </w:tc>
        <w:tc>
          <w:tcPr>
            <w:tcW w:w="635" w:type="dxa"/>
            <w:tcBorders/>
            <w:tcMar>
              <w:bottom w:w="0" w:type="dxa"/>
            </w:tcMar>
            <w:vAlign w:val="center"/>
          </w:tcPr>
          <w:p>
            <w:pPr>
              <w:pStyle w:val="TableContents"/>
              <w:bidi w:val="0"/>
              <w:spacing w:before="0" w:after="0"/>
              <w:jc w:val="left"/>
              <w:rPr>
                <w:sz w:val="20"/>
              </w:rPr>
            </w:pPr>
            <w:r>
              <w:rPr>
                <w:sz w:val="20"/>
              </w:rPr>
              <w:t>F1</w:t>
            </w:r>
          </w:p>
        </w:tc>
      </w:tr>
      <w:tr>
        <w:trPr/>
        <w:tc>
          <w:tcPr>
            <w:tcW w:w="60" w:type="dxa"/>
            <w:tcBorders>
              <w:bottom w:val="single" w:sz="12" w:space="0" w:color="000000"/>
            </w:tcBorders>
            <w:vAlign w:val="center"/>
          </w:tcPr>
          <w:p>
            <w:pPr>
              <w:pStyle w:val="TableContents"/>
              <w:bidi w:val="0"/>
              <w:spacing w:before="0" w:after="283"/>
              <w:jc w:val="left"/>
              <w:rPr/>
            </w:pPr>
            <w:r>
              <w:rPr/>
              <w:t> </w:t>
            </w:r>
          </w:p>
        </w:tc>
        <w:tc>
          <w:tcPr>
            <w:tcW w:w="1370" w:type="dxa"/>
            <w:tcBorders>
              <w:bottom w:val="single" w:sz="12" w:space="0" w:color="000000"/>
            </w:tcBorders>
            <w:vAlign w:val="center"/>
          </w:tcPr>
          <w:p>
            <w:pPr>
              <w:pStyle w:val="TableContents"/>
              <w:bidi w:val="0"/>
              <w:spacing w:before="0" w:after="283"/>
              <w:jc w:val="left"/>
              <w:rPr/>
            </w:pPr>
            <w:r>
              <w:rPr/>
              <w:t> </w:t>
            </w:r>
          </w:p>
        </w:tc>
        <w:tc>
          <w:tcPr>
            <w:tcW w:w="995" w:type="dxa"/>
            <w:tcBorders>
              <w:bottom w:val="single" w:sz="12" w:space="0" w:color="000000"/>
            </w:tcBorders>
            <w:vAlign w:val="center"/>
          </w:tcPr>
          <w:p>
            <w:pPr>
              <w:pStyle w:val="TableContents"/>
              <w:bidi w:val="0"/>
              <w:spacing w:before="0" w:after="283"/>
              <w:jc w:val="left"/>
              <w:rPr/>
            </w:pPr>
            <w:r>
              <w:rPr/>
              <w:t> </w:t>
            </w:r>
          </w:p>
        </w:tc>
        <w:tc>
          <w:tcPr>
            <w:tcW w:w="410" w:type="dxa"/>
            <w:tcBorders>
              <w:bottom w:val="single" w:sz="12" w:space="0" w:color="000000"/>
            </w:tcBorders>
            <w:vAlign w:val="center"/>
          </w:tcPr>
          <w:p>
            <w:pPr>
              <w:pStyle w:val="TableContents"/>
              <w:bidi w:val="0"/>
              <w:spacing w:before="0" w:after="283"/>
              <w:jc w:val="left"/>
              <w:rPr/>
            </w:pPr>
            <w:r>
              <w:rPr/>
              <w:t> </w:t>
            </w:r>
          </w:p>
        </w:tc>
        <w:tc>
          <w:tcPr>
            <w:tcW w:w="740" w:type="dxa"/>
            <w:tcBorders>
              <w:bottom w:val="single" w:sz="12" w:space="0" w:color="000000"/>
            </w:tcBorders>
            <w:vAlign w:val="center"/>
          </w:tcPr>
          <w:p>
            <w:pPr>
              <w:pStyle w:val="TableContents"/>
              <w:bidi w:val="0"/>
              <w:spacing w:before="0" w:after="283"/>
              <w:jc w:val="left"/>
              <w:rPr/>
            </w:pPr>
            <w:r>
              <w:rPr/>
              <w:t> </w:t>
            </w:r>
          </w:p>
        </w:tc>
        <w:tc>
          <w:tcPr>
            <w:tcW w:w="1115" w:type="dxa"/>
            <w:tcBorders>
              <w:bottom w:val="single" w:sz="12" w:space="0" w:color="000000"/>
            </w:tcBorders>
            <w:vAlign w:val="center"/>
          </w:tcPr>
          <w:p>
            <w:pPr>
              <w:pStyle w:val="TableContents"/>
              <w:bidi w:val="0"/>
              <w:spacing w:before="0" w:after="283"/>
              <w:jc w:val="left"/>
              <w:rPr/>
            </w:pPr>
            <w:r>
              <w:rPr/>
              <w:t> </w:t>
            </w:r>
          </w:p>
        </w:tc>
        <w:tc>
          <w:tcPr>
            <w:tcW w:w="635" w:type="dxa"/>
            <w:tcBorders>
              <w:bottom w:val="single" w:sz="12" w:space="0" w:color="000000"/>
            </w:tcBorders>
            <w:vAlign w:val="center"/>
          </w:tcPr>
          <w:p>
            <w:pPr>
              <w:pStyle w:val="TableContents"/>
              <w:bidi w:val="0"/>
              <w:spacing w:before="0" w:after="283"/>
              <w:jc w:val="left"/>
              <w:rPr/>
            </w:pPr>
            <w:r>
              <w:rPr/>
              <w:t> </w:t>
            </w:r>
          </w:p>
        </w:tc>
      </w:tr>
      <w:tr>
        <w:trPr/>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left"/>
              <w:rPr/>
            </w:pPr>
            <w:r>
              <w:rPr/>
              <w:t> </w:t>
            </w:r>
          </w:p>
        </w:tc>
        <w:tc>
          <w:tcPr>
            <w:tcW w:w="995" w:type="dxa"/>
            <w:tcBorders/>
            <w:tcMar>
              <w:bottom w:w="0" w:type="dxa"/>
            </w:tcMar>
            <w:vAlign w:val="center"/>
          </w:tcPr>
          <w:p>
            <w:pPr>
              <w:pStyle w:val="TableContents"/>
              <w:bidi w:val="0"/>
              <w:spacing w:before="0" w:after="283"/>
              <w:jc w:val="left"/>
              <w:rPr/>
            </w:pPr>
            <w:r>
              <w:rPr/>
              <w:t> </w:t>
            </w:r>
          </w:p>
        </w:tc>
        <w:tc>
          <w:tcPr>
            <w:tcW w:w="410" w:type="dxa"/>
            <w:tcBorders/>
            <w:tcMar>
              <w:bottom w:w="0" w:type="dxa"/>
            </w:tcMar>
            <w:vAlign w:val="center"/>
          </w:tcPr>
          <w:p>
            <w:pPr>
              <w:pStyle w:val="TableContents"/>
              <w:bidi w:val="0"/>
              <w:spacing w:before="0" w:after="283"/>
              <w:jc w:val="left"/>
              <w:rPr/>
            </w:pPr>
            <w:r>
              <w:rPr/>
              <w:t> </w:t>
            </w:r>
          </w:p>
        </w:tc>
        <w:tc>
          <w:tcPr>
            <w:tcW w:w="740" w:type="dxa"/>
            <w:tcBorders/>
            <w:tcMar>
              <w:bottom w:w="0" w:type="dxa"/>
            </w:tcMar>
            <w:vAlign w:val="center"/>
          </w:tcPr>
          <w:p>
            <w:pPr>
              <w:pStyle w:val="TableContents"/>
              <w:bidi w:val="0"/>
              <w:spacing w:before="0" w:after="283"/>
              <w:jc w:val="left"/>
              <w:rPr/>
            </w:pPr>
            <w:r>
              <w:rPr/>
              <w:t> </w:t>
            </w:r>
          </w:p>
        </w:tc>
        <w:tc>
          <w:tcPr>
            <w:tcW w:w="1115" w:type="dxa"/>
            <w:tcBorders/>
            <w:tcMar>
              <w:bottom w:w="0" w:type="dxa"/>
            </w:tcMar>
            <w:vAlign w:val="center"/>
          </w:tcPr>
          <w:p>
            <w:pPr>
              <w:pStyle w:val="TableContents"/>
              <w:bidi w:val="0"/>
              <w:spacing w:before="0" w:after="283"/>
              <w:jc w:val="left"/>
              <w:rPr/>
            </w:pPr>
            <w:r>
              <w:rPr/>
              <w:t> </w:t>
            </w:r>
          </w:p>
        </w:tc>
        <w:tc>
          <w:tcPr>
            <w:tcW w:w="635" w:type="dxa"/>
            <w:tcBorders/>
            <w:tcMar>
              <w:bottom w:w="0" w:type="dxa"/>
            </w:tcMar>
            <w:vAlign w:val="center"/>
          </w:tcPr>
          <w:p>
            <w:pPr>
              <w:pStyle w:val="TableContents"/>
              <w:bidi w:val="0"/>
              <w:spacing w:before="0" w:after="283"/>
              <w:jc w:val="left"/>
              <w:rPr/>
            </w:pPr>
            <w:r>
              <w:rPr/>
              <w:t> </w:t>
            </w:r>
          </w:p>
        </w:tc>
      </w:tr>
      <w:tr>
        <w:trPr/>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left"/>
              <w:rPr/>
            </w:pPr>
            <w:r>
              <w:rPr/>
              <w:t> </w:t>
            </w:r>
          </w:p>
        </w:tc>
        <w:tc>
          <w:tcPr>
            <w:tcW w:w="995" w:type="dxa"/>
            <w:tcBorders/>
            <w:tcMar>
              <w:bottom w:w="0" w:type="dxa"/>
            </w:tcMar>
            <w:vAlign w:val="center"/>
          </w:tcPr>
          <w:p>
            <w:pPr>
              <w:pStyle w:val="TableContents"/>
              <w:bidi w:val="0"/>
              <w:spacing w:before="0" w:after="0"/>
              <w:jc w:val="left"/>
              <w:rPr>
                <w:sz w:val="20"/>
              </w:rPr>
            </w:pPr>
            <w:r>
              <w:rPr>
                <w:sz w:val="20"/>
              </w:rPr>
              <w:t>LC LT IDR</w:t>
            </w:r>
          </w:p>
        </w:tc>
        <w:tc>
          <w:tcPr>
            <w:tcW w:w="410" w:type="dxa"/>
            <w:tcBorders/>
            <w:tcMar>
              <w:bottom w:w="0" w:type="dxa"/>
            </w:tcMar>
            <w:vAlign w:val="center"/>
          </w:tcPr>
          <w:p>
            <w:pPr>
              <w:pStyle w:val="TableContents"/>
              <w:bidi w:val="0"/>
              <w:spacing w:before="0" w:after="0"/>
              <w:jc w:val="left"/>
              <w:rPr>
                <w:sz w:val="20"/>
              </w:rPr>
            </w:pPr>
            <w:r>
              <w:rPr>
                <w:sz w:val="20"/>
              </w:rPr>
              <w:t xml:space="preserve">A- </w:t>
            </w:r>
            <w:r>
              <w:rPr>
                <w:sz w:val="20"/>
              </w:rPr>
              <w:drawing>
                <wp:inline distT="0" distB="0" distL="0" distR="0">
                  <wp:extent cx="95250" cy="9525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95250" cy="95250"/>
                          </a:xfrm>
                          <a:prstGeom prst="rect">
                            <a:avLst/>
                          </a:prstGeom>
                        </pic:spPr>
                      </pic:pic>
                    </a:graphicData>
                  </a:graphic>
                </wp:inline>
              </w:drawing>
            </w:r>
          </w:p>
        </w:tc>
        <w:tc>
          <w:tcPr>
            <w:tcW w:w="740" w:type="dxa"/>
            <w:tcBorders/>
            <w:tcMar>
              <w:bottom w:w="0" w:type="dxa"/>
            </w:tcMar>
            <w:vAlign w:val="center"/>
          </w:tcPr>
          <w:p>
            <w:pPr>
              <w:pStyle w:val="TableContents"/>
              <w:bidi w:val="0"/>
              <w:spacing w:before="0" w:after="0"/>
              <w:jc w:val="left"/>
              <w:rPr>
                <w:sz w:val="20"/>
              </w:rPr>
            </w:pPr>
            <w:r>
              <w:rPr>
                <w:sz w:val="20"/>
              </w:rPr>
              <w:t>Affirmed</w:t>
            </w:r>
          </w:p>
        </w:tc>
        <w:tc>
          <w:tcPr>
            <w:tcW w:w="1115" w:type="dxa"/>
            <w:tcBorders/>
            <w:tcMar>
              <w:bottom w:w="0" w:type="dxa"/>
            </w:tcMar>
            <w:vAlign w:val="center"/>
          </w:tcPr>
          <w:p>
            <w:pPr>
              <w:pStyle w:val="TableContents"/>
              <w:bidi w:val="0"/>
              <w:spacing w:before="0" w:after="283"/>
              <w:jc w:val="left"/>
              <w:rPr/>
            </w:pPr>
            <w:r>
              <w:rPr/>
              <w:t> </w:t>
            </w:r>
          </w:p>
        </w:tc>
        <w:tc>
          <w:tcPr>
            <w:tcW w:w="635" w:type="dxa"/>
            <w:tcBorders/>
            <w:tcMar>
              <w:bottom w:w="0" w:type="dxa"/>
            </w:tcMar>
            <w:vAlign w:val="center"/>
          </w:tcPr>
          <w:p>
            <w:pPr>
              <w:pStyle w:val="TableContents"/>
              <w:bidi w:val="0"/>
              <w:spacing w:before="0" w:after="0"/>
              <w:jc w:val="left"/>
              <w:rPr>
                <w:sz w:val="20"/>
              </w:rPr>
            </w:pPr>
            <w:r>
              <w:rPr>
                <w:sz w:val="20"/>
              </w:rPr>
              <w:t>A-</w:t>
            </w:r>
            <w:r>
              <w:rPr>
                <w:sz w:val="20"/>
              </w:rPr>
              <w:drawing>
                <wp:inline distT="0" distB="0" distL="0" distR="0">
                  <wp:extent cx="95250" cy="95250"/>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95250" cy="95250"/>
                          </a:xfrm>
                          <a:prstGeom prst="rect">
                            <a:avLst/>
                          </a:prstGeom>
                        </pic:spPr>
                      </pic:pic>
                    </a:graphicData>
                  </a:graphic>
                </wp:inline>
              </w:drawing>
            </w:r>
          </w:p>
        </w:tc>
      </w:tr>
      <w:tr>
        <w:trPr/>
        <w:tc>
          <w:tcPr>
            <w:tcW w:w="60" w:type="dxa"/>
            <w:tcBorders>
              <w:bottom w:val="single" w:sz="12" w:space="0" w:color="000000"/>
            </w:tcBorders>
            <w:vAlign w:val="center"/>
          </w:tcPr>
          <w:p>
            <w:pPr>
              <w:pStyle w:val="TableContents"/>
              <w:bidi w:val="0"/>
              <w:spacing w:before="0" w:after="283"/>
              <w:jc w:val="left"/>
              <w:rPr/>
            </w:pPr>
            <w:r>
              <w:rPr/>
              <w:t> </w:t>
            </w:r>
          </w:p>
        </w:tc>
        <w:tc>
          <w:tcPr>
            <w:tcW w:w="1370" w:type="dxa"/>
            <w:tcBorders>
              <w:bottom w:val="single" w:sz="12" w:space="0" w:color="000000"/>
            </w:tcBorders>
            <w:vAlign w:val="center"/>
          </w:tcPr>
          <w:p>
            <w:pPr>
              <w:pStyle w:val="TableContents"/>
              <w:bidi w:val="0"/>
              <w:spacing w:before="0" w:after="283"/>
              <w:jc w:val="left"/>
              <w:rPr/>
            </w:pPr>
            <w:r>
              <w:rPr/>
              <w:t> </w:t>
            </w:r>
          </w:p>
        </w:tc>
        <w:tc>
          <w:tcPr>
            <w:tcW w:w="995" w:type="dxa"/>
            <w:tcBorders>
              <w:bottom w:val="single" w:sz="12" w:space="0" w:color="000000"/>
            </w:tcBorders>
            <w:vAlign w:val="center"/>
          </w:tcPr>
          <w:p>
            <w:pPr>
              <w:pStyle w:val="TableContents"/>
              <w:bidi w:val="0"/>
              <w:spacing w:before="0" w:after="283"/>
              <w:jc w:val="left"/>
              <w:rPr/>
            </w:pPr>
            <w:r>
              <w:rPr/>
              <w:t> </w:t>
            </w:r>
          </w:p>
        </w:tc>
        <w:tc>
          <w:tcPr>
            <w:tcW w:w="410" w:type="dxa"/>
            <w:tcBorders>
              <w:bottom w:val="single" w:sz="12" w:space="0" w:color="000000"/>
            </w:tcBorders>
            <w:vAlign w:val="center"/>
          </w:tcPr>
          <w:p>
            <w:pPr>
              <w:pStyle w:val="TableContents"/>
              <w:bidi w:val="0"/>
              <w:spacing w:before="0" w:after="283"/>
              <w:jc w:val="left"/>
              <w:rPr/>
            </w:pPr>
            <w:r>
              <w:rPr/>
              <w:t> </w:t>
            </w:r>
          </w:p>
        </w:tc>
        <w:tc>
          <w:tcPr>
            <w:tcW w:w="740" w:type="dxa"/>
            <w:tcBorders>
              <w:bottom w:val="single" w:sz="12" w:space="0" w:color="000000"/>
            </w:tcBorders>
            <w:vAlign w:val="center"/>
          </w:tcPr>
          <w:p>
            <w:pPr>
              <w:pStyle w:val="TableContents"/>
              <w:bidi w:val="0"/>
              <w:spacing w:before="0" w:after="283"/>
              <w:jc w:val="left"/>
              <w:rPr/>
            </w:pPr>
            <w:r>
              <w:rPr/>
              <w:t> </w:t>
            </w:r>
          </w:p>
        </w:tc>
        <w:tc>
          <w:tcPr>
            <w:tcW w:w="1115" w:type="dxa"/>
            <w:tcBorders>
              <w:bottom w:val="single" w:sz="12" w:space="0" w:color="000000"/>
            </w:tcBorders>
            <w:vAlign w:val="center"/>
          </w:tcPr>
          <w:p>
            <w:pPr>
              <w:pStyle w:val="TableContents"/>
              <w:bidi w:val="0"/>
              <w:spacing w:before="0" w:after="283"/>
              <w:jc w:val="left"/>
              <w:rPr/>
            </w:pPr>
            <w:r>
              <w:rPr/>
              <w:t> </w:t>
            </w:r>
          </w:p>
        </w:tc>
        <w:tc>
          <w:tcPr>
            <w:tcW w:w="635" w:type="dxa"/>
            <w:tcBorders>
              <w:bottom w:val="single" w:sz="12" w:space="0" w:color="000000"/>
            </w:tcBorders>
            <w:vAlign w:val="center"/>
          </w:tcPr>
          <w:p>
            <w:pPr>
              <w:pStyle w:val="TableContents"/>
              <w:bidi w:val="0"/>
              <w:spacing w:before="0" w:after="283"/>
              <w:jc w:val="left"/>
              <w:rPr/>
            </w:pPr>
            <w:r>
              <w:rPr/>
              <w:t> </w:t>
            </w:r>
          </w:p>
        </w:tc>
      </w:tr>
      <w:tr>
        <w:trPr/>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left"/>
              <w:rPr/>
            </w:pPr>
            <w:r>
              <w:rPr/>
              <w:t> </w:t>
            </w:r>
          </w:p>
        </w:tc>
        <w:tc>
          <w:tcPr>
            <w:tcW w:w="995" w:type="dxa"/>
            <w:tcBorders/>
            <w:tcMar>
              <w:bottom w:w="0" w:type="dxa"/>
            </w:tcMar>
            <w:vAlign w:val="center"/>
          </w:tcPr>
          <w:p>
            <w:pPr>
              <w:pStyle w:val="TableContents"/>
              <w:bidi w:val="0"/>
              <w:spacing w:before="0" w:after="283"/>
              <w:jc w:val="left"/>
              <w:rPr/>
            </w:pPr>
            <w:r>
              <w:rPr/>
              <w:t> </w:t>
            </w:r>
          </w:p>
        </w:tc>
        <w:tc>
          <w:tcPr>
            <w:tcW w:w="410" w:type="dxa"/>
            <w:tcBorders/>
            <w:tcMar>
              <w:bottom w:w="0" w:type="dxa"/>
            </w:tcMar>
            <w:vAlign w:val="center"/>
          </w:tcPr>
          <w:p>
            <w:pPr>
              <w:pStyle w:val="TableContents"/>
              <w:bidi w:val="0"/>
              <w:spacing w:before="0" w:after="283"/>
              <w:jc w:val="left"/>
              <w:rPr/>
            </w:pPr>
            <w:r>
              <w:rPr/>
              <w:t> </w:t>
            </w:r>
          </w:p>
        </w:tc>
        <w:tc>
          <w:tcPr>
            <w:tcW w:w="740" w:type="dxa"/>
            <w:tcBorders/>
            <w:tcMar>
              <w:bottom w:w="0" w:type="dxa"/>
            </w:tcMar>
            <w:vAlign w:val="center"/>
          </w:tcPr>
          <w:p>
            <w:pPr>
              <w:pStyle w:val="TableContents"/>
              <w:bidi w:val="0"/>
              <w:spacing w:before="0" w:after="283"/>
              <w:jc w:val="left"/>
              <w:rPr/>
            </w:pPr>
            <w:r>
              <w:rPr/>
              <w:t> </w:t>
            </w:r>
          </w:p>
        </w:tc>
        <w:tc>
          <w:tcPr>
            <w:tcW w:w="1115" w:type="dxa"/>
            <w:tcBorders/>
            <w:tcMar>
              <w:bottom w:w="0" w:type="dxa"/>
            </w:tcMar>
            <w:vAlign w:val="center"/>
          </w:tcPr>
          <w:p>
            <w:pPr>
              <w:pStyle w:val="TableContents"/>
              <w:bidi w:val="0"/>
              <w:spacing w:before="0" w:after="283"/>
              <w:jc w:val="left"/>
              <w:rPr/>
            </w:pPr>
            <w:r>
              <w:rPr/>
              <w:t> </w:t>
            </w:r>
          </w:p>
        </w:tc>
        <w:tc>
          <w:tcPr>
            <w:tcW w:w="635" w:type="dxa"/>
            <w:tcBorders/>
            <w:tcMar>
              <w:bottom w:w="0" w:type="dxa"/>
            </w:tcMar>
            <w:vAlign w:val="center"/>
          </w:tcPr>
          <w:p>
            <w:pPr>
              <w:pStyle w:val="TableContents"/>
              <w:bidi w:val="0"/>
              <w:spacing w:before="0" w:after="283"/>
              <w:jc w:val="left"/>
              <w:rPr/>
            </w:pPr>
            <w:r>
              <w:rPr/>
              <w:t> </w:t>
            </w:r>
          </w:p>
        </w:tc>
      </w:tr>
      <w:tr>
        <w:trPr/>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left"/>
              <w:rPr/>
            </w:pPr>
            <w:r>
              <w:rPr/>
            </w:r>
          </w:p>
        </w:tc>
        <w:tc>
          <w:tcPr>
            <w:tcW w:w="995" w:type="dxa"/>
            <w:tcBorders/>
            <w:tcMar>
              <w:bottom w:w="0" w:type="dxa"/>
            </w:tcMar>
            <w:vAlign w:val="center"/>
          </w:tcPr>
          <w:p>
            <w:pPr>
              <w:pStyle w:val="TableContents"/>
              <w:bidi w:val="0"/>
              <w:spacing w:before="0" w:after="0"/>
              <w:jc w:val="left"/>
              <w:rPr>
                <w:sz w:val="20"/>
              </w:rPr>
            </w:pPr>
            <w:r>
              <w:rPr>
                <w:sz w:val="20"/>
              </w:rPr>
              <w:t>LC ST IDR</w:t>
            </w:r>
          </w:p>
        </w:tc>
        <w:tc>
          <w:tcPr>
            <w:tcW w:w="410" w:type="dxa"/>
            <w:tcBorders/>
            <w:tcMar>
              <w:bottom w:w="0" w:type="dxa"/>
            </w:tcMar>
            <w:vAlign w:val="center"/>
          </w:tcPr>
          <w:p>
            <w:pPr>
              <w:pStyle w:val="TableContents"/>
              <w:bidi w:val="0"/>
              <w:spacing w:before="0" w:after="0"/>
              <w:jc w:val="left"/>
              <w:rPr>
                <w:sz w:val="20"/>
              </w:rPr>
            </w:pPr>
            <w:r>
              <w:rPr>
                <w:sz w:val="20"/>
              </w:rPr>
              <w:t>F1</w:t>
            </w:r>
          </w:p>
        </w:tc>
        <w:tc>
          <w:tcPr>
            <w:tcW w:w="740" w:type="dxa"/>
            <w:tcBorders/>
            <w:tcMar>
              <w:bottom w:w="0" w:type="dxa"/>
            </w:tcMar>
            <w:vAlign w:val="center"/>
          </w:tcPr>
          <w:p>
            <w:pPr>
              <w:pStyle w:val="TableContents"/>
              <w:bidi w:val="0"/>
              <w:spacing w:before="0" w:after="0"/>
              <w:jc w:val="left"/>
              <w:rPr>
                <w:sz w:val="20"/>
              </w:rPr>
            </w:pPr>
            <w:r>
              <w:rPr>
                <w:sz w:val="20"/>
              </w:rPr>
              <w:t>Affirmed</w:t>
            </w:r>
          </w:p>
        </w:tc>
        <w:tc>
          <w:tcPr>
            <w:tcW w:w="1115" w:type="dxa"/>
            <w:tcBorders/>
            <w:tcMar>
              <w:bottom w:w="0" w:type="dxa"/>
            </w:tcMar>
            <w:vAlign w:val="center"/>
          </w:tcPr>
          <w:p>
            <w:pPr>
              <w:pStyle w:val="TableContents"/>
              <w:bidi w:val="0"/>
              <w:spacing w:before="0" w:after="283"/>
              <w:jc w:val="left"/>
              <w:rPr/>
            </w:pPr>
            <w:r>
              <w:rPr/>
              <w:t> </w:t>
            </w:r>
          </w:p>
        </w:tc>
        <w:tc>
          <w:tcPr>
            <w:tcW w:w="635" w:type="dxa"/>
            <w:tcBorders/>
            <w:tcMar>
              <w:bottom w:w="0" w:type="dxa"/>
            </w:tcMar>
            <w:vAlign w:val="center"/>
          </w:tcPr>
          <w:p>
            <w:pPr>
              <w:pStyle w:val="TableContents"/>
              <w:bidi w:val="0"/>
              <w:spacing w:before="0" w:after="0"/>
              <w:jc w:val="left"/>
              <w:rPr>
                <w:sz w:val="20"/>
              </w:rPr>
            </w:pPr>
            <w:r>
              <w:rPr>
                <w:sz w:val="20"/>
              </w:rPr>
              <w:t>F1</w:t>
            </w:r>
          </w:p>
        </w:tc>
      </w:tr>
      <w:tr>
        <w:trPr/>
        <w:tc>
          <w:tcPr>
            <w:tcW w:w="60" w:type="dxa"/>
            <w:tcBorders>
              <w:bottom w:val="single" w:sz="12" w:space="0" w:color="000000"/>
            </w:tcBorders>
            <w:vAlign w:val="center"/>
          </w:tcPr>
          <w:p>
            <w:pPr>
              <w:pStyle w:val="TableContents"/>
              <w:bidi w:val="0"/>
              <w:spacing w:before="0" w:after="283"/>
              <w:jc w:val="left"/>
              <w:rPr/>
            </w:pPr>
            <w:r>
              <w:rPr/>
              <w:t> </w:t>
            </w:r>
          </w:p>
        </w:tc>
        <w:tc>
          <w:tcPr>
            <w:tcW w:w="1370" w:type="dxa"/>
            <w:tcBorders>
              <w:bottom w:val="single" w:sz="12" w:space="0" w:color="000000"/>
            </w:tcBorders>
            <w:vAlign w:val="center"/>
          </w:tcPr>
          <w:p>
            <w:pPr>
              <w:pStyle w:val="TableContents"/>
              <w:bidi w:val="0"/>
              <w:spacing w:before="0" w:after="283"/>
              <w:jc w:val="left"/>
              <w:rPr/>
            </w:pPr>
            <w:r>
              <w:rPr/>
              <w:t> </w:t>
            </w:r>
          </w:p>
        </w:tc>
        <w:tc>
          <w:tcPr>
            <w:tcW w:w="995" w:type="dxa"/>
            <w:tcBorders>
              <w:bottom w:val="single" w:sz="12" w:space="0" w:color="000000"/>
            </w:tcBorders>
            <w:vAlign w:val="center"/>
          </w:tcPr>
          <w:p>
            <w:pPr>
              <w:pStyle w:val="TableContents"/>
              <w:bidi w:val="0"/>
              <w:spacing w:before="0" w:after="283"/>
              <w:jc w:val="left"/>
              <w:rPr/>
            </w:pPr>
            <w:r>
              <w:rPr/>
              <w:t> </w:t>
            </w:r>
          </w:p>
        </w:tc>
        <w:tc>
          <w:tcPr>
            <w:tcW w:w="410" w:type="dxa"/>
            <w:tcBorders>
              <w:bottom w:val="single" w:sz="12" w:space="0" w:color="000000"/>
            </w:tcBorders>
            <w:vAlign w:val="center"/>
          </w:tcPr>
          <w:p>
            <w:pPr>
              <w:pStyle w:val="TableContents"/>
              <w:bidi w:val="0"/>
              <w:spacing w:before="0" w:after="283"/>
              <w:jc w:val="left"/>
              <w:rPr/>
            </w:pPr>
            <w:r>
              <w:rPr/>
              <w:t> </w:t>
            </w:r>
          </w:p>
        </w:tc>
        <w:tc>
          <w:tcPr>
            <w:tcW w:w="740" w:type="dxa"/>
            <w:tcBorders>
              <w:bottom w:val="single" w:sz="12" w:space="0" w:color="000000"/>
            </w:tcBorders>
            <w:vAlign w:val="center"/>
          </w:tcPr>
          <w:p>
            <w:pPr>
              <w:pStyle w:val="TableContents"/>
              <w:bidi w:val="0"/>
              <w:spacing w:before="0" w:after="283"/>
              <w:jc w:val="left"/>
              <w:rPr/>
            </w:pPr>
            <w:r>
              <w:rPr/>
              <w:t> </w:t>
            </w:r>
          </w:p>
        </w:tc>
        <w:tc>
          <w:tcPr>
            <w:tcW w:w="1115" w:type="dxa"/>
            <w:tcBorders>
              <w:bottom w:val="single" w:sz="12" w:space="0" w:color="000000"/>
            </w:tcBorders>
            <w:vAlign w:val="center"/>
          </w:tcPr>
          <w:p>
            <w:pPr>
              <w:pStyle w:val="TableContents"/>
              <w:bidi w:val="0"/>
              <w:spacing w:before="0" w:after="283"/>
              <w:jc w:val="left"/>
              <w:rPr/>
            </w:pPr>
            <w:r>
              <w:rPr/>
              <w:t> </w:t>
            </w:r>
          </w:p>
        </w:tc>
        <w:tc>
          <w:tcPr>
            <w:tcW w:w="635" w:type="dxa"/>
            <w:tcBorders>
              <w:bottom w:val="single" w:sz="12" w:space="0" w:color="000000"/>
            </w:tcBorders>
            <w:vAlign w:val="center"/>
          </w:tcPr>
          <w:p>
            <w:pPr>
              <w:pStyle w:val="TableContents"/>
              <w:bidi w:val="0"/>
              <w:spacing w:before="0" w:after="283"/>
              <w:jc w:val="left"/>
              <w:rPr/>
            </w:pPr>
            <w:r>
              <w:rPr/>
              <w:t> </w:t>
            </w:r>
          </w:p>
        </w:tc>
      </w:tr>
      <w:tr>
        <w:trPr/>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left"/>
              <w:rPr/>
            </w:pPr>
            <w:r>
              <w:rPr/>
              <w:t> </w:t>
            </w:r>
          </w:p>
        </w:tc>
        <w:tc>
          <w:tcPr>
            <w:tcW w:w="995" w:type="dxa"/>
            <w:tcBorders/>
            <w:tcMar>
              <w:bottom w:w="0" w:type="dxa"/>
            </w:tcMar>
            <w:vAlign w:val="center"/>
          </w:tcPr>
          <w:p>
            <w:pPr>
              <w:pStyle w:val="TableContents"/>
              <w:bidi w:val="0"/>
              <w:spacing w:before="0" w:after="283"/>
              <w:jc w:val="left"/>
              <w:rPr/>
            </w:pPr>
            <w:r>
              <w:rPr/>
              <w:t> </w:t>
            </w:r>
          </w:p>
        </w:tc>
        <w:tc>
          <w:tcPr>
            <w:tcW w:w="410" w:type="dxa"/>
            <w:tcBorders/>
            <w:tcMar>
              <w:bottom w:w="0" w:type="dxa"/>
            </w:tcMar>
            <w:vAlign w:val="center"/>
          </w:tcPr>
          <w:p>
            <w:pPr>
              <w:pStyle w:val="TableContents"/>
              <w:bidi w:val="0"/>
              <w:spacing w:before="0" w:after="283"/>
              <w:jc w:val="left"/>
              <w:rPr/>
            </w:pPr>
            <w:r>
              <w:rPr/>
              <w:t> </w:t>
            </w:r>
          </w:p>
        </w:tc>
        <w:tc>
          <w:tcPr>
            <w:tcW w:w="740" w:type="dxa"/>
            <w:tcBorders/>
            <w:tcMar>
              <w:bottom w:w="0" w:type="dxa"/>
            </w:tcMar>
            <w:vAlign w:val="center"/>
          </w:tcPr>
          <w:p>
            <w:pPr>
              <w:pStyle w:val="TableContents"/>
              <w:bidi w:val="0"/>
              <w:spacing w:before="0" w:after="283"/>
              <w:jc w:val="left"/>
              <w:rPr/>
            </w:pPr>
            <w:r>
              <w:rPr/>
              <w:t> </w:t>
            </w:r>
          </w:p>
        </w:tc>
        <w:tc>
          <w:tcPr>
            <w:tcW w:w="1115" w:type="dxa"/>
            <w:tcBorders/>
            <w:tcMar>
              <w:bottom w:w="0" w:type="dxa"/>
            </w:tcMar>
            <w:vAlign w:val="center"/>
          </w:tcPr>
          <w:p>
            <w:pPr>
              <w:pStyle w:val="TableContents"/>
              <w:bidi w:val="0"/>
              <w:spacing w:before="0" w:after="283"/>
              <w:jc w:val="left"/>
              <w:rPr/>
            </w:pPr>
            <w:r>
              <w:rPr/>
              <w:t> </w:t>
            </w:r>
          </w:p>
        </w:tc>
        <w:tc>
          <w:tcPr>
            <w:tcW w:w="635" w:type="dxa"/>
            <w:tcBorders/>
            <w:tcMar>
              <w:bottom w:w="0" w:type="dxa"/>
            </w:tcMar>
            <w:vAlign w:val="center"/>
          </w:tcPr>
          <w:p>
            <w:pPr>
              <w:pStyle w:val="TableContents"/>
              <w:bidi w:val="0"/>
              <w:spacing w:before="0" w:after="283"/>
              <w:jc w:val="left"/>
              <w:rPr/>
            </w:pPr>
            <w:r>
              <w:rPr/>
              <w:t> </w:t>
            </w:r>
          </w:p>
        </w:tc>
      </w:tr>
      <w:tr>
        <w:trPr/>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left"/>
              <w:rPr/>
            </w:pPr>
            <w:r>
              <w:rPr/>
              <w:t> </w:t>
            </w:r>
          </w:p>
        </w:tc>
        <w:tc>
          <w:tcPr>
            <w:tcW w:w="995" w:type="dxa"/>
            <w:tcBorders/>
            <w:tcMar>
              <w:bottom w:w="0" w:type="dxa"/>
            </w:tcMar>
            <w:vAlign w:val="center"/>
          </w:tcPr>
          <w:p>
            <w:pPr>
              <w:pStyle w:val="TableContents"/>
              <w:bidi w:val="0"/>
              <w:spacing w:before="0" w:after="0"/>
              <w:jc w:val="left"/>
              <w:rPr>
                <w:sz w:val="20"/>
              </w:rPr>
            </w:pPr>
            <w:r>
              <w:rPr>
                <w:sz w:val="20"/>
              </w:rPr>
              <w:t>Viability</w:t>
            </w:r>
          </w:p>
        </w:tc>
        <w:tc>
          <w:tcPr>
            <w:tcW w:w="410" w:type="dxa"/>
            <w:tcBorders/>
            <w:tcMar>
              <w:bottom w:w="0" w:type="dxa"/>
            </w:tcMar>
            <w:vAlign w:val="center"/>
          </w:tcPr>
          <w:p>
            <w:pPr>
              <w:pStyle w:val="TableContents"/>
              <w:bidi w:val="0"/>
              <w:spacing w:before="0" w:after="0"/>
              <w:jc w:val="left"/>
              <w:rPr>
                <w:sz w:val="20"/>
              </w:rPr>
            </w:pPr>
            <w:r>
              <w:rPr>
                <w:sz w:val="20"/>
              </w:rPr>
              <w:t>bbb</w:t>
            </w:r>
          </w:p>
        </w:tc>
        <w:tc>
          <w:tcPr>
            <w:tcW w:w="740" w:type="dxa"/>
            <w:tcBorders/>
            <w:tcMar>
              <w:bottom w:w="0" w:type="dxa"/>
            </w:tcMar>
            <w:vAlign w:val="center"/>
          </w:tcPr>
          <w:p>
            <w:pPr>
              <w:pStyle w:val="TableContents"/>
              <w:bidi w:val="0"/>
              <w:spacing w:before="0" w:after="0"/>
              <w:jc w:val="left"/>
              <w:rPr>
                <w:sz w:val="20"/>
              </w:rPr>
            </w:pPr>
            <w:r>
              <w:rPr>
                <w:sz w:val="20"/>
              </w:rPr>
              <w:t>Affirmed</w:t>
            </w:r>
          </w:p>
        </w:tc>
        <w:tc>
          <w:tcPr>
            <w:tcW w:w="1115" w:type="dxa"/>
            <w:tcBorders/>
            <w:tcMar>
              <w:bottom w:w="0" w:type="dxa"/>
            </w:tcMar>
            <w:vAlign w:val="center"/>
          </w:tcPr>
          <w:p>
            <w:pPr>
              <w:pStyle w:val="TableContents"/>
              <w:bidi w:val="0"/>
              <w:spacing w:before="0" w:after="283"/>
              <w:jc w:val="left"/>
              <w:rPr/>
            </w:pPr>
            <w:r>
              <w:rPr/>
              <w:t> </w:t>
            </w:r>
          </w:p>
        </w:tc>
        <w:tc>
          <w:tcPr>
            <w:tcW w:w="635" w:type="dxa"/>
            <w:tcBorders/>
            <w:tcMar>
              <w:bottom w:w="0" w:type="dxa"/>
            </w:tcMar>
            <w:vAlign w:val="center"/>
          </w:tcPr>
          <w:p>
            <w:pPr>
              <w:pStyle w:val="TableContents"/>
              <w:bidi w:val="0"/>
              <w:spacing w:before="0" w:after="0"/>
              <w:jc w:val="left"/>
              <w:rPr>
                <w:sz w:val="20"/>
              </w:rPr>
            </w:pPr>
            <w:r>
              <w:rPr>
                <w:sz w:val="20"/>
              </w:rPr>
              <w:t>bbb</w:t>
            </w:r>
          </w:p>
        </w:tc>
      </w:tr>
      <w:tr>
        <w:trPr/>
        <w:tc>
          <w:tcPr>
            <w:tcW w:w="60" w:type="dxa"/>
            <w:tcBorders>
              <w:bottom w:val="single" w:sz="12" w:space="0" w:color="000000"/>
            </w:tcBorders>
            <w:vAlign w:val="center"/>
          </w:tcPr>
          <w:p>
            <w:pPr>
              <w:pStyle w:val="TableContents"/>
              <w:bidi w:val="0"/>
              <w:spacing w:before="0" w:after="283"/>
              <w:jc w:val="left"/>
              <w:rPr/>
            </w:pPr>
            <w:r>
              <w:rPr/>
              <w:t> </w:t>
            </w:r>
          </w:p>
        </w:tc>
        <w:tc>
          <w:tcPr>
            <w:tcW w:w="1370" w:type="dxa"/>
            <w:tcBorders>
              <w:bottom w:val="single" w:sz="12" w:space="0" w:color="000000"/>
            </w:tcBorders>
            <w:vAlign w:val="center"/>
          </w:tcPr>
          <w:p>
            <w:pPr>
              <w:pStyle w:val="TableContents"/>
              <w:bidi w:val="0"/>
              <w:spacing w:before="0" w:after="283"/>
              <w:jc w:val="left"/>
              <w:rPr/>
            </w:pPr>
            <w:r>
              <w:rPr/>
              <w:t> </w:t>
            </w:r>
          </w:p>
        </w:tc>
        <w:tc>
          <w:tcPr>
            <w:tcW w:w="995" w:type="dxa"/>
            <w:tcBorders>
              <w:bottom w:val="single" w:sz="12" w:space="0" w:color="000000"/>
            </w:tcBorders>
            <w:vAlign w:val="center"/>
          </w:tcPr>
          <w:p>
            <w:pPr>
              <w:pStyle w:val="TableContents"/>
              <w:bidi w:val="0"/>
              <w:spacing w:before="0" w:after="283"/>
              <w:jc w:val="left"/>
              <w:rPr/>
            </w:pPr>
            <w:r>
              <w:rPr/>
              <w:t> </w:t>
            </w:r>
          </w:p>
        </w:tc>
        <w:tc>
          <w:tcPr>
            <w:tcW w:w="410" w:type="dxa"/>
            <w:tcBorders>
              <w:bottom w:val="single" w:sz="12" w:space="0" w:color="000000"/>
            </w:tcBorders>
            <w:vAlign w:val="center"/>
          </w:tcPr>
          <w:p>
            <w:pPr>
              <w:pStyle w:val="TableContents"/>
              <w:bidi w:val="0"/>
              <w:spacing w:before="0" w:after="283"/>
              <w:jc w:val="left"/>
              <w:rPr/>
            </w:pPr>
            <w:r>
              <w:rPr/>
              <w:t> </w:t>
            </w:r>
          </w:p>
        </w:tc>
        <w:tc>
          <w:tcPr>
            <w:tcW w:w="740" w:type="dxa"/>
            <w:tcBorders>
              <w:bottom w:val="single" w:sz="12" w:space="0" w:color="000000"/>
            </w:tcBorders>
            <w:vAlign w:val="center"/>
          </w:tcPr>
          <w:p>
            <w:pPr>
              <w:pStyle w:val="TableContents"/>
              <w:bidi w:val="0"/>
              <w:spacing w:before="0" w:after="283"/>
              <w:jc w:val="left"/>
              <w:rPr/>
            </w:pPr>
            <w:r>
              <w:rPr/>
              <w:t> </w:t>
            </w:r>
          </w:p>
        </w:tc>
        <w:tc>
          <w:tcPr>
            <w:tcW w:w="1115" w:type="dxa"/>
            <w:tcBorders>
              <w:bottom w:val="single" w:sz="12" w:space="0" w:color="000000"/>
            </w:tcBorders>
            <w:vAlign w:val="center"/>
          </w:tcPr>
          <w:p>
            <w:pPr>
              <w:pStyle w:val="TableContents"/>
              <w:bidi w:val="0"/>
              <w:spacing w:before="0" w:after="283"/>
              <w:jc w:val="left"/>
              <w:rPr/>
            </w:pPr>
            <w:r>
              <w:rPr/>
              <w:t> </w:t>
            </w:r>
          </w:p>
        </w:tc>
        <w:tc>
          <w:tcPr>
            <w:tcW w:w="635" w:type="dxa"/>
            <w:tcBorders>
              <w:bottom w:val="single" w:sz="12" w:space="0" w:color="000000"/>
            </w:tcBorders>
            <w:vAlign w:val="center"/>
          </w:tcPr>
          <w:p>
            <w:pPr>
              <w:pStyle w:val="TableContents"/>
              <w:bidi w:val="0"/>
              <w:spacing w:before="0" w:after="283"/>
              <w:jc w:val="left"/>
              <w:rPr/>
            </w:pPr>
            <w:r>
              <w:rPr/>
              <w:t> </w:t>
            </w:r>
          </w:p>
        </w:tc>
      </w:tr>
      <w:tr>
        <w:trPr/>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left"/>
              <w:rPr/>
            </w:pPr>
            <w:r>
              <w:rPr/>
              <w:t> </w:t>
            </w:r>
          </w:p>
        </w:tc>
        <w:tc>
          <w:tcPr>
            <w:tcW w:w="995" w:type="dxa"/>
            <w:tcBorders/>
            <w:tcMar>
              <w:bottom w:w="0" w:type="dxa"/>
            </w:tcMar>
            <w:vAlign w:val="center"/>
          </w:tcPr>
          <w:p>
            <w:pPr>
              <w:pStyle w:val="TableContents"/>
              <w:bidi w:val="0"/>
              <w:spacing w:before="0" w:after="283"/>
              <w:jc w:val="left"/>
              <w:rPr/>
            </w:pPr>
            <w:r>
              <w:rPr/>
              <w:t> </w:t>
            </w:r>
          </w:p>
        </w:tc>
        <w:tc>
          <w:tcPr>
            <w:tcW w:w="410" w:type="dxa"/>
            <w:tcBorders/>
            <w:tcMar>
              <w:bottom w:w="0" w:type="dxa"/>
            </w:tcMar>
            <w:vAlign w:val="center"/>
          </w:tcPr>
          <w:p>
            <w:pPr>
              <w:pStyle w:val="TableContents"/>
              <w:bidi w:val="0"/>
              <w:spacing w:before="0" w:after="283"/>
              <w:jc w:val="left"/>
              <w:rPr/>
            </w:pPr>
            <w:r>
              <w:rPr/>
              <w:t> </w:t>
            </w:r>
          </w:p>
        </w:tc>
        <w:tc>
          <w:tcPr>
            <w:tcW w:w="740" w:type="dxa"/>
            <w:tcBorders/>
            <w:tcMar>
              <w:bottom w:w="0" w:type="dxa"/>
            </w:tcMar>
            <w:vAlign w:val="center"/>
          </w:tcPr>
          <w:p>
            <w:pPr>
              <w:pStyle w:val="TableContents"/>
              <w:bidi w:val="0"/>
              <w:spacing w:before="0" w:after="283"/>
              <w:jc w:val="left"/>
              <w:rPr/>
            </w:pPr>
            <w:r>
              <w:rPr/>
              <w:t> </w:t>
            </w:r>
          </w:p>
        </w:tc>
        <w:tc>
          <w:tcPr>
            <w:tcW w:w="1115" w:type="dxa"/>
            <w:tcBorders/>
            <w:tcMar>
              <w:bottom w:w="0" w:type="dxa"/>
            </w:tcMar>
            <w:vAlign w:val="center"/>
          </w:tcPr>
          <w:p>
            <w:pPr>
              <w:pStyle w:val="TableContents"/>
              <w:bidi w:val="0"/>
              <w:spacing w:before="0" w:after="283"/>
              <w:jc w:val="left"/>
              <w:rPr/>
            </w:pPr>
            <w:r>
              <w:rPr/>
              <w:t> </w:t>
            </w:r>
          </w:p>
        </w:tc>
        <w:tc>
          <w:tcPr>
            <w:tcW w:w="635" w:type="dxa"/>
            <w:tcBorders/>
            <w:tcMar>
              <w:bottom w:w="0" w:type="dxa"/>
            </w:tcMar>
            <w:vAlign w:val="center"/>
          </w:tcPr>
          <w:p>
            <w:pPr>
              <w:pStyle w:val="TableContents"/>
              <w:bidi w:val="0"/>
              <w:spacing w:before="0" w:after="283"/>
              <w:jc w:val="left"/>
              <w:rPr/>
            </w:pPr>
            <w:r>
              <w:rPr/>
              <w:t> </w:t>
            </w:r>
          </w:p>
        </w:tc>
      </w:tr>
      <w:tr>
        <w:trPr/>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left"/>
              <w:rPr/>
            </w:pPr>
            <w:r>
              <w:rPr/>
            </w:r>
          </w:p>
        </w:tc>
        <w:tc>
          <w:tcPr>
            <w:tcW w:w="995" w:type="dxa"/>
            <w:tcBorders/>
            <w:tcMar>
              <w:bottom w:w="0" w:type="dxa"/>
            </w:tcMar>
            <w:vAlign w:val="center"/>
          </w:tcPr>
          <w:p>
            <w:pPr>
              <w:pStyle w:val="TableContents"/>
              <w:bidi w:val="0"/>
              <w:spacing w:before="0" w:after="0"/>
              <w:jc w:val="left"/>
              <w:rPr>
                <w:sz w:val="20"/>
              </w:rPr>
            </w:pPr>
            <w:r>
              <w:rPr>
                <w:sz w:val="20"/>
              </w:rPr>
              <w:t>Shareholder</w:t>
            </w:r>
          </w:p>
          <w:p>
            <w:pPr>
              <w:pStyle w:val="TableContents"/>
              <w:bidi w:val="0"/>
              <w:spacing w:before="0" w:after="0"/>
              <w:jc w:val="left"/>
              <w:rPr>
                <w:sz w:val="20"/>
              </w:rPr>
            </w:pPr>
            <w:r>
              <w:rPr>
                <w:sz w:val="20"/>
              </w:rPr>
              <w:t>Support</w:t>
            </w:r>
          </w:p>
        </w:tc>
        <w:tc>
          <w:tcPr>
            <w:tcW w:w="410" w:type="dxa"/>
            <w:tcBorders/>
            <w:tcMar>
              <w:bottom w:w="0" w:type="dxa"/>
            </w:tcMar>
            <w:vAlign w:val="center"/>
          </w:tcPr>
          <w:p>
            <w:pPr>
              <w:pStyle w:val="TableContents"/>
              <w:bidi w:val="0"/>
              <w:spacing w:before="0" w:after="0"/>
              <w:jc w:val="left"/>
              <w:rPr>
                <w:sz w:val="20"/>
              </w:rPr>
            </w:pPr>
            <w:r>
              <w:rPr>
                <w:sz w:val="20"/>
              </w:rPr>
              <w:t>a-</w:t>
            </w:r>
          </w:p>
        </w:tc>
        <w:tc>
          <w:tcPr>
            <w:tcW w:w="740" w:type="dxa"/>
            <w:tcBorders/>
            <w:tcMar>
              <w:bottom w:w="0" w:type="dxa"/>
            </w:tcMar>
            <w:vAlign w:val="center"/>
          </w:tcPr>
          <w:p>
            <w:pPr>
              <w:pStyle w:val="TableContents"/>
              <w:bidi w:val="0"/>
              <w:spacing w:before="0" w:after="0"/>
              <w:jc w:val="left"/>
              <w:rPr>
                <w:sz w:val="20"/>
              </w:rPr>
            </w:pPr>
            <w:r>
              <w:rPr>
                <w:sz w:val="20"/>
              </w:rPr>
              <w:t>Affirmed</w:t>
            </w:r>
          </w:p>
        </w:tc>
        <w:tc>
          <w:tcPr>
            <w:tcW w:w="1115" w:type="dxa"/>
            <w:tcBorders/>
            <w:tcMar>
              <w:bottom w:w="0" w:type="dxa"/>
            </w:tcMar>
            <w:vAlign w:val="center"/>
          </w:tcPr>
          <w:p>
            <w:pPr>
              <w:pStyle w:val="TableContents"/>
              <w:bidi w:val="0"/>
              <w:spacing w:before="0" w:after="283"/>
              <w:jc w:val="left"/>
              <w:rPr/>
            </w:pPr>
            <w:r>
              <w:rPr/>
              <w:t> </w:t>
            </w:r>
          </w:p>
        </w:tc>
        <w:tc>
          <w:tcPr>
            <w:tcW w:w="635" w:type="dxa"/>
            <w:tcBorders/>
            <w:tcMar>
              <w:bottom w:w="0" w:type="dxa"/>
            </w:tcMar>
            <w:vAlign w:val="center"/>
          </w:tcPr>
          <w:p>
            <w:pPr>
              <w:pStyle w:val="TableContents"/>
              <w:bidi w:val="0"/>
              <w:spacing w:before="0" w:after="0"/>
              <w:jc w:val="left"/>
              <w:rPr>
                <w:sz w:val="20"/>
              </w:rPr>
            </w:pPr>
            <w:r>
              <w:rPr>
                <w:sz w:val="20"/>
              </w:rPr>
              <w:t>a-</w:t>
            </w:r>
          </w:p>
        </w:tc>
      </w:tr>
      <w:tr>
        <w:trPr/>
        <w:tc>
          <w:tcPr>
            <w:tcW w:w="60" w:type="dxa"/>
            <w:tcBorders>
              <w:bottom w:val="single" w:sz="12" w:space="0" w:color="000000"/>
            </w:tcBorders>
            <w:vAlign w:val="center"/>
          </w:tcPr>
          <w:p>
            <w:pPr>
              <w:pStyle w:val="TableContents"/>
              <w:bidi w:val="0"/>
              <w:spacing w:before="0" w:after="283"/>
              <w:jc w:val="left"/>
              <w:rPr/>
            </w:pPr>
            <w:r>
              <w:rPr/>
              <w:t> </w:t>
            </w:r>
          </w:p>
        </w:tc>
        <w:tc>
          <w:tcPr>
            <w:tcW w:w="1370" w:type="dxa"/>
            <w:tcBorders>
              <w:bottom w:val="single" w:sz="12" w:space="0" w:color="000000"/>
            </w:tcBorders>
            <w:vAlign w:val="center"/>
          </w:tcPr>
          <w:p>
            <w:pPr>
              <w:pStyle w:val="TableContents"/>
              <w:bidi w:val="0"/>
              <w:spacing w:before="0" w:after="283"/>
              <w:jc w:val="left"/>
              <w:rPr/>
            </w:pPr>
            <w:r>
              <w:rPr/>
              <w:t> </w:t>
            </w:r>
          </w:p>
        </w:tc>
        <w:tc>
          <w:tcPr>
            <w:tcW w:w="995" w:type="dxa"/>
            <w:tcBorders>
              <w:bottom w:val="single" w:sz="12" w:space="0" w:color="000000"/>
            </w:tcBorders>
            <w:vAlign w:val="center"/>
          </w:tcPr>
          <w:p>
            <w:pPr>
              <w:pStyle w:val="TableContents"/>
              <w:bidi w:val="0"/>
              <w:spacing w:before="0" w:after="283"/>
              <w:jc w:val="left"/>
              <w:rPr/>
            </w:pPr>
            <w:r>
              <w:rPr/>
              <w:t> </w:t>
            </w:r>
          </w:p>
        </w:tc>
        <w:tc>
          <w:tcPr>
            <w:tcW w:w="410" w:type="dxa"/>
            <w:tcBorders>
              <w:bottom w:val="single" w:sz="12" w:space="0" w:color="000000"/>
            </w:tcBorders>
            <w:vAlign w:val="center"/>
          </w:tcPr>
          <w:p>
            <w:pPr>
              <w:pStyle w:val="TableContents"/>
              <w:bidi w:val="0"/>
              <w:spacing w:before="0" w:after="283"/>
              <w:jc w:val="left"/>
              <w:rPr/>
            </w:pPr>
            <w:r>
              <w:rPr/>
              <w:t> </w:t>
            </w:r>
          </w:p>
        </w:tc>
        <w:tc>
          <w:tcPr>
            <w:tcW w:w="740" w:type="dxa"/>
            <w:tcBorders>
              <w:bottom w:val="single" w:sz="12" w:space="0" w:color="000000"/>
            </w:tcBorders>
            <w:vAlign w:val="center"/>
          </w:tcPr>
          <w:p>
            <w:pPr>
              <w:pStyle w:val="TableContents"/>
              <w:bidi w:val="0"/>
              <w:spacing w:before="0" w:after="283"/>
              <w:jc w:val="left"/>
              <w:rPr/>
            </w:pPr>
            <w:r>
              <w:rPr/>
              <w:t> </w:t>
            </w:r>
          </w:p>
        </w:tc>
        <w:tc>
          <w:tcPr>
            <w:tcW w:w="1115" w:type="dxa"/>
            <w:tcBorders>
              <w:bottom w:val="single" w:sz="12" w:space="0" w:color="000000"/>
            </w:tcBorders>
            <w:vAlign w:val="center"/>
          </w:tcPr>
          <w:p>
            <w:pPr>
              <w:pStyle w:val="TableContents"/>
              <w:bidi w:val="0"/>
              <w:spacing w:before="0" w:after="283"/>
              <w:jc w:val="left"/>
              <w:rPr/>
            </w:pPr>
            <w:r>
              <w:rPr/>
              <w:t> </w:t>
            </w:r>
          </w:p>
        </w:tc>
        <w:tc>
          <w:tcPr>
            <w:tcW w:w="635" w:type="dxa"/>
            <w:tcBorders>
              <w:bottom w:val="single" w:sz="12" w:space="0" w:color="000000"/>
            </w:tcBorders>
            <w:vAlign w:val="center"/>
          </w:tcPr>
          <w:p>
            <w:pPr>
              <w:pStyle w:val="TableContents"/>
              <w:bidi w:val="0"/>
              <w:spacing w:before="0" w:after="283"/>
              <w:jc w:val="left"/>
              <w:rPr/>
            </w:pPr>
            <w:r>
              <w:rPr/>
              <w:t> </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RATINGS KEY OUTLOOK WATCH</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20" w:name="z7ccf76fb0f564535b78bf22864e72e44"/>
      <w:bookmarkStart w:id="21" w:name="z7ccf76fb0f564535b78bf22864e72e44"/>
      <w:bookmarkEnd w:id="21"/>
    </w:p>
    <w:tbl>
      <w:tblPr>
        <w:tblW w:w="1460" w:type="dxa"/>
        <w:jc w:val="left"/>
        <w:tblInd w:w="0" w:type="dxa"/>
        <w:tblLayout w:type="fixed"/>
        <w:tblCellMar>
          <w:top w:w="0" w:type="dxa"/>
          <w:left w:w="0" w:type="dxa"/>
          <w:bottom w:w="0" w:type="dxa"/>
          <w:right w:w="0" w:type="dxa"/>
        </w:tblCellMar>
      </w:tblPr>
      <w:tblGrid>
        <w:gridCol w:w="1070"/>
        <w:gridCol w:w="165"/>
        <w:gridCol w:w="165"/>
        <w:gridCol w:w="60"/>
      </w:tblGrid>
      <w:tr>
        <w:trPr/>
        <w:tc>
          <w:tcPr>
            <w:tcW w:w="1070" w:type="dxa"/>
            <w:tcBorders/>
            <w:vAlign w:val="center"/>
          </w:tcPr>
          <w:p>
            <w:pPr>
              <w:pStyle w:val="TableContents"/>
              <w:bidi w:val="0"/>
              <w:spacing w:before="0" w:after="0"/>
              <w:jc w:val="left"/>
              <w:rPr>
                <w:b/>
                <w:sz w:val="20"/>
              </w:rPr>
            </w:pPr>
            <w:r>
              <w:rPr>
                <w:b/>
                <w:sz w:val="20"/>
              </w:rPr>
              <w:t>POSITIVE</w:t>
            </w:r>
          </w:p>
        </w:tc>
        <w:tc>
          <w:tcPr>
            <w:tcW w:w="165" w:type="dxa"/>
            <w:tcBorders/>
            <w:vAlign w:val="center"/>
          </w:tcPr>
          <w:p>
            <w:pPr>
              <w:pStyle w:val="TableContents"/>
              <w:bidi w:val="0"/>
              <w:spacing w:before="0" w:after="283"/>
              <w:jc w:val="left"/>
              <w:rPr/>
            </w:pPr>
            <w:r>
              <w:rPr/>
              <w:drawing>
                <wp:inline distT="0" distB="0" distL="0" distR="0">
                  <wp:extent cx="104775" cy="1047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104775" cy="104775"/>
                          </a:xfrm>
                          <a:prstGeom prst="rect">
                            <a:avLst/>
                          </a:prstGeom>
                        </pic:spPr>
                      </pic:pic>
                    </a:graphicData>
                  </a:graphic>
                </wp:inline>
              </w:drawing>
            </w:r>
          </w:p>
        </w:tc>
        <w:tc>
          <w:tcPr>
            <w:tcW w:w="165" w:type="dxa"/>
            <w:tcBorders/>
            <w:vAlign w:val="center"/>
          </w:tcPr>
          <w:p>
            <w:pPr>
              <w:pStyle w:val="TableContents"/>
              <w:bidi w:val="0"/>
              <w:spacing w:before="0" w:after="283"/>
              <w:jc w:val="left"/>
              <w:rPr/>
            </w:pPr>
            <w:r>
              <w:rPr/>
              <w:drawing>
                <wp:inline distT="0" distB="0" distL="0" distR="0">
                  <wp:extent cx="104775" cy="1047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104775" cy="104775"/>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283"/>
              <w:jc w:val="left"/>
              <w:rPr/>
            </w:pPr>
            <w:r>
              <w:rPr/>
            </w:r>
          </w:p>
        </w:tc>
        <w:tc>
          <w:tcPr>
            <w:tcW w:w="165" w:type="dxa"/>
            <w:tcBorders/>
            <w:vAlign w:val="center"/>
          </w:tcPr>
          <w:p>
            <w:pPr>
              <w:pStyle w:val="TableContents"/>
              <w:bidi w:val="0"/>
              <w:spacing w:before="0" w:after="283"/>
              <w:jc w:val="left"/>
              <w:rPr/>
            </w:pPr>
            <w:r>
              <w:rPr/>
            </w:r>
          </w:p>
        </w:tc>
        <w:tc>
          <w:tcPr>
            <w:tcW w:w="165"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0"/>
              <w:jc w:val="left"/>
              <w:rPr>
                <w:b/>
                <w:sz w:val="20"/>
              </w:rPr>
            </w:pPr>
            <w:r>
              <w:rPr>
                <w:b/>
                <w:sz w:val="20"/>
              </w:rPr>
              <w:t>NEGATIVE</w:t>
            </w:r>
          </w:p>
        </w:tc>
        <w:tc>
          <w:tcPr>
            <w:tcW w:w="165" w:type="dxa"/>
            <w:tcBorders/>
            <w:vAlign w:val="center"/>
          </w:tcPr>
          <w:p>
            <w:pPr>
              <w:pStyle w:val="TableContents"/>
              <w:bidi w:val="0"/>
              <w:spacing w:before="0" w:after="283"/>
              <w:jc w:val="left"/>
              <w:rPr/>
            </w:pPr>
            <w:r>
              <w:rPr/>
              <w:drawing>
                <wp:inline distT="0" distB="0" distL="0" distR="0">
                  <wp:extent cx="104775" cy="1047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104775" cy="104775"/>
                          </a:xfrm>
                          <a:prstGeom prst="rect">
                            <a:avLst/>
                          </a:prstGeom>
                        </pic:spPr>
                      </pic:pic>
                    </a:graphicData>
                  </a:graphic>
                </wp:inline>
              </w:drawing>
            </w:r>
          </w:p>
        </w:tc>
        <w:tc>
          <w:tcPr>
            <w:tcW w:w="165" w:type="dxa"/>
            <w:tcBorders/>
            <w:vAlign w:val="center"/>
          </w:tcPr>
          <w:p>
            <w:pPr>
              <w:pStyle w:val="TableContents"/>
              <w:bidi w:val="0"/>
              <w:spacing w:before="0" w:after="283"/>
              <w:jc w:val="left"/>
              <w:rPr/>
            </w:pPr>
            <w:r>
              <w:rPr/>
              <w:drawing>
                <wp:inline distT="0" distB="0" distL="0" distR="0">
                  <wp:extent cx="104775" cy="1047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104775" cy="104775"/>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283"/>
              <w:jc w:val="left"/>
              <w:rPr/>
            </w:pPr>
            <w:r>
              <w:rPr/>
            </w:r>
          </w:p>
        </w:tc>
        <w:tc>
          <w:tcPr>
            <w:tcW w:w="165" w:type="dxa"/>
            <w:tcBorders/>
            <w:vAlign w:val="center"/>
          </w:tcPr>
          <w:p>
            <w:pPr>
              <w:pStyle w:val="TableContents"/>
              <w:bidi w:val="0"/>
              <w:spacing w:before="0" w:after="283"/>
              <w:jc w:val="left"/>
              <w:rPr/>
            </w:pPr>
            <w:r>
              <w:rPr/>
            </w:r>
          </w:p>
        </w:tc>
        <w:tc>
          <w:tcPr>
            <w:tcW w:w="165"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0"/>
              <w:jc w:val="left"/>
              <w:rPr>
                <w:b/>
                <w:sz w:val="20"/>
              </w:rPr>
            </w:pPr>
            <w:r>
              <w:rPr>
                <w:b/>
                <w:sz w:val="20"/>
              </w:rPr>
              <w:t>EVOLVING</w:t>
            </w:r>
          </w:p>
        </w:tc>
        <w:tc>
          <w:tcPr>
            <w:tcW w:w="165" w:type="dxa"/>
            <w:tcBorders/>
            <w:vAlign w:val="center"/>
          </w:tcPr>
          <w:p>
            <w:pPr>
              <w:pStyle w:val="TableContents"/>
              <w:bidi w:val="0"/>
              <w:spacing w:before="0" w:after="283"/>
              <w:jc w:val="left"/>
              <w:rPr/>
            </w:pPr>
            <w:r>
              <w:rPr/>
              <w:drawing>
                <wp:inline distT="0" distB="0" distL="0" distR="0">
                  <wp:extent cx="104775" cy="1047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104775" cy="104775"/>
                          </a:xfrm>
                          <a:prstGeom prst="rect">
                            <a:avLst/>
                          </a:prstGeom>
                        </pic:spPr>
                      </pic:pic>
                    </a:graphicData>
                  </a:graphic>
                </wp:inline>
              </w:drawing>
            </w:r>
          </w:p>
        </w:tc>
        <w:tc>
          <w:tcPr>
            <w:tcW w:w="165" w:type="dxa"/>
            <w:tcBorders/>
            <w:vAlign w:val="center"/>
          </w:tcPr>
          <w:p>
            <w:pPr>
              <w:pStyle w:val="TableContents"/>
              <w:bidi w:val="0"/>
              <w:spacing w:before="0" w:after="283"/>
              <w:jc w:val="left"/>
              <w:rPr/>
            </w:pPr>
            <w:r>
              <w:rPr/>
              <w:drawing>
                <wp:inline distT="0" distB="0" distL="0" distR="0">
                  <wp:extent cx="104775" cy="1047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104775" cy="104775"/>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283"/>
              <w:jc w:val="left"/>
              <w:rPr/>
            </w:pPr>
            <w:r>
              <w:rPr/>
            </w:r>
          </w:p>
        </w:tc>
        <w:tc>
          <w:tcPr>
            <w:tcW w:w="165" w:type="dxa"/>
            <w:tcBorders/>
            <w:vAlign w:val="center"/>
          </w:tcPr>
          <w:p>
            <w:pPr>
              <w:pStyle w:val="TableContents"/>
              <w:bidi w:val="0"/>
              <w:spacing w:before="0" w:after="283"/>
              <w:jc w:val="left"/>
              <w:rPr/>
            </w:pPr>
            <w:r>
              <w:rPr/>
            </w:r>
          </w:p>
        </w:tc>
        <w:tc>
          <w:tcPr>
            <w:tcW w:w="165"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0"/>
              <w:jc w:val="left"/>
              <w:rPr>
                <w:b/>
                <w:sz w:val="20"/>
              </w:rPr>
            </w:pPr>
            <w:r>
              <w:rPr>
                <w:b/>
                <w:sz w:val="20"/>
              </w:rPr>
              <w:t>STABLE</w:t>
            </w:r>
          </w:p>
        </w:tc>
        <w:tc>
          <w:tcPr>
            <w:tcW w:w="165" w:type="dxa"/>
            <w:tcBorders/>
            <w:vAlign w:val="center"/>
          </w:tcPr>
          <w:p>
            <w:pPr>
              <w:pStyle w:val="TableContents"/>
              <w:bidi w:val="0"/>
              <w:spacing w:before="0" w:after="283"/>
              <w:jc w:val="left"/>
              <w:rPr/>
            </w:pPr>
            <w:r>
              <w:rPr/>
              <w:drawing>
                <wp:inline distT="0" distB="0" distL="0" distR="0">
                  <wp:extent cx="104775" cy="1047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104775" cy="104775"/>
                          </a:xfrm>
                          <a:prstGeom prst="rect">
                            <a:avLst/>
                          </a:prstGeom>
                        </pic:spPr>
                      </pic:pic>
                    </a:graphicData>
                  </a:graphic>
                </wp:inline>
              </w:drawing>
            </w:r>
          </w:p>
        </w:tc>
        <w:tc>
          <w:tcPr>
            <w:tcW w:w="165"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Applicable Criteria</w:t>
      </w:r>
    </w:p>
    <w:p>
      <w:pPr>
        <w:pStyle w:val="TextBody"/>
        <w:bidi w:val="0"/>
        <w:spacing w:before="251" w:after="283"/>
        <w:jc w:val="left"/>
        <w:rPr>
          <w:rFonts w:ascii="Times New Roman" w:hAnsi="Times New Roman"/>
          <w:color w:val="000000"/>
          <w:sz w:val="20"/>
        </w:rPr>
      </w:pPr>
      <w:r>
        <w:rPr>
          <w:rFonts w:ascii="Times New Roman" w:hAnsi="Times New Roman"/>
          <w:color w:val="000000"/>
          <w:sz w:val="20"/>
        </w:rPr>
        <w:t>Bank Rating Criteria (pub.15 Mar 2024) (including rating assumption sensitivity)</w:t>
      </w:r>
    </w:p>
    <w:p>
      <w:pPr>
        <w:pStyle w:val="TextBody"/>
        <w:bidi w:val="0"/>
        <w:spacing w:before="3" w:after="283"/>
        <w:jc w:val="left"/>
        <w:rPr>
          <w:color w:val="000000"/>
          <w:sz w:val="20"/>
        </w:rPr>
      </w:pPr>
      <w:r>
        <w:rPr>
          <w:color w:val="000000"/>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Future Flow Securitization Rating Criteria (pub.30 Jul 2024) (including rating assumption sensitivity)</w:t>
      </w:r>
    </w:p>
    <w:p>
      <w:pPr>
        <w:pStyle w:val="TextBody"/>
        <w:bidi w:val="0"/>
        <w:spacing w:before="270" w:after="283"/>
        <w:jc w:val="left"/>
        <w:rPr>
          <w:rFonts w:ascii="Times New Roman" w:hAnsi="Times New Roman"/>
          <w:color w:val="000000"/>
          <w:sz w:val="20"/>
        </w:rPr>
      </w:pPr>
      <w:r>
        <w:rPr>
          <w:rFonts w:ascii="Times New Roman" w:hAnsi="Times New Roman"/>
          <w:color w:val="000000"/>
          <w:sz w:val="20"/>
        </w:rPr>
        <w:t>Non-Bank Financial Institutions Rating Criteria (pub.17 Jan 2024) (including rating assumption sensitivity)</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Additional Disclosures</w:t>
      </w:r>
    </w:p>
    <w:p>
      <w:pPr>
        <w:pStyle w:val="TextBody"/>
        <w:bidi w:val="0"/>
        <w:spacing w:before="251" w:after="283"/>
        <w:jc w:val="left"/>
        <w:rPr>
          <w:rFonts w:ascii="Times New Roman" w:hAnsi="Times New Roman"/>
          <w:color w:val="000000"/>
          <w:sz w:val="20"/>
        </w:rPr>
      </w:pPr>
      <w:r>
        <w:rPr>
          <w:rFonts w:ascii="Times New Roman" w:hAnsi="Times New Roman"/>
          <w:color w:val="000000"/>
          <w:sz w:val="20"/>
        </w:rPr>
        <w:t>Solicitation Status</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Endorsement Status</w:t>
      </w:r>
    </w:p>
    <w:p>
      <w:pPr>
        <w:pStyle w:val="TextBody"/>
        <w:bidi w:val="0"/>
        <w:spacing w:before="0" w:after="0"/>
        <w:jc w:val="left"/>
        <w:rPr>
          <w:sz w:val="20"/>
        </w:rPr>
      </w:pPr>
      <w:r>
        <w:rPr>
          <w:sz w:val="20"/>
        </w:rPr>
      </w:r>
    </w:p>
    <w:tbl>
      <w:tblPr>
        <w:tblW w:w="4840" w:type="dxa"/>
        <w:jc w:val="left"/>
        <w:tblInd w:w="0" w:type="dxa"/>
        <w:tblLayout w:type="fixed"/>
        <w:tblCellMar>
          <w:top w:w="0" w:type="dxa"/>
          <w:left w:w="0" w:type="dxa"/>
          <w:bottom w:w="0" w:type="dxa"/>
          <w:right w:w="0" w:type="dxa"/>
        </w:tblCellMar>
      </w:tblPr>
      <w:tblGrid>
        <w:gridCol w:w="60"/>
        <w:gridCol w:w="2525"/>
        <w:gridCol w:w="2255"/>
      </w:tblGrid>
      <w:tr>
        <w:trPr/>
        <w:tc>
          <w:tcPr>
            <w:tcW w:w="60" w:type="dxa"/>
            <w:tcBorders/>
            <w:vAlign w:val="center"/>
          </w:tcPr>
          <w:p>
            <w:pPr>
              <w:pStyle w:val="TableContents"/>
              <w:bidi w:val="0"/>
              <w:spacing w:before="0" w:after="283"/>
              <w:jc w:val="left"/>
              <w:rPr>
                <w:color w:val="000000"/>
              </w:rPr>
            </w:pPr>
            <w:r>
              <w:rPr>
                <w:color w:val="000000"/>
              </w:rPr>
              <w:t> </w:t>
            </w:r>
          </w:p>
        </w:tc>
        <w:tc>
          <w:tcPr>
            <w:tcW w:w="2525" w:type="dxa"/>
            <w:tcBorders/>
            <w:vAlign w:val="center"/>
          </w:tcPr>
          <w:p>
            <w:pPr>
              <w:pStyle w:val="TableContents"/>
              <w:bidi w:val="0"/>
              <w:spacing w:before="0" w:after="0"/>
              <w:jc w:val="left"/>
              <w:rPr>
                <w:color w:val="000000"/>
                <w:sz w:val="20"/>
              </w:rPr>
            </w:pPr>
            <w:r>
              <w:rPr>
                <w:color w:val="000000"/>
                <w:sz w:val="20"/>
              </w:rPr>
              <w:t>Banco de Credito del Peru S.A.</w:t>
            </w:r>
          </w:p>
        </w:tc>
        <w:tc>
          <w:tcPr>
            <w:tcW w:w="2255" w:type="dxa"/>
            <w:tcBorders/>
            <w:vAlign w:val="center"/>
          </w:tcPr>
          <w:p>
            <w:pPr>
              <w:pStyle w:val="TableContents"/>
              <w:bidi w:val="0"/>
              <w:spacing w:before="0" w:after="283"/>
              <w:jc w:val="left"/>
              <w:rPr>
                <w:color w:val="000000"/>
                <w:sz w:val="20"/>
              </w:rPr>
            </w:pPr>
            <w:r>
              <w:rPr>
                <w:color w:val="000000"/>
                <w:sz w:val="20"/>
              </w:rPr>
              <w:t>EU Endorsed, UK Endorsed</w:t>
            </w:r>
          </w:p>
        </w:tc>
      </w:tr>
    </w:tbl>
    <w:p>
      <w:pPr>
        <w:pStyle w:val="TextBody"/>
        <w:bidi w:val="0"/>
        <w:spacing w:before="0" w:after="0"/>
        <w:jc w:val="left"/>
        <w:rPr/>
      </w:pPr>
      <w:r>
        <w:rPr/>
      </w:r>
    </w:p>
    <w:p>
      <w:pPr>
        <w:pStyle w:val="HorizontalLine"/>
        <w:pBdr>
          <w:bottom w:val="single" w:sz="12" w:space="0" w:color="808080"/>
        </w:pBdr>
        <w:bidi w:val="0"/>
        <w:spacing w:before="180" w:after="180"/>
        <w:jc w:val="left"/>
        <w:rPr/>
      </w:pPr>
      <w:r>
        <w:rPr/>
      </w:r>
    </w:p>
    <w:p>
      <w:pPr>
        <w:pStyle w:val="Normal"/>
        <w:bidi w:val="0"/>
        <w:spacing w:before="0" w:after="0"/>
        <w:jc w:val="left"/>
        <w:rPr>
          <w:sz w:val="4"/>
          <w:szCs w:val="4"/>
        </w:rPr>
      </w:pPr>
      <w:r>
        <w:rPr>
          <w:sz w:val="4"/>
          <w:szCs w:val="4"/>
        </w:rPr>
      </w:r>
      <w:bookmarkStart w:id="22" w:name="z445f21708689476a9951bd65294c3a55"/>
      <w:bookmarkStart w:id="23" w:name="z445f21708689476a9951bd65294c3a55"/>
      <w:bookmarkEnd w:id="23"/>
    </w:p>
    <w:tbl>
      <w:tblPr>
        <w:tblW w:w="6610" w:type="dxa"/>
        <w:jc w:val="left"/>
        <w:tblInd w:w="0" w:type="dxa"/>
        <w:tblLayout w:type="fixed"/>
        <w:tblCellMar>
          <w:top w:w="0" w:type="dxa"/>
          <w:left w:w="0" w:type="dxa"/>
          <w:bottom w:w="0" w:type="dxa"/>
          <w:right w:w="0" w:type="dxa"/>
        </w:tblCellMar>
      </w:tblPr>
      <w:tblGrid>
        <w:gridCol w:w="60"/>
        <w:gridCol w:w="4295"/>
        <w:gridCol w:w="2255"/>
      </w:tblGrid>
      <w:tr>
        <w:trPr/>
        <w:tc>
          <w:tcPr>
            <w:tcW w:w="60" w:type="dxa"/>
            <w:tcBorders/>
            <w:vAlign w:val="center"/>
          </w:tcPr>
          <w:p>
            <w:pPr>
              <w:pStyle w:val="TableContents"/>
              <w:bidi w:val="0"/>
              <w:spacing w:before="0" w:after="283"/>
              <w:jc w:val="left"/>
              <w:rPr>
                <w:color w:val="000000"/>
              </w:rPr>
            </w:pPr>
            <w:r>
              <w:rPr>
                <w:color w:val="000000"/>
              </w:rPr>
              <w:t> </w:t>
            </w:r>
          </w:p>
        </w:tc>
        <w:tc>
          <w:tcPr>
            <w:tcW w:w="4295" w:type="dxa"/>
            <w:tcBorders/>
            <w:vAlign w:val="center"/>
          </w:tcPr>
          <w:p>
            <w:pPr>
              <w:pStyle w:val="TableContents"/>
              <w:bidi w:val="0"/>
              <w:spacing w:before="0" w:after="283"/>
              <w:jc w:val="left"/>
              <w:rPr>
                <w:color w:val="000000"/>
                <w:sz w:val="20"/>
              </w:rPr>
            </w:pPr>
            <w:r>
              <w:rPr>
                <w:color w:val="000000"/>
                <w:sz w:val="20"/>
              </w:rPr>
              <w:t>Credicorp Ltd.</w:t>
            </w:r>
          </w:p>
        </w:tc>
        <w:tc>
          <w:tcPr>
            <w:tcW w:w="2255" w:type="dxa"/>
            <w:tcBorders/>
            <w:vAlign w:val="center"/>
          </w:tcPr>
          <w:p>
            <w:pPr>
              <w:pStyle w:val="TableContents"/>
              <w:bidi w:val="0"/>
              <w:spacing w:before="0" w:after="283"/>
              <w:jc w:val="left"/>
              <w:rPr>
                <w:color w:val="000000"/>
                <w:sz w:val="20"/>
              </w:rPr>
            </w:pPr>
            <w:r>
              <w:rPr>
                <w:color w:val="000000"/>
                <w:sz w:val="20"/>
              </w:rPr>
              <w:t>EU Endorsed, UK Endorsed</w:t>
            </w:r>
          </w:p>
        </w:tc>
      </w:tr>
      <w:tr>
        <w:trPr/>
        <w:tc>
          <w:tcPr>
            <w:tcW w:w="60" w:type="dxa"/>
            <w:tcBorders/>
            <w:vAlign w:val="center"/>
          </w:tcPr>
          <w:p>
            <w:pPr>
              <w:pStyle w:val="TableContents"/>
              <w:bidi w:val="0"/>
              <w:spacing w:before="0" w:after="283"/>
              <w:jc w:val="left"/>
              <w:rPr>
                <w:color w:val="000000"/>
              </w:rPr>
            </w:pPr>
            <w:r>
              <w:rPr>
                <w:color w:val="000000"/>
              </w:rPr>
              <w:t> </w:t>
            </w:r>
          </w:p>
        </w:tc>
        <w:tc>
          <w:tcPr>
            <w:tcW w:w="4295" w:type="dxa"/>
            <w:tcBorders/>
            <w:vAlign w:val="center"/>
          </w:tcPr>
          <w:p>
            <w:pPr>
              <w:pStyle w:val="TableContents"/>
              <w:bidi w:val="0"/>
              <w:spacing w:before="0" w:after="283"/>
              <w:jc w:val="left"/>
              <w:rPr/>
            </w:pPr>
            <w:r>
              <w:rPr/>
            </w:r>
          </w:p>
        </w:tc>
        <w:tc>
          <w:tcPr>
            <w:tcW w:w="2255" w:type="dxa"/>
            <w:tcBorders/>
            <w:vAlign w:val="center"/>
          </w:tcPr>
          <w:p>
            <w:pPr>
              <w:pStyle w:val="TableContents"/>
              <w:bidi w:val="0"/>
              <w:spacing w:before="0" w:after="283"/>
              <w:jc w:val="left"/>
              <w:rPr/>
            </w:pPr>
            <w:r>
              <w:rPr/>
            </w:r>
          </w:p>
        </w:tc>
      </w:tr>
      <w:tr>
        <w:trPr/>
        <w:tc>
          <w:tcPr>
            <w:tcW w:w="60" w:type="dxa"/>
            <w:tcBorders/>
            <w:vAlign w:val="center"/>
          </w:tcPr>
          <w:p>
            <w:pPr>
              <w:pStyle w:val="TableContents"/>
              <w:bidi w:val="0"/>
              <w:spacing w:before="0" w:after="283"/>
              <w:jc w:val="left"/>
              <w:rPr>
                <w:color w:val="000000"/>
              </w:rPr>
            </w:pPr>
            <w:r>
              <w:rPr>
                <w:color w:val="000000"/>
              </w:rPr>
              <w:t> </w:t>
            </w:r>
          </w:p>
        </w:tc>
        <w:tc>
          <w:tcPr>
            <w:tcW w:w="4295" w:type="dxa"/>
            <w:tcBorders/>
            <w:vAlign w:val="center"/>
          </w:tcPr>
          <w:p>
            <w:pPr>
              <w:pStyle w:val="TableContents"/>
              <w:bidi w:val="0"/>
              <w:spacing w:before="0" w:after="283"/>
              <w:jc w:val="left"/>
              <w:rPr>
                <w:color w:val="000000"/>
                <w:sz w:val="20"/>
              </w:rPr>
            </w:pPr>
            <w:r>
              <w:rPr>
                <w:color w:val="000000"/>
                <w:sz w:val="20"/>
              </w:rPr>
              <w:t>Banco BBVA Peru</w:t>
            </w:r>
          </w:p>
        </w:tc>
        <w:tc>
          <w:tcPr>
            <w:tcW w:w="2255" w:type="dxa"/>
            <w:tcBorders/>
            <w:vAlign w:val="center"/>
          </w:tcPr>
          <w:p>
            <w:pPr>
              <w:pStyle w:val="TableContents"/>
              <w:bidi w:val="0"/>
              <w:spacing w:before="0" w:after="283"/>
              <w:jc w:val="left"/>
              <w:rPr>
                <w:color w:val="000000"/>
                <w:sz w:val="20"/>
              </w:rPr>
            </w:pPr>
            <w:r>
              <w:rPr>
                <w:color w:val="000000"/>
                <w:sz w:val="20"/>
              </w:rPr>
              <w:t>EU Endorsed, UK Endorsed</w:t>
            </w:r>
          </w:p>
        </w:tc>
      </w:tr>
      <w:tr>
        <w:trPr/>
        <w:tc>
          <w:tcPr>
            <w:tcW w:w="60" w:type="dxa"/>
            <w:tcBorders/>
            <w:vAlign w:val="center"/>
          </w:tcPr>
          <w:p>
            <w:pPr>
              <w:pStyle w:val="TableContents"/>
              <w:bidi w:val="0"/>
              <w:spacing w:before="0" w:after="283"/>
              <w:jc w:val="left"/>
              <w:rPr>
                <w:color w:val="000000"/>
              </w:rPr>
            </w:pPr>
            <w:r>
              <w:rPr>
                <w:color w:val="000000"/>
              </w:rPr>
              <w:t> </w:t>
            </w:r>
          </w:p>
        </w:tc>
        <w:tc>
          <w:tcPr>
            <w:tcW w:w="4295" w:type="dxa"/>
            <w:tcBorders/>
            <w:vAlign w:val="center"/>
          </w:tcPr>
          <w:p>
            <w:pPr>
              <w:pStyle w:val="TableContents"/>
              <w:bidi w:val="0"/>
              <w:spacing w:before="0" w:after="283"/>
              <w:jc w:val="left"/>
              <w:rPr/>
            </w:pPr>
            <w:r>
              <w:rPr/>
            </w:r>
          </w:p>
        </w:tc>
        <w:tc>
          <w:tcPr>
            <w:tcW w:w="2255" w:type="dxa"/>
            <w:tcBorders/>
            <w:vAlign w:val="center"/>
          </w:tcPr>
          <w:p>
            <w:pPr>
              <w:pStyle w:val="TableContents"/>
              <w:bidi w:val="0"/>
              <w:spacing w:before="0" w:after="283"/>
              <w:jc w:val="left"/>
              <w:rPr/>
            </w:pPr>
            <w:r>
              <w:rPr/>
            </w:r>
          </w:p>
        </w:tc>
      </w:tr>
      <w:tr>
        <w:trPr/>
        <w:tc>
          <w:tcPr>
            <w:tcW w:w="60" w:type="dxa"/>
            <w:tcBorders/>
            <w:vAlign w:val="center"/>
          </w:tcPr>
          <w:p>
            <w:pPr>
              <w:pStyle w:val="TableContents"/>
              <w:bidi w:val="0"/>
              <w:spacing w:before="0" w:after="283"/>
              <w:jc w:val="left"/>
              <w:rPr>
                <w:color w:val="000000"/>
              </w:rPr>
            </w:pPr>
            <w:r>
              <w:rPr>
                <w:color w:val="000000"/>
              </w:rPr>
              <w:t> </w:t>
            </w:r>
          </w:p>
        </w:tc>
        <w:tc>
          <w:tcPr>
            <w:tcW w:w="4295" w:type="dxa"/>
            <w:tcBorders/>
            <w:vAlign w:val="center"/>
          </w:tcPr>
          <w:p>
            <w:pPr>
              <w:pStyle w:val="TableContents"/>
              <w:bidi w:val="0"/>
              <w:spacing w:before="0" w:after="283"/>
              <w:jc w:val="left"/>
              <w:rPr>
                <w:color w:val="000000"/>
                <w:sz w:val="20"/>
              </w:rPr>
            </w:pPr>
            <w:r>
              <w:rPr>
                <w:color w:val="000000"/>
                <w:sz w:val="20"/>
              </w:rPr>
              <w:t>Banco Interamericano de Finanzas S.A.</w:t>
            </w:r>
          </w:p>
        </w:tc>
        <w:tc>
          <w:tcPr>
            <w:tcW w:w="2255" w:type="dxa"/>
            <w:tcBorders/>
            <w:vAlign w:val="center"/>
          </w:tcPr>
          <w:p>
            <w:pPr>
              <w:pStyle w:val="TableContents"/>
              <w:bidi w:val="0"/>
              <w:spacing w:before="0" w:after="283"/>
              <w:jc w:val="left"/>
              <w:rPr>
                <w:color w:val="000000"/>
                <w:sz w:val="20"/>
              </w:rPr>
            </w:pPr>
            <w:r>
              <w:rPr>
                <w:color w:val="000000"/>
                <w:sz w:val="20"/>
              </w:rPr>
              <w:t>EU Endorsed, UK Endorsed</w:t>
            </w:r>
          </w:p>
        </w:tc>
      </w:tr>
      <w:tr>
        <w:trPr/>
        <w:tc>
          <w:tcPr>
            <w:tcW w:w="60" w:type="dxa"/>
            <w:tcBorders/>
            <w:vAlign w:val="center"/>
          </w:tcPr>
          <w:p>
            <w:pPr>
              <w:pStyle w:val="TableContents"/>
              <w:bidi w:val="0"/>
              <w:spacing w:before="0" w:after="283"/>
              <w:jc w:val="left"/>
              <w:rPr>
                <w:color w:val="000000"/>
              </w:rPr>
            </w:pPr>
            <w:r>
              <w:rPr>
                <w:color w:val="000000"/>
              </w:rPr>
              <w:t> </w:t>
            </w:r>
          </w:p>
        </w:tc>
        <w:tc>
          <w:tcPr>
            <w:tcW w:w="4295" w:type="dxa"/>
            <w:tcBorders/>
            <w:vAlign w:val="center"/>
          </w:tcPr>
          <w:p>
            <w:pPr>
              <w:pStyle w:val="TableContents"/>
              <w:bidi w:val="0"/>
              <w:spacing w:before="0" w:after="283"/>
              <w:jc w:val="left"/>
              <w:rPr/>
            </w:pPr>
            <w:r>
              <w:rPr/>
            </w:r>
          </w:p>
        </w:tc>
        <w:tc>
          <w:tcPr>
            <w:tcW w:w="2255" w:type="dxa"/>
            <w:tcBorders/>
            <w:vAlign w:val="center"/>
          </w:tcPr>
          <w:p>
            <w:pPr>
              <w:pStyle w:val="TableContents"/>
              <w:bidi w:val="0"/>
              <w:spacing w:before="0" w:after="283"/>
              <w:jc w:val="left"/>
              <w:rPr/>
            </w:pPr>
            <w:r>
              <w:rPr/>
            </w:r>
          </w:p>
        </w:tc>
      </w:tr>
      <w:tr>
        <w:trPr/>
        <w:tc>
          <w:tcPr>
            <w:tcW w:w="60" w:type="dxa"/>
            <w:tcBorders/>
            <w:vAlign w:val="center"/>
          </w:tcPr>
          <w:p>
            <w:pPr>
              <w:pStyle w:val="TableContents"/>
              <w:bidi w:val="0"/>
              <w:spacing w:before="0" w:after="283"/>
              <w:jc w:val="left"/>
              <w:rPr>
                <w:color w:val="000000"/>
              </w:rPr>
            </w:pPr>
            <w:r>
              <w:rPr>
                <w:color w:val="000000"/>
              </w:rPr>
              <w:t> </w:t>
            </w:r>
          </w:p>
        </w:tc>
        <w:tc>
          <w:tcPr>
            <w:tcW w:w="4295" w:type="dxa"/>
            <w:tcBorders/>
            <w:vAlign w:val="center"/>
          </w:tcPr>
          <w:p>
            <w:pPr>
              <w:pStyle w:val="TableContents"/>
              <w:bidi w:val="0"/>
              <w:spacing w:before="0" w:after="283"/>
              <w:jc w:val="left"/>
              <w:rPr>
                <w:color w:val="000000"/>
                <w:sz w:val="20"/>
              </w:rPr>
            </w:pPr>
            <w:r>
              <w:rPr>
                <w:color w:val="000000"/>
                <w:sz w:val="20"/>
              </w:rPr>
              <w:t>Banco Internacional del Peru S.A.A. - Interbank</w:t>
            </w:r>
          </w:p>
        </w:tc>
        <w:tc>
          <w:tcPr>
            <w:tcW w:w="2255" w:type="dxa"/>
            <w:tcBorders/>
            <w:vAlign w:val="center"/>
          </w:tcPr>
          <w:p>
            <w:pPr>
              <w:pStyle w:val="TableContents"/>
              <w:bidi w:val="0"/>
              <w:spacing w:before="0" w:after="283"/>
              <w:jc w:val="left"/>
              <w:rPr>
                <w:color w:val="000000"/>
                <w:sz w:val="20"/>
              </w:rPr>
            </w:pPr>
            <w:r>
              <w:rPr>
                <w:color w:val="000000"/>
                <w:sz w:val="20"/>
              </w:rPr>
              <w:t>EU Endorsed, UK Endorsed</w:t>
            </w:r>
          </w:p>
        </w:tc>
      </w:tr>
      <w:tr>
        <w:trPr/>
        <w:tc>
          <w:tcPr>
            <w:tcW w:w="60" w:type="dxa"/>
            <w:tcBorders/>
            <w:vAlign w:val="center"/>
          </w:tcPr>
          <w:p>
            <w:pPr>
              <w:pStyle w:val="TableContents"/>
              <w:bidi w:val="0"/>
              <w:spacing w:before="0" w:after="283"/>
              <w:jc w:val="left"/>
              <w:rPr>
                <w:color w:val="000000"/>
              </w:rPr>
            </w:pPr>
            <w:r>
              <w:rPr>
                <w:color w:val="000000"/>
              </w:rPr>
              <w:t> </w:t>
            </w:r>
          </w:p>
        </w:tc>
        <w:tc>
          <w:tcPr>
            <w:tcW w:w="4295" w:type="dxa"/>
            <w:tcBorders/>
            <w:vAlign w:val="center"/>
          </w:tcPr>
          <w:p>
            <w:pPr>
              <w:pStyle w:val="TableContents"/>
              <w:bidi w:val="0"/>
              <w:spacing w:before="0" w:after="283"/>
              <w:jc w:val="left"/>
              <w:rPr/>
            </w:pPr>
            <w:r>
              <w:rPr/>
            </w:r>
          </w:p>
        </w:tc>
        <w:tc>
          <w:tcPr>
            <w:tcW w:w="2255" w:type="dxa"/>
            <w:tcBorders/>
            <w:vAlign w:val="center"/>
          </w:tcPr>
          <w:p>
            <w:pPr>
              <w:pStyle w:val="TableContents"/>
              <w:bidi w:val="0"/>
              <w:spacing w:before="0" w:after="283"/>
              <w:jc w:val="left"/>
              <w:rPr/>
            </w:pPr>
            <w:r>
              <w:rPr/>
            </w:r>
          </w:p>
        </w:tc>
      </w:tr>
      <w:tr>
        <w:trPr/>
        <w:tc>
          <w:tcPr>
            <w:tcW w:w="60" w:type="dxa"/>
            <w:tcBorders/>
            <w:vAlign w:val="center"/>
          </w:tcPr>
          <w:p>
            <w:pPr>
              <w:pStyle w:val="TableContents"/>
              <w:bidi w:val="0"/>
              <w:spacing w:before="0" w:after="283"/>
              <w:jc w:val="left"/>
              <w:rPr>
                <w:color w:val="000000"/>
              </w:rPr>
            </w:pPr>
            <w:r>
              <w:rPr>
                <w:color w:val="000000"/>
              </w:rPr>
              <w:t> </w:t>
            </w:r>
          </w:p>
        </w:tc>
        <w:tc>
          <w:tcPr>
            <w:tcW w:w="4295" w:type="dxa"/>
            <w:tcBorders/>
            <w:vAlign w:val="center"/>
          </w:tcPr>
          <w:p>
            <w:pPr>
              <w:pStyle w:val="TableContents"/>
              <w:bidi w:val="0"/>
              <w:spacing w:before="0" w:after="283"/>
              <w:jc w:val="left"/>
              <w:rPr>
                <w:color w:val="000000"/>
                <w:sz w:val="20"/>
              </w:rPr>
            </w:pPr>
            <w:r>
              <w:rPr>
                <w:color w:val="000000"/>
                <w:sz w:val="20"/>
              </w:rPr>
              <w:t>Intercorp Financial Services Inc</w:t>
            </w:r>
          </w:p>
        </w:tc>
        <w:tc>
          <w:tcPr>
            <w:tcW w:w="2255" w:type="dxa"/>
            <w:tcBorders/>
            <w:vAlign w:val="center"/>
          </w:tcPr>
          <w:p>
            <w:pPr>
              <w:pStyle w:val="TableContents"/>
              <w:bidi w:val="0"/>
              <w:spacing w:before="0" w:after="283"/>
              <w:jc w:val="left"/>
              <w:rPr>
                <w:color w:val="000000"/>
                <w:sz w:val="20"/>
              </w:rPr>
            </w:pPr>
            <w:r>
              <w:rPr>
                <w:color w:val="000000"/>
                <w:sz w:val="20"/>
              </w:rPr>
              <w:t>EU Endorsed, UK Endorsed</w:t>
            </w:r>
          </w:p>
        </w:tc>
      </w:tr>
      <w:tr>
        <w:trPr/>
        <w:tc>
          <w:tcPr>
            <w:tcW w:w="60" w:type="dxa"/>
            <w:tcBorders/>
            <w:vAlign w:val="center"/>
          </w:tcPr>
          <w:p>
            <w:pPr>
              <w:pStyle w:val="TableContents"/>
              <w:bidi w:val="0"/>
              <w:spacing w:before="0" w:after="283"/>
              <w:jc w:val="left"/>
              <w:rPr>
                <w:color w:val="000000"/>
              </w:rPr>
            </w:pPr>
            <w:r>
              <w:rPr>
                <w:color w:val="000000"/>
              </w:rPr>
              <w:t> </w:t>
            </w:r>
          </w:p>
        </w:tc>
        <w:tc>
          <w:tcPr>
            <w:tcW w:w="4295" w:type="dxa"/>
            <w:tcBorders/>
            <w:vAlign w:val="center"/>
          </w:tcPr>
          <w:p>
            <w:pPr>
              <w:pStyle w:val="TableContents"/>
              <w:bidi w:val="0"/>
              <w:spacing w:before="0" w:after="283"/>
              <w:jc w:val="left"/>
              <w:rPr/>
            </w:pPr>
            <w:r>
              <w:rPr/>
            </w:r>
          </w:p>
        </w:tc>
        <w:tc>
          <w:tcPr>
            <w:tcW w:w="2255" w:type="dxa"/>
            <w:tcBorders/>
            <w:vAlign w:val="center"/>
          </w:tcPr>
          <w:p>
            <w:pPr>
              <w:pStyle w:val="TableContents"/>
              <w:bidi w:val="0"/>
              <w:spacing w:before="0" w:after="283"/>
              <w:jc w:val="left"/>
              <w:rPr/>
            </w:pPr>
            <w:r>
              <w:rPr/>
            </w:r>
          </w:p>
        </w:tc>
      </w:tr>
      <w:tr>
        <w:trPr/>
        <w:tc>
          <w:tcPr>
            <w:tcW w:w="60" w:type="dxa"/>
            <w:tcBorders/>
            <w:vAlign w:val="center"/>
          </w:tcPr>
          <w:p>
            <w:pPr>
              <w:pStyle w:val="TableContents"/>
              <w:bidi w:val="0"/>
              <w:spacing w:before="0" w:after="283"/>
              <w:jc w:val="left"/>
              <w:rPr>
                <w:color w:val="000000"/>
              </w:rPr>
            </w:pPr>
            <w:r>
              <w:rPr>
                <w:color w:val="000000"/>
              </w:rPr>
              <w:t> </w:t>
            </w:r>
          </w:p>
        </w:tc>
        <w:tc>
          <w:tcPr>
            <w:tcW w:w="4295" w:type="dxa"/>
            <w:tcBorders/>
            <w:vAlign w:val="center"/>
          </w:tcPr>
          <w:p>
            <w:pPr>
              <w:pStyle w:val="TableContents"/>
              <w:bidi w:val="0"/>
              <w:spacing w:before="0" w:after="283"/>
              <w:jc w:val="left"/>
              <w:rPr>
                <w:color w:val="000000"/>
                <w:sz w:val="20"/>
              </w:rPr>
            </w:pPr>
            <w:r>
              <w:rPr>
                <w:color w:val="000000"/>
                <w:sz w:val="20"/>
              </w:rPr>
              <w:t>Scotiabank Peru S.A.A.</w:t>
            </w:r>
          </w:p>
        </w:tc>
        <w:tc>
          <w:tcPr>
            <w:tcW w:w="2255" w:type="dxa"/>
            <w:tcBorders/>
            <w:vAlign w:val="center"/>
          </w:tcPr>
          <w:p>
            <w:pPr>
              <w:pStyle w:val="TableContents"/>
              <w:bidi w:val="0"/>
              <w:spacing w:before="0" w:after="283"/>
              <w:jc w:val="left"/>
              <w:rPr>
                <w:color w:val="000000"/>
                <w:sz w:val="20"/>
              </w:rPr>
            </w:pPr>
            <w:r>
              <w:rPr>
                <w:color w:val="000000"/>
                <w:sz w:val="20"/>
              </w:rPr>
              <w:t>EU Endorsed, UK Endorsed</w:t>
            </w:r>
          </w:p>
        </w:tc>
      </w:tr>
      <w:tr>
        <w:trPr/>
        <w:tc>
          <w:tcPr>
            <w:tcW w:w="60" w:type="dxa"/>
            <w:tcBorders/>
            <w:vAlign w:val="center"/>
          </w:tcPr>
          <w:p>
            <w:pPr>
              <w:pStyle w:val="TableContents"/>
              <w:bidi w:val="0"/>
              <w:spacing w:before="0" w:after="283"/>
              <w:jc w:val="left"/>
              <w:rPr>
                <w:color w:val="000000"/>
              </w:rPr>
            </w:pPr>
            <w:r>
              <w:rPr>
                <w:color w:val="000000"/>
              </w:rPr>
              <w:t> </w:t>
            </w:r>
          </w:p>
        </w:tc>
        <w:tc>
          <w:tcPr>
            <w:tcW w:w="4295" w:type="dxa"/>
            <w:tcBorders/>
            <w:vAlign w:val="center"/>
          </w:tcPr>
          <w:p>
            <w:pPr>
              <w:pStyle w:val="TableContents"/>
              <w:bidi w:val="0"/>
              <w:spacing w:before="0" w:after="283"/>
              <w:jc w:val="left"/>
              <w:rPr/>
            </w:pPr>
            <w:r>
              <w:rPr/>
            </w:r>
          </w:p>
        </w:tc>
        <w:tc>
          <w:tcPr>
            <w:tcW w:w="2255" w:type="dxa"/>
            <w:tcBorders/>
            <w:vAlign w:val="center"/>
          </w:tcPr>
          <w:p>
            <w:pPr>
              <w:pStyle w:val="TableContents"/>
              <w:bidi w:val="0"/>
              <w:spacing w:before="0" w:after="283"/>
              <w:jc w:val="left"/>
              <w:rPr/>
            </w:pPr>
            <w:r>
              <w:rPr/>
            </w:r>
          </w:p>
        </w:tc>
      </w:tr>
      <w:tr>
        <w:trPr/>
        <w:tc>
          <w:tcPr>
            <w:tcW w:w="60" w:type="dxa"/>
            <w:tcBorders/>
            <w:vAlign w:val="center"/>
          </w:tcPr>
          <w:p>
            <w:pPr>
              <w:pStyle w:val="TableContents"/>
              <w:bidi w:val="0"/>
              <w:spacing w:before="0" w:after="283"/>
              <w:jc w:val="left"/>
              <w:rPr>
                <w:color w:val="000000"/>
              </w:rPr>
            </w:pPr>
            <w:r>
              <w:rPr>
                <w:color w:val="000000"/>
              </w:rPr>
              <w:t> </w:t>
            </w:r>
          </w:p>
        </w:tc>
        <w:tc>
          <w:tcPr>
            <w:tcW w:w="4295" w:type="dxa"/>
            <w:tcBorders/>
            <w:vAlign w:val="center"/>
          </w:tcPr>
          <w:p>
            <w:pPr>
              <w:pStyle w:val="TableContents"/>
              <w:bidi w:val="0"/>
              <w:spacing w:before="0" w:after="283"/>
              <w:jc w:val="left"/>
              <w:rPr>
                <w:color w:val="000000"/>
                <w:sz w:val="20"/>
              </w:rPr>
            </w:pPr>
            <w:r>
              <w:rPr>
                <w:color w:val="000000"/>
                <w:sz w:val="20"/>
              </w:rPr>
              <w:t>Fondo Mivivienda S.A.</w:t>
            </w:r>
          </w:p>
        </w:tc>
        <w:tc>
          <w:tcPr>
            <w:tcW w:w="2255" w:type="dxa"/>
            <w:tcBorders/>
            <w:vAlign w:val="center"/>
          </w:tcPr>
          <w:p>
            <w:pPr>
              <w:pStyle w:val="TableContents"/>
              <w:bidi w:val="0"/>
              <w:spacing w:before="0" w:after="283"/>
              <w:jc w:val="left"/>
              <w:rPr>
                <w:color w:val="000000"/>
                <w:sz w:val="20"/>
              </w:rPr>
            </w:pPr>
            <w:r>
              <w:rPr>
                <w:color w:val="000000"/>
                <w:sz w:val="20"/>
              </w:rPr>
              <w:t>EU Endorsed, UK Endorsed</w:t>
            </w:r>
          </w:p>
        </w:tc>
      </w:tr>
      <w:tr>
        <w:trPr/>
        <w:tc>
          <w:tcPr>
            <w:tcW w:w="60" w:type="dxa"/>
            <w:tcBorders/>
            <w:vAlign w:val="center"/>
          </w:tcPr>
          <w:p>
            <w:pPr>
              <w:pStyle w:val="TableContents"/>
              <w:bidi w:val="0"/>
              <w:spacing w:before="0" w:after="283"/>
              <w:jc w:val="left"/>
              <w:rPr>
                <w:color w:val="000000"/>
              </w:rPr>
            </w:pPr>
            <w:r>
              <w:rPr>
                <w:color w:val="000000"/>
              </w:rPr>
              <w:t> </w:t>
            </w:r>
          </w:p>
        </w:tc>
        <w:tc>
          <w:tcPr>
            <w:tcW w:w="4295" w:type="dxa"/>
            <w:tcBorders/>
            <w:vAlign w:val="center"/>
          </w:tcPr>
          <w:p>
            <w:pPr>
              <w:pStyle w:val="TableContents"/>
              <w:bidi w:val="0"/>
              <w:spacing w:before="0" w:after="283"/>
              <w:jc w:val="left"/>
              <w:rPr/>
            </w:pPr>
            <w:r>
              <w:rPr/>
            </w:r>
          </w:p>
        </w:tc>
        <w:tc>
          <w:tcPr>
            <w:tcW w:w="2255" w:type="dxa"/>
            <w:tcBorders/>
            <w:vAlign w:val="center"/>
          </w:tcPr>
          <w:p>
            <w:pPr>
              <w:pStyle w:val="TableContents"/>
              <w:bidi w:val="0"/>
              <w:spacing w:before="0" w:after="283"/>
              <w:jc w:val="left"/>
              <w:rPr/>
            </w:pPr>
            <w:r>
              <w:rPr/>
            </w:r>
          </w:p>
        </w:tc>
      </w:tr>
      <w:tr>
        <w:trPr/>
        <w:tc>
          <w:tcPr>
            <w:tcW w:w="60" w:type="dxa"/>
            <w:tcBorders/>
            <w:vAlign w:val="center"/>
          </w:tcPr>
          <w:p>
            <w:pPr>
              <w:pStyle w:val="TableContents"/>
              <w:bidi w:val="0"/>
              <w:spacing w:before="0" w:after="283"/>
              <w:jc w:val="left"/>
              <w:rPr>
                <w:color w:val="000000"/>
              </w:rPr>
            </w:pPr>
            <w:r>
              <w:rPr>
                <w:color w:val="000000"/>
              </w:rPr>
              <w:t> </w:t>
            </w:r>
          </w:p>
        </w:tc>
        <w:tc>
          <w:tcPr>
            <w:tcW w:w="4295" w:type="dxa"/>
            <w:tcBorders/>
            <w:vAlign w:val="center"/>
          </w:tcPr>
          <w:p>
            <w:pPr>
              <w:pStyle w:val="TableContents"/>
              <w:bidi w:val="0"/>
              <w:spacing w:before="0" w:after="283"/>
              <w:jc w:val="left"/>
              <w:rPr>
                <w:color w:val="000000"/>
                <w:sz w:val="20"/>
              </w:rPr>
            </w:pPr>
            <w:r>
              <w:rPr>
                <w:color w:val="000000"/>
                <w:sz w:val="20"/>
              </w:rPr>
              <w:t>Corporacion Financiera de Desarrollo S.A. (COFIDE)</w:t>
            </w:r>
          </w:p>
        </w:tc>
        <w:tc>
          <w:tcPr>
            <w:tcW w:w="2255" w:type="dxa"/>
            <w:tcBorders/>
            <w:vAlign w:val="center"/>
          </w:tcPr>
          <w:p>
            <w:pPr>
              <w:pStyle w:val="TableContents"/>
              <w:bidi w:val="0"/>
              <w:spacing w:before="0" w:after="283"/>
              <w:jc w:val="left"/>
              <w:rPr>
                <w:color w:val="000000"/>
                <w:sz w:val="20"/>
              </w:rPr>
            </w:pPr>
            <w:r>
              <w:rPr>
                <w:color w:val="000000"/>
                <w:sz w:val="20"/>
              </w:rPr>
              <w:t>EU Endorsed, UK Endorsed</w:t>
            </w:r>
          </w:p>
        </w:tc>
      </w:tr>
    </w:tbl>
    <w:p>
      <w:pPr>
        <w:pStyle w:val="TextBody"/>
        <w:bidi w:val="0"/>
        <w:spacing w:before="0" w:after="0"/>
        <w:jc w:val="left"/>
        <w:rPr>
          <w:color w:val="000000"/>
          <w:sz w:val="20"/>
        </w:rPr>
      </w:pPr>
      <w:r>
        <w:rPr>
          <w:color w:val="000000"/>
          <w:sz w:val="20"/>
        </w:rPr>
      </w:r>
    </w:p>
    <w:p>
      <w:pPr>
        <w:pStyle w:val="TextBody"/>
        <w:bidi w:val="0"/>
        <w:spacing w:before="0" w:after="0"/>
        <w:jc w:val="left"/>
        <w:rPr>
          <w:rFonts w:ascii="Times New Roman" w:hAnsi="Times New Roman"/>
          <w:color w:val="000000"/>
          <w:sz w:val="18"/>
        </w:rPr>
      </w:pPr>
      <w:r>
        <w:rPr>
          <w:rFonts w:ascii="Times New Roman" w:hAnsi="Times New Roman"/>
          <w:b/>
          <w:color w:val="000000"/>
          <w:sz w:val="20"/>
        </w:rPr>
        <w:t>DISCLAIMER &amp; DISCLOSURES</w:t>
      </w:r>
      <w:r>
        <w:rPr>
          <w:rFonts w:ascii="Times New Roman" w:hAnsi="Times New Roman"/>
          <w:color w:val="000000"/>
          <w:sz w:val="18"/>
        </w:rPr>
        <w:t xml:space="preserve"> </w:t>
      </w:r>
    </w:p>
    <w:p>
      <w:pPr>
        <w:pStyle w:val="TextBody"/>
        <w:bidi w:val="0"/>
        <w:spacing w:before="282" w:after="283"/>
        <w:jc w:val="left"/>
        <w:rPr>
          <w:rFonts w:ascii="Times New Roman" w:hAnsi="Times New Roman"/>
          <w:color w:val="000000"/>
          <w:sz w:val="20"/>
        </w:rPr>
      </w:pPr>
      <w:r>
        <w:rPr>
          <w:rFonts w:ascii="Times New Roman" w:hAnsi="Times New Roman"/>
          <w:color w:val="000000"/>
          <w:sz w:val="20"/>
        </w:rPr>
        <w:t>All Fitch Ratings (Fitch) credit ratings are subject to certain limitations and disclaimers. Please read these limitations and disclaimers by following this link: https://www.fitchratings.com/ understandingcreditratings. In addition, the following https://www.fitchratings.com/rating-definitions- document details Fitch's rating definitions for each rating scale and rating categories, including definitions relating to default. ESMA and the FCA are required to publish historical default rates in a central repository in accordance with Articles 11(2) of Regulation (EC) No 1060/2009 of the European Parliament and of the Council of 16 September 2009 and The Credit Rating Agencies (Amendment etc.) (EU Exit) Regulations 2019 respectively.</w:t>
      </w:r>
    </w:p>
    <w:p>
      <w:pPr>
        <w:pStyle w:val="TextBody"/>
        <w:bidi w:val="0"/>
        <w:spacing w:before="242" w:after="283"/>
        <w:jc w:val="left"/>
        <w:rPr>
          <w:rFonts w:ascii="Times New Roman" w:hAnsi="Times New Roman"/>
          <w:color w:val="000000"/>
          <w:sz w:val="20"/>
        </w:rPr>
      </w:pPr>
      <w:r>
        <w:rPr>
          <w:rFonts w:ascii="Times New Roman" w:hAnsi="Times New Roman"/>
          <w:color w:val="000000"/>
          <w:sz w:val="20"/>
        </w:rPr>
        <w:t>Published ratings, criteria, and methodologies are available from this site at all times. Fitch's code of conduct, confidentiality, conflicts of interest, affiliate firewall, compliance, and other relevant policies and procedures are also available from the Code of Conduct section of this site. Directors and shareholders' relevant interests are available at https://www.fitchratings.com/site/regulatory. Fitch may have provided another permissible or ancillary service to the rated entity or its related third parties. Details of permissible or ancillary service(s) for which the lead analyst is based in an ESMA- or FCA-registered Fitch Ratings company (or branch of such a company) can be found on the entity summary page for this issuer on the Fitch Ratings website.</w:t>
      </w:r>
    </w:p>
    <w:p>
      <w:pPr>
        <w:pStyle w:val="TextBody"/>
        <w:bidi w:val="0"/>
        <w:spacing w:before="243" w:after="283"/>
        <w:jc w:val="left"/>
        <w:rPr>
          <w:rFonts w:ascii="Times New Roman" w:hAnsi="Times New Roman"/>
          <w:color w:val="000000"/>
          <w:sz w:val="20"/>
        </w:rPr>
      </w:pPr>
      <w:r>
        <w:rPr>
          <w:rFonts w:ascii="Times New Roman" w:hAnsi="Times New Roman"/>
          <w:color w:val="000000"/>
          <w:sz w:val="20"/>
        </w:rPr>
        <w:t>In issuing and maintaining its ratings and in making other reports (including forecast information), Fitch relies on factual information it receives from issuers and underwriters and from other sources Fitch believes to be credible. Fitch conducts a reasonable investigation of the factual information relied upon by it in accordance with its ratings methodology, and obtains reasonable verification of that information from independent sources, to the extent such sources are available for a given security or</w:t>
      </w:r>
    </w:p>
    <w:p>
      <w:pPr>
        <w:pStyle w:val="TextBody"/>
        <w:bidi w:val="0"/>
        <w:spacing w:before="0" w:after="0"/>
        <w:jc w:val="left"/>
        <w:rPr>
          <w:color w:val="000000"/>
          <w:sz w:val="20"/>
        </w:rPr>
      </w:pPr>
      <w:r>
        <w:rPr>
          <w:color w:val="000000"/>
          <w:sz w:val="20"/>
        </w:rPr>
      </w:r>
    </w:p>
    <w:p>
      <w:pPr>
        <w:pStyle w:val="HorizontalLine"/>
        <w:pBdr>
          <w:bottom w:val="single" w:sz="12" w:space="0" w:color="808080"/>
        </w:pBdr>
        <w:bidi w:val="0"/>
        <w:spacing w:before="180" w:after="180"/>
        <w:jc w:val="left"/>
        <w:rPr/>
      </w:pPr>
      <w:r>
        <w:rPr/>
      </w:r>
    </w:p>
    <w:p>
      <w:pPr>
        <w:pStyle w:val="TextBody"/>
        <w:bidi w:val="0"/>
        <w:spacing w:before="96" w:after="283"/>
        <w:jc w:val="left"/>
        <w:rPr>
          <w:rFonts w:ascii="Times New Roman" w:hAnsi="Times New Roman"/>
          <w:color w:val="000000"/>
          <w:sz w:val="20"/>
        </w:rPr>
      </w:pPr>
      <w:r>
        <w:rPr>
          <w:rFonts w:ascii="Times New Roman" w:hAnsi="Times New Roman"/>
          <w:color w:val="000000"/>
          <w:sz w:val="20"/>
        </w:rPr>
        <w:t>in a given jurisdiction. The manner of Fitch's factual investigation and the scope of the third-party verification it obtains will vary depending on the nature of the rated security and its issuer, the requirements and practices in the jurisdiction in which the rated security is offered and sold and/or the issuer is located, the availability and nature of relevant public information, access to the management of the issuer and its advisers, the availability of pre-existing third-party verifications such as audit reports, agreed-upon procedures letters, appraisals, actuarial reports, engineering reports, legal opinions and other reports provided by third parties, the availability of independent and competent third- party verification sources with respect to the particular security or in the particular jurisdiction of the issuer, and a variety of other factors. Users of Fitch's ratings and reports should understand that neither an enhanced factual investigation nor any third-party verification can ensure that all of the information Fitch relies on in connection with a rating or a report will be accurate and complete.</w:t>
      </w:r>
    </w:p>
    <w:p>
      <w:pPr>
        <w:pStyle w:val="TextBody"/>
        <w:bidi w:val="0"/>
        <w:spacing w:before="10" w:after="283"/>
        <w:jc w:val="left"/>
        <w:rPr>
          <w:rFonts w:ascii="Times New Roman" w:hAnsi="Times New Roman"/>
          <w:color w:val="000000"/>
          <w:sz w:val="20"/>
        </w:rPr>
      </w:pPr>
      <w:r>
        <w:rPr>
          <w:rFonts w:ascii="Times New Roman" w:hAnsi="Times New Roman"/>
          <w:color w:val="000000"/>
          <w:sz w:val="20"/>
        </w:rPr>
        <w:t>Ultimately, the issuer and its advisers are responsible for the accuracy of the information they provide to Fitch and to the market in offering documents and other reports. In issuing its ratings and its reports, Fitch must rely on the work of experts, including independent auditors with respect to financial statements and attorneys with respect to legal and tax matters. Further, ratings and forecasts of financial and other information are inherently forward-looking and embody assumptions and predictions about future events that by their nature cannot be verified as facts. As a result, despite any verification of current facts, ratings and forecasts can be affected by future events or conditions that were not anticipated at the time a rating or forecast was issued or affirmed. Fitch Ratings makes routine, commonly-accepted adjustments to reported financial data in accordance with the relevant criteria and/or industry standards to provide financial metric consistency for entities in the same sector or asset class.</w:t>
      </w:r>
    </w:p>
    <w:p>
      <w:pPr>
        <w:pStyle w:val="TextBody"/>
        <w:bidi w:val="0"/>
        <w:spacing w:before="245" w:after="283"/>
        <w:jc w:val="left"/>
        <w:rPr>
          <w:rFonts w:ascii="Times New Roman" w:hAnsi="Times New Roman"/>
          <w:color w:val="000000"/>
          <w:sz w:val="20"/>
        </w:rPr>
      </w:pPr>
      <w:r>
        <w:rPr>
          <w:rFonts w:ascii="Times New Roman" w:hAnsi="Times New Roman"/>
          <w:color w:val="000000"/>
          <w:sz w:val="20"/>
        </w:rPr>
        <w:t>The complete span of best- and worst-case scenario credit ratings for all rating categories ranges from 'AAA' to 'D'. Fitch also provides information on best-case rating upgrade scenarios and worst-case rating downgrade scenarios (defined as the 99th percentile of rating transitions, measured in each direction) for international credit ratings, based on historical performance. A simple average across asset classes presents best-case upgrades of 4 notches and worst-case downgrades of 8 notches at the 99th percentile. For more details on sector-specific best- and worst-case scenario credit ratings, please see Best- and Worst-Case Measures under the Rating Performance page on Fitch’s website.</w:t>
      </w:r>
    </w:p>
    <w:p>
      <w:pPr>
        <w:pStyle w:val="TextBody"/>
        <w:bidi w:val="0"/>
        <w:spacing w:before="241" w:after="283"/>
        <w:jc w:val="left"/>
        <w:rPr>
          <w:rFonts w:ascii="Times New Roman" w:hAnsi="Times New Roman"/>
          <w:color w:val="000000"/>
          <w:sz w:val="20"/>
        </w:rPr>
      </w:pPr>
      <w:r>
        <w:rPr>
          <w:rFonts w:ascii="Times New Roman" w:hAnsi="Times New Roman"/>
          <w:color w:val="000000"/>
          <w:sz w:val="20"/>
        </w:rPr>
        <w:t>The information in this report is provided “as is” without any representation or warranty of any kind, and Fitch does not represent or warrant that the report or any of its contents will meet any of the requirements of a recipient of the report. A Fitch rating is an opinion as to the creditworthiness of a security. This opinion and reports made by Fitch are based on established criteria and methodologies that Fitch is continuously evaluating and updating. Therefore, ratings and reports are the collective work product of Fitch and no individual, or group of individuals, is solely responsible for a rating or a report. The rating does not address the risk of loss due to risks other than credit risk, unless such risk is specifically mentioned. Fitch is not engaged in the offer or sale of any security. All Fitch reports have shared authorship. Individuals identified in a Fitch report were involved in, but are not solely responsible for, the opinions stated therein. The individuals are named for contact purposes only. A report providing a Fitch rating is neither a prospectus nor a substitute for the information assembled, verified and presented to investors by the issuer and its agents in connection with the sale of the</w:t>
      </w:r>
    </w:p>
    <w:p>
      <w:pPr>
        <w:pStyle w:val="TextBody"/>
        <w:bidi w:val="0"/>
        <w:spacing w:before="0" w:after="0"/>
        <w:jc w:val="left"/>
        <w:rPr>
          <w:color w:val="000000"/>
          <w:sz w:val="20"/>
        </w:rPr>
      </w:pPr>
      <w:r>
        <w:rPr>
          <w:color w:val="000000"/>
          <w:sz w:val="20"/>
        </w:rPr>
      </w:r>
    </w:p>
    <w:p>
      <w:pPr>
        <w:pStyle w:val="HorizontalLine"/>
        <w:pBdr>
          <w:bottom w:val="single" w:sz="12" w:space="0" w:color="808080"/>
        </w:pBdr>
        <w:bidi w:val="0"/>
        <w:spacing w:before="180" w:after="180"/>
        <w:jc w:val="left"/>
        <w:rPr/>
      </w:pPr>
      <w:r>
        <w:rPr/>
      </w:r>
    </w:p>
    <w:p>
      <w:pPr>
        <w:pStyle w:val="TextBody"/>
        <w:bidi w:val="0"/>
        <w:spacing w:before="96" w:after="283"/>
        <w:jc w:val="left"/>
        <w:rPr>
          <w:rFonts w:ascii="Times New Roman" w:hAnsi="Times New Roman"/>
          <w:color w:val="000000"/>
          <w:sz w:val="20"/>
        </w:rPr>
      </w:pPr>
      <w:r>
        <w:rPr>
          <w:rFonts w:ascii="Times New Roman" w:hAnsi="Times New Roman"/>
          <w:color w:val="000000"/>
          <w:sz w:val="20"/>
        </w:rPr>
        <w:t>securities. Ratings may be changed or withdrawn at any time for any reason in the sole discretion of Fitch. Fitch does not provide investment advice of any sort. Ratings are not a recommendation to buy, sell, or hold any security. Ratings do not comment on the adequacy of market price, the suitability of any security for a particular investor, or the tax-exempt nature or taxability of payments made in respect to any security. Fitch receives fees from issuers, insurers, guarantors, other obligors, and underwriters for rating securities. Such fees generally vary from US$1,000 to US$750,000 (or the applicable currency equivalent) per issue. In certain cases, Fitch will rate all or a number of issues issued by a particular issuer, or insured or guaranteed by a particular insurer or guarantor, for a single annual fee. Such fees are expected to vary from US$10,000 to US$1,500,000 (or the applicable currency equivalent). The assignment, publication, or dissemination of a rating by Fitch shall not constitute a consent by Fitch to use its name as an expert in connection with any registration statement filed under the United States securities laws, the Financial Services and Markets Act of 2000 of the United Kingdom, or the securities laws of any particular jurisdiction. Due to the relative efficiency of electronic publishing and distribution, Fitch research may be available to electronic subscribers up to three days earlier than to print subscribers.</w:t>
      </w:r>
    </w:p>
    <w:p>
      <w:pPr>
        <w:pStyle w:val="TextBody"/>
        <w:bidi w:val="0"/>
        <w:spacing w:before="1" w:after="283"/>
        <w:jc w:val="left"/>
        <w:rPr>
          <w:color w:val="000000"/>
          <w:sz w:val="20"/>
        </w:rPr>
      </w:pPr>
      <w:r>
        <w:rPr>
          <w:color w:val="000000"/>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For Australia, New Zealand, Taiwan and South Korea only: Fitch Australia Pty Ltd holds an Australian financial services license (AFS license no. 337123) which authorizes it to provide credit ratings to wholesale clients only. Credit ratings information published by Fitch is not intended to be used by persons who are retail clients within the meaning of the Corporations Act 2001.Fitch Ratings, Inc. is registered with the U.S. Securities and Exchange Commission as a Nationally Recognized Statistical Rating Organization (the “NRSRO”). While certain of the NRSRO's credit rating subsidiaries are listed on Item 3 of Form NRSRO and as such are authorized to issue credit ratings on behalf of the NRSRO (see https://www.fitchratings.com/site/regulatory), other credit rating subsidiaries are not listed on Form NRSRO (the “non-NRSROs”) and therefore credit ratings issued by those subsidiaries are not issued on behalf of the NRSRO. However, non-NRSRO personnel may participate in determining credit ratings issued by or on behalf of the NRSRO.</w:t>
      </w:r>
    </w:p>
    <w:p>
      <w:pPr>
        <w:pStyle w:val="TextBody"/>
        <w:bidi w:val="0"/>
        <w:spacing w:before="245" w:after="283"/>
        <w:jc w:val="left"/>
        <w:rPr>
          <w:rFonts w:ascii="Times New Roman" w:hAnsi="Times New Roman"/>
          <w:color w:val="000000"/>
          <w:sz w:val="20"/>
        </w:rPr>
      </w:pPr>
      <w:r>
        <w:rPr>
          <w:rFonts w:ascii="Times New Roman" w:hAnsi="Times New Roman"/>
          <w:color w:val="000000"/>
          <w:sz w:val="20"/>
        </w:rPr>
        <w:t>dv01, a Fitch Solutions company, and an affiliate of Fitch Ratings, may from time to time serve as loan data agent on certain structured finance transactions rated by Fitch Ratings.</w:t>
      </w:r>
    </w:p>
    <w:p>
      <w:pPr>
        <w:pStyle w:val="TextBody"/>
        <w:bidi w:val="0"/>
        <w:spacing w:before="237" w:after="283"/>
        <w:jc w:val="both"/>
        <w:rPr>
          <w:rFonts w:ascii="Times New Roman" w:hAnsi="Times New Roman"/>
          <w:color w:val="000000"/>
          <w:sz w:val="20"/>
        </w:rPr>
      </w:pPr>
      <w:r>
        <w:rPr>
          <w:rFonts w:ascii="Times New Roman" w:hAnsi="Times New Roman"/>
          <w:color w:val="000000"/>
          <w:sz w:val="20"/>
        </w:rPr>
        <w:t>Copyright © 2024 by Fitch Ratings, Inc., Fitch Ratings Ltd. and its subsidiaries. 33 Whitehall Street, NY, NY 10004. Telephone: 1-800-753-4824, (212) 908-0500. Reproduction or retransmission in whole or in part is prohibited except by permission. All rights reserved.</w:t>
      </w:r>
    </w:p>
    <w:p>
      <w:pPr>
        <w:pStyle w:val="TextBody"/>
        <w:bidi w:val="0"/>
        <w:spacing w:before="17" w:after="283"/>
        <w:jc w:val="left"/>
        <w:rPr>
          <w:color w:val="000000"/>
          <w:sz w:val="20"/>
        </w:rPr>
      </w:pPr>
      <w:r>
        <w:rPr>
          <w:color w:val="000000"/>
          <w:sz w:val="20"/>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Endorsement policy</w:t>
      </w:r>
    </w:p>
    <w:p>
      <w:pPr>
        <w:pStyle w:val="TextBody"/>
        <w:bidi w:val="0"/>
        <w:spacing w:before="281" w:after="283"/>
        <w:jc w:val="left"/>
        <w:rPr>
          <w:rFonts w:ascii="Times New Roman" w:hAnsi="Times New Roman"/>
          <w:color w:val="000000"/>
          <w:sz w:val="20"/>
        </w:rPr>
      </w:pPr>
      <w:r>
        <w:rPr>
          <w:rFonts w:ascii="Times New Roman" w:hAnsi="Times New Roman"/>
          <w:color w:val="000000"/>
          <w:sz w:val="20"/>
        </w:rPr>
        <w:t>Fitch’s international credit ratings produced outside the EU or the UK, as the case may be, are endorsed for use by regulated entities within the EU or the UK, respectively, for regulatory purposes, pursuant to the terms of the EU CRA Regulation or the UK Credit Rating Agencies (Amendment etc.) (EU Exit) Regulations 2019, as the case may be. Fitch’s approach to endorsement in the EU and the UK can be found on Fitch’s Regulatory Affairs page on Fitch’s website. The endorsement status of international</w:t>
      </w:r>
    </w:p>
    <w:p>
      <w:pPr>
        <w:pStyle w:val="TextBody"/>
        <w:bidi w:val="0"/>
        <w:spacing w:before="0" w:after="0"/>
        <w:jc w:val="left"/>
        <w:rPr>
          <w:color w:val="000000"/>
          <w:sz w:val="20"/>
        </w:rPr>
      </w:pPr>
      <w:r>
        <w:rPr>
          <w:color w:val="000000"/>
          <w:sz w:val="20"/>
        </w:rPr>
      </w:r>
    </w:p>
    <w:p>
      <w:pPr>
        <w:pStyle w:val="HorizontalLine"/>
        <w:pBdr>
          <w:bottom w:val="single" w:sz="12" w:space="0" w:color="808080"/>
        </w:pBdr>
        <w:bidi w:val="0"/>
        <w:spacing w:before="180" w:after="180"/>
        <w:jc w:val="left"/>
        <w:rPr/>
      </w:pPr>
      <w:r>
        <w:rPr/>
      </w:r>
    </w:p>
    <w:p>
      <w:pPr>
        <w:pStyle w:val="TextBody"/>
        <w:bidi w:val="0"/>
        <w:spacing w:before="96" w:after="283"/>
        <w:jc w:val="left"/>
        <w:rPr>
          <w:rFonts w:ascii="Times New Roman" w:hAnsi="Times New Roman"/>
          <w:color w:val="000000"/>
          <w:sz w:val="20"/>
        </w:rPr>
      </w:pPr>
      <w:r>
        <w:rPr>
          <w:rFonts w:ascii="Times New Roman" w:hAnsi="Times New Roman"/>
          <w:color w:val="000000"/>
          <w:sz w:val="20"/>
        </w:rPr>
        <w:t>credit ratings is provided within the entity summary page for each rated entity and in the transaction detail pages for structured finance transactions on the Fitch website. These disclosures are updated on a daily basis.</w:t>
      </w:r>
    </w:p>
    <w:p>
      <w:pPr>
        <w:pStyle w:val="TextBody"/>
        <w:bidi w:val="0"/>
        <w:spacing w:before="0" w:after="0"/>
        <w:jc w:val="left"/>
        <w:rPr>
          <w:color w:val="000000"/>
          <w:sz w:val="20"/>
        </w:rPr>
      </w:pPr>
      <w:r>
        <w:rPr>
          <w:color w:val="000000"/>
          <w:sz w:val="20"/>
        </w:rPr>
      </w:r>
    </w:p>
    <w:p>
      <w:pPr>
        <w:pStyle w:val="TextBody"/>
        <w:bidi w:val="0"/>
        <w:spacing w:before="0" w:after="0"/>
        <w:jc w:val="left"/>
        <w:rPr>
          <w:color w:val="000000"/>
          <w:sz w:val="20"/>
        </w:rPr>
      </w:pPr>
      <w:r>
        <w:rPr>
          <w:color w:val="000000"/>
          <w:sz w:val="20"/>
        </w:rPr>
      </w:r>
    </w:p>
    <w:p>
      <w:pPr>
        <w:pStyle w:val="HorizontalLine"/>
        <w:pBdr>
          <w:bottom w:val="single" w:sz="12" w:space="0" w:color="808080"/>
        </w:pBdr>
        <w:bidi w:val="0"/>
        <w:spacing w:before="96"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3.jpeg"/><Relationship Id="rId9" Type="http://schemas.openxmlformats.org/officeDocument/2006/relationships/image" Target="media/image4.jpeg"/><Relationship Id="rId10" Type="http://schemas.openxmlformats.org/officeDocument/2006/relationships/image" Target="media/image3.jpeg"/><Relationship Id="rId11" Type="http://schemas.openxmlformats.org/officeDocument/2006/relationships/image" Target="media/image3.jpeg"/><Relationship Id="rId12" Type="http://schemas.openxmlformats.org/officeDocument/2006/relationships/image" Target="media/image3.jpeg"/><Relationship Id="rId13" Type="http://schemas.openxmlformats.org/officeDocument/2006/relationships/image" Target="media/image3.jpeg"/><Relationship Id="rId14" Type="http://schemas.openxmlformats.org/officeDocument/2006/relationships/image" Target="media/image3.jpeg"/><Relationship Id="rId15" Type="http://schemas.openxmlformats.org/officeDocument/2006/relationships/image" Target="media/image4.jpeg"/><Relationship Id="rId16" Type="http://schemas.openxmlformats.org/officeDocument/2006/relationships/image" Target="media/image3.jpeg"/><Relationship Id="rId17" Type="http://schemas.openxmlformats.org/officeDocument/2006/relationships/image" Target="media/image4.jpeg"/><Relationship Id="rId18" Type="http://schemas.openxmlformats.org/officeDocument/2006/relationships/image" Target="media/image3.jpeg"/><Relationship Id="rId19" Type="http://schemas.openxmlformats.org/officeDocument/2006/relationships/image" Target="media/image4.jpeg"/><Relationship Id="rId20" Type="http://schemas.openxmlformats.org/officeDocument/2006/relationships/image" Target="media/image3.jpeg"/><Relationship Id="rId21" Type="http://schemas.openxmlformats.org/officeDocument/2006/relationships/image" Target="media/image4.jpeg"/><Relationship Id="rId22" Type="http://schemas.openxmlformats.org/officeDocument/2006/relationships/image" Target="media/image3.jpeg"/><Relationship Id="rId23" Type="http://schemas.openxmlformats.org/officeDocument/2006/relationships/image" Target="media/image4.jpeg"/><Relationship Id="rId24" Type="http://schemas.openxmlformats.org/officeDocument/2006/relationships/image" Target="media/image3.jpeg"/><Relationship Id="rId25" Type="http://schemas.openxmlformats.org/officeDocument/2006/relationships/image" Target="media/image4.jpeg"/><Relationship Id="rId26" Type="http://schemas.openxmlformats.org/officeDocument/2006/relationships/image" Target="media/image3.jpeg"/><Relationship Id="rId27" Type="http://schemas.openxmlformats.org/officeDocument/2006/relationships/image" Target="media/image7.jpeg"/><Relationship Id="rId28" Type="http://schemas.openxmlformats.org/officeDocument/2006/relationships/image" Target="media/image3.jpeg"/><Relationship Id="rId29" Type="http://schemas.openxmlformats.org/officeDocument/2006/relationships/image" Target="media/image7.jpeg"/><Relationship Id="rId30" Type="http://schemas.openxmlformats.org/officeDocument/2006/relationships/image" Target="media/image3.jpeg"/><Relationship Id="rId31" Type="http://schemas.openxmlformats.org/officeDocument/2006/relationships/image" Target="media/image7.jpeg"/><Relationship Id="rId32" Type="http://schemas.openxmlformats.org/officeDocument/2006/relationships/image" Target="media/image3.jpeg"/><Relationship Id="rId33" Type="http://schemas.openxmlformats.org/officeDocument/2006/relationships/image" Target="media/image7.jpeg"/><Relationship Id="rId34" Type="http://schemas.openxmlformats.org/officeDocument/2006/relationships/image" Target="media/image3.jpeg"/><Relationship Id="rId35" Type="http://schemas.openxmlformats.org/officeDocument/2006/relationships/image" Target="media/image8.jpeg"/><Relationship Id="rId36" Type="http://schemas.openxmlformats.org/officeDocument/2006/relationships/image" Target="media/image5.jpeg"/><Relationship Id="rId37" Type="http://schemas.openxmlformats.org/officeDocument/2006/relationships/image" Target="media/image6.jpeg"/><Relationship Id="rId38" Type="http://schemas.openxmlformats.org/officeDocument/2006/relationships/image" Target="media/image9.jpeg"/><Relationship Id="rId39" Type="http://schemas.openxmlformats.org/officeDocument/2006/relationships/image" Target="media/image10.jpeg"/><Relationship Id="rId40" Type="http://schemas.openxmlformats.org/officeDocument/2006/relationships/image" Target="media/image11.jpeg"/><Relationship Id="rId41" Type="http://schemas.openxmlformats.org/officeDocument/2006/relationships/image" Target="media/image12.jpeg"/><Relationship Id="rId42" Type="http://schemas.openxmlformats.org/officeDocument/2006/relationships/image" Target="media/image13.jpeg"/><Relationship Id="rId43" Type="http://schemas.openxmlformats.org/officeDocument/2006/relationships/image" Target="media/image14.jpeg"/><Relationship Id="rId44" Type="http://schemas.openxmlformats.org/officeDocument/2006/relationships/image" Target="media/image15.jpeg"/><Relationship Id="rId45" Type="http://schemas.openxmlformats.org/officeDocument/2006/relationships/fontTable" Target="fontTable.xml"/><Relationship Id="rId4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5708</Words>
  <Characters>31190</Characters>
  <CharactersWithSpaces>37193</CharactersWithSpaces>
  <Paragraphs>1336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