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07" w:lineRule="exact"/>
        <w:rPr>
          <w:sz w:val="24"/>
          <w:szCs w:val="24"/>
          <w:color w:val="auto"/>
        </w:rPr>
      </w:pPr>
    </w:p>
    <w:p>
      <w:pPr>
        <w:jc w:val="center"/>
        <w:ind w:left="260" w:right="268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 THERETO FILED PURSUANT TO RULE 13d-2</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CREDICORP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Common Shares, par value $5.00 per share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G2519Y108</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jc w:val="both"/>
        <w:ind w:left="980" w:right="9100"/>
        <w:spacing w:after="0" w:line="563" w:lineRule="auto"/>
        <w:tabs>
          <w:tab w:leader="none" w:pos="13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 x Rule 13d-1(d)</w:t>
      </w:r>
    </w:p>
    <w:p>
      <w:pPr>
        <w:spacing w:after="0" w:line="1"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 “Act”) or otherwise subject to the liabilities of that section of the Act but shall be subject to all other provisions of the Act (however, see the Notes).</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spacing w:after="0"/>
        <w:tabs>
          <w:tab w:leader="none" w:pos="5060" w:val="left"/>
          <w:tab w:leader="none" w:pos="100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 of 84 Pages</w:t>
      </w:r>
    </w:p>
    <w:p>
      <w:pPr>
        <w:spacing w:after="0" w:line="235" w:lineRule="exact"/>
        <w:rPr>
          <w:sz w:val="20"/>
          <w:szCs w:val="20"/>
          <w:color w:val="auto"/>
        </w:rPr>
      </w:pPr>
    </w:p>
    <w:p>
      <w:pPr>
        <w:ind w:left="720" w:right="7760" w:hanging="698"/>
        <w:spacing w:after="0" w:line="508"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NAMES OF REPORTING PERSONS Arnueld Limited</w:t>
      </w:r>
    </w:p>
    <w:p>
      <w:pPr>
        <w:spacing w:after="0" w:line="1" w:lineRule="exact"/>
        <w:rPr>
          <w:rFonts w:ascii="Arial" w:cs="Arial" w:eastAsia="Arial" w:hAnsi="Arial"/>
          <w:sz w:val="18"/>
          <w:szCs w:val="18"/>
          <w:color w:val="auto"/>
        </w:rPr>
      </w:pPr>
    </w:p>
    <w:p>
      <w:pPr>
        <w:ind w:left="720" w:hanging="69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Nevis</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2"/>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15,641</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15,641</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15,641</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0.017%</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spacing w:after="0"/>
        <w:tabs>
          <w:tab w:leader="none" w:pos="5060" w:val="left"/>
          <w:tab w:leader="none" w:pos="100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NAMES OF REPORTING PERSONS Ursula Martina Bernard Valderrama</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3"/>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12,622</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12,622</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12,622</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0.013%</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tabs>
          <w:tab w:leader="none" w:pos="5060" w:val="left"/>
          <w:tab w:leader="none" w:pos="100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NAMES OF REPORTING PERSONS Birmingham Merchant S.A.*</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Panamá</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4"/>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76,039</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76,039</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76,039</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0.081%</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w:t>
      </w:r>
    </w:p>
    <w:p>
      <w:pPr>
        <w:spacing w:after="0" w:line="2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Birmingham Merchant S.A. is owned and controlled by various members of the Romero family, which includes Dionisio Romero Paoletti, Calixto Romero Guzmán, José Antonio Onrubia Holder and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spacing w:after="0"/>
        <w:tabs>
          <w:tab w:leader="none" w:pos="5060" w:val="left"/>
          <w:tab w:leader="none" w:pos="100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 of 84 Pages</w:t>
      </w:r>
    </w:p>
    <w:p>
      <w:pPr>
        <w:spacing w:after="0" w:line="235" w:lineRule="exact"/>
        <w:rPr>
          <w:sz w:val="20"/>
          <w:szCs w:val="20"/>
          <w:color w:val="auto"/>
        </w:rPr>
      </w:pPr>
    </w:p>
    <w:p>
      <w:pPr>
        <w:ind w:left="720" w:right="7760" w:hanging="698"/>
        <w:spacing w:after="0" w:line="50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NAMES OF REPORTING PERSONS Cernical Group S.A.*</w:t>
      </w:r>
    </w:p>
    <w:p>
      <w:pPr>
        <w:spacing w:after="0" w:line="1" w:lineRule="exact"/>
        <w:rPr>
          <w:rFonts w:ascii="Arial" w:cs="Arial" w:eastAsia="Arial" w:hAnsi="Arial"/>
          <w:sz w:val="18"/>
          <w:szCs w:val="18"/>
          <w:color w:val="auto"/>
        </w:rPr>
      </w:pPr>
    </w:p>
    <w:p>
      <w:pPr>
        <w:ind w:left="720" w:hanging="69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5"/>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505,845</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505,845</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505,845</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0.536%</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Cernical Group S.A. is directly controlled by Alicorp S.A. and indirectly controlled by various members of the Romero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tabs>
          <w:tab w:leader="none" w:pos="5060" w:val="left"/>
          <w:tab w:leader="none" w:pos="100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 of 84 Pages</w:t>
      </w:r>
    </w:p>
    <w:p>
      <w:pPr>
        <w:spacing w:after="0" w:line="235" w:lineRule="exact"/>
        <w:rPr>
          <w:sz w:val="20"/>
          <w:szCs w:val="20"/>
          <w:color w:val="auto"/>
        </w:rPr>
      </w:pPr>
    </w:p>
    <w:p>
      <w:pPr>
        <w:ind w:left="720" w:right="7760" w:hanging="698"/>
        <w:spacing w:after="0" w:line="508"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NAMES OF REPORTING PERSONS Fideicomiso Solmar*</w:t>
      </w:r>
    </w:p>
    <w:p>
      <w:pPr>
        <w:spacing w:after="0" w:line="1" w:lineRule="exact"/>
        <w:rPr>
          <w:rFonts w:ascii="Arial" w:cs="Arial" w:eastAsia="Arial" w:hAnsi="Arial"/>
          <w:sz w:val="18"/>
          <w:szCs w:val="18"/>
          <w:color w:val="auto"/>
        </w:rPr>
      </w:pPr>
    </w:p>
    <w:p>
      <w:pPr>
        <w:ind w:left="720" w:hanging="698"/>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6"/>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207,978</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207,978</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207,978</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0.220%</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Fideicomiso Solmar is one of several trusts formed for the benefit of certain individuals who are members of the Romero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tabs>
          <w:tab w:leader="none" w:pos="5060" w:val="left"/>
          <w:tab w:leader="none" w:pos="100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NAMES OF REPORTING PERSONS Grupo Rosta Internacional</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Panamá</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7"/>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17,814</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17,814</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17,814</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0.019%</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tabs>
          <w:tab w:leader="none" w:pos="5060" w:val="left"/>
          <w:tab w:leader="none" w:pos="100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8 of 84 Pages</w:t>
      </w:r>
    </w:p>
    <w:p>
      <w:pPr>
        <w:spacing w:after="0" w:line="235" w:lineRule="exact"/>
        <w:rPr>
          <w:sz w:val="20"/>
          <w:szCs w:val="20"/>
          <w:color w:val="auto"/>
        </w:rPr>
      </w:pPr>
    </w:p>
    <w:p>
      <w:pPr>
        <w:jc w:val="both"/>
        <w:ind w:left="720" w:right="7700" w:hanging="698"/>
        <w:spacing w:after="0" w:line="572"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NAMES OF REPORTING PERSONS Ana Silvia Guzman Portilla de Romero</w:t>
      </w:r>
    </w:p>
    <w:p>
      <w:pPr>
        <w:ind w:left="720" w:hanging="69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8"/>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6,058</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0.007%</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tabs>
          <w:tab w:leader="none" w:pos="5060" w:val="left"/>
          <w:tab w:leader="none" w:pos="100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9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NAMES OF REPORTING PERSONS Rosalina María Helguero Romero</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9"/>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11,360</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11,360</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11,360</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0.012%</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10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NAMES OF REPORTING PERSONS High Inter Projects, Corp*</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Panamá</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10"/>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2,867,829</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2,867,829</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2,867,829</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3.039%</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w:t>
      </w:r>
    </w:p>
    <w:p>
      <w:pPr>
        <w:spacing w:after="0" w:line="23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High Inter Projects, Corp. is owned and controlled by various members of the Romero family, which includes Dionisio Romero Paoletti, Calixto Romero Guzmán, José Antonio Onrubia Holder and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11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NAMES OF REPORTING PERSONS Teresa Holder de Onrubia</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11"/>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287,171</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287,171</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287,171</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0.304%</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12 of 84 Pages</w:t>
      </w:r>
    </w:p>
    <w:p>
      <w:pPr>
        <w:spacing w:after="0" w:line="235" w:lineRule="exact"/>
        <w:rPr>
          <w:sz w:val="20"/>
          <w:szCs w:val="20"/>
          <w:color w:val="auto"/>
        </w:rPr>
      </w:pPr>
    </w:p>
    <w:p>
      <w:pPr>
        <w:ind w:left="720" w:right="7760" w:hanging="698"/>
        <w:spacing w:after="0" w:line="508"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NAMES OF REPORTING PERSONS Inversiones Casa Real</w:t>
      </w:r>
    </w:p>
    <w:p>
      <w:pPr>
        <w:spacing w:after="0" w:line="1" w:lineRule="exact"/>
        <w:rPr>
          <w:rFonts w:ascii="Arial" w:cs="Arial" w:eastAsia="Arial" w:hAnsi="Arial"/>
          <w:sz w:val="18"/>
          <w:szCs w:val="18"/>
          <w:color w:val="auto"/>
        </w:rPr>
      </w:pPr>
    </w:p>
    <w:p>
      <w:pPr>
        <w:ind w:left="720" w:hanging="69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Panamá</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12"/>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3,000</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0.003%</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13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NAMES OF REPORTING PERSONS Inversiones Piuranas S.A.*</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13"/>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158,000</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158,000</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158,000</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0.167%</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w:t>
      </w:r>
    </w:p>
    <w:p>
      <w:pPr>
        <w:spacing w:after="0" w:line="2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*Inversiones Piuranas S.A. is controlled by various members of the Romero family, which includes Dionisio Romero Paoletti, Calixto Romero Guzmán, José Antonio Onrubia Holder and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14 of 84 Pages</w:t>
      </w:r>
    </w:p>
    <w:p>
      <w:pPr>
        <w:spacing w:after="0" w:line="235" w:lineRule="exact"/>
        <w:rPr>
          <w:sz w:val="20"/>
          <w:szCs w:val="20"/>
          <w:color w:val="auto"/>
        </w:rPr>
      </w:pPr>
    </w:p>
    <w:p>
      <w:pPr>
        <w:ind w:left="720" w:right="7760" w:hanging="698"/>
        <w:spacing w:after="0" w:line="508"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NAMES OF REPORTING PERSONS La Roncadora S.A.*</w:t>
      </w:r>
    </w:p>
    <w:p>
      <w:pPr>
        <w:spacing w:after="0" w:line="1" w:lineRule="exact"/>
        <w:rPr>
          <w:rFonts w:ascii="Arial" w:cs="Arial" w:eastAsia="Arial" w:hAnsi="Arial"/>
          <w:sz w:val="18"/>
          <w:szCs w:val="18"/>
          <w:color w:val="auto"/>
        </w:rPr>
      </w:pPr>
    </w:p>
    <w:p>
      <w:pPr>
        <w:ind w:left="720" w:hanging="698"/>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Panamá</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14"/>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40,090</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40,090</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40,090</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0.042%</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w:t>
      </w:r>
    </w:p>
    <w:p>
      <w:pPr>
        <w:spacing w:after="0" w:line="2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*La Roncadora S.A. is controlled by various members of the Onrubia Holder family, which includes José Antonio Onrubia Holder, Eduardo Onrubia Holder, Luis Fernando Martin Onrubia Holder, and Maria Inmaculada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15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NAMES OF REPORTING PERSONS Eduardo Victoriano Onrubia Holder</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40,090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40,090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220,090</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0.233%</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16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NAMES OF REPORTING PERSONS José Antonio Onrubia Holder</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16"/>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207,978</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8,689,234</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207,978</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8,689,234</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8,897,212</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9.425%</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17 of 84 Pages</w:t>
      </w:r>
    </w:p>
    <w:p>
      <w:pPr>
        <w:spacing w:after="0" w:line="235" w:lineRule="exact"/>
        <w:rPr>
          <w:sz w:val="20"/>
          <w:szCs w:val="20"/>
          <w:color w:val="auto"/>
        </w:rPr>
      </w:pPr>
    </w:p>
    <w:p>
      <w:pPr>
        <w:ind w:left="720" w:right="7680" w:hanging="698"/>
        <w:spacing w:after="0" w:line="538"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NAMES OF REPORTING PERSONS Luis Fernando Martin Onrubia Holder</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17"/>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189,023</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40,090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189,023</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40,090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229,113</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0.273%</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18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NAMES OF REPORTING PERSONS Maria Inmaculada Onrubia Holder</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18"/>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8,512</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248,068</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8,512</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248,068</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256,580</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0.272%</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19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NAMES OF REPORTING PERSONS Patrimonio Fideicometido Angolo*</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19"/>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26,758</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26,758</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26,758</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0.028%</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Patrimonio Fideicometido Angolo is one of several trusts formed for the benefit of certain individuals who are members of the Romero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20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NAMES OF REPORTING PERSONS Reverades Holding Inc.*</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Seychelles</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20"/>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838,712</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838,712</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838,712</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0.889%</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*Reverades Holding Inc. is controlled by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21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NAMES OF REPORTING PERSONS Rittenhouse Capital Ltd.*</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Cayman Islands</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21"/>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5,469,470</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5,469,470</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5,469,470</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5.795%</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w:t>
      </w:r>
    </w:p>
    <w:p>
      <w:pPr>
        <w:spacing w:after="0" w:line="23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*Rittenhouse Capital Ltd.. is owned and controlled by various members of the Romero family, which includes Dionisio Romero Paoletti, Calixto Romero Guzmán, José Antonio Onrubia Holder and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22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NAMES OF REPORTING PERSONS Alfredo Romero Belismelis</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22"/>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713,887</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713,887</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713,887</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0.756%</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23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NAMES OF REPORTING PERSONS Fernando Romero Belismelis</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23"/>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708,695</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708,695</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708,695</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0.751%</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24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NAMES OF REPORTING PERSONS Jose Roberto Romero Belismelis</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24"/>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730,275</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730,275</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730,275</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0.774%</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25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NAMES OF REPORTING PERSONS Luis Romero Belismelis</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25"/>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7,050</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9,371,975</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7,050</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9,371,975</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9,379,025</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9.935%</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26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NAMES OF REPORTING PERSONS Manuel Antonio Romero Belismelis</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26"/>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11,873</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745,916</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11,873</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745,916</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757,789</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0.803%</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27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NAMES OF REPORTING PERSONS Calixto Romero Guzmán</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27"/>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8,649,144</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8,649,144</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8,649,144</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9.165%</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28 of 84 Pages</w:t>
      </w:r>
    </w:p>
    <w:p>
      <w:pPr>
        <w:spacing w:after="0" w:line="235" w:lineRule="exact"/>
        <w:rPr>
          <w:sz w:val="20"/>
          <w:szCs w:val="20"/>
          <w:color w:val="auto"/>
        </w:rPr>
      </w:pPr>
    </w:p>
    <w:p>
      <w:pPr>
        <w:jc w:val="both"/>
        <w:ind w:left="720" w:right="7760" w:hanging="698"/>
        <w:spacing w:after="0" w:line="572" w:lineRule="auto"/>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NAMES OF REPORTING PERSONS Ana Maria Romero Paoletti de Sacchi</w:t>
      </w:r>
    </w:p>
    <w:p>
      <w:pPr>
        <w:ind w:left="720" w:hanging="698"/>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28"/>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6,150</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0.007%</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29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NAMES OF REPORTING PERSONS Dionisio Romero Paoletti</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29"/>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119,661</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8,649,144</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119,661</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8,649,144</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8,768,805</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9.295%</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30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NAMES OF REPORTING PERSONS Calixto Romero Seminario</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3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3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30"/>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2,700</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0.003%</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31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NAMES OF REPORTING PERSONS Dionisio Romero Seminario</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3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3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31"/>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1,714,359</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1,714,359</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1,714,359</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1.817%</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32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NAMES OF REPORTING PERSONS Rubyfield Investments Ltd.*</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Seychelles</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32"/>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875,647</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875,647</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875,647</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0.928%</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*Rubyfield Investments Ltd. is controlled by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33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NAMES OF REPORTING PERSONS Paolo Mario Sacchi Giurato</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3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3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33"/>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6,150</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0.007%</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34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NAMES OF REPORTING PERSONS Tech American Enterprises Inc.*</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3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3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Perú</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34"/>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693,073</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693,073</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693,073</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0.734%</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w:t>
      </w:r>
    </w:p>
    <w:p>
      <w:pPr>
        <w:spacing w:after="0" w:line="23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 Tech American Enterprises Inc. is owned and controlled by various members of the Romero Belismelis family, which includes Alfredo Romero Belismelis, Fernando Romero Belismelis, Jose Roberto Romero Belismelis, Luis Romero Belismelis, and Manuel Antonio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35 of 84 Pages</w:t>
      </w:r>
    </w:p>
    <w:p>
      <w:pPr>
        <w:spacing w:after="0" w:line="235" w:lineRule="exact"/>
        <w:rPr>
          <w:sz w:val="20"/>
          <w:szCs w:val="20"/>
          <w:color w:val="auto"/>
        </w:rPr>
      </w:pPr>
    </w:p>
    <w:p>
      <w:pPr>
        <w:ind w:left="720" w:right="7760" w:hanging="698"/>
        <w:spacing w:after="0" w:line="538"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NAMES OF REPORTING PERSONS Urigeler International S.A.*</w:t>
      </w:r>
    </w:p>
    <w:p>
      <w:pPr>
        <w:spacing w:after="0" w:line="1" w:lineRule="exact"/>
        <w:rPr>
          <w:rFonts w:ascii="Arial" w:cs="Arial" w:eastAsia="Arial" w:hAnsi="Arial"/>
          <w:sz w:val="17"/>
          <w:szCs w:val="17"/>
          <w:color w:val="auto"/>
        </w:rPr>
      </w:pPr>
    </w:p>
    <w:p>
      <w:pPr>
        <w:ind w:left="720" w:hanging="698"/>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60" w:hanging="250"/>
        <w:spacing w:after="0" w:line="207" w:lineRule="exact"/>
        <w:tabs>
          <w:tab w:leader="none" w:pos="96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8" w:lineRule="exact"/>
        <w:rPr>
          <w:rFonts w:ascii="Arial" w:cs="Arial" w:eastAsia="Arial" w:hAnsi="Arial"/>
          <w:sz w:val="18"/>
          <w:szCs w:val="18"/>
          <w:color w:val="auto"/>
        </w:rPr>
      </w:pPr>
    </w:p>
    <w:p>
      <w:pPr>
        <w:ind w:left="720" w:hanging="698"/>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38" w:lineRule="exact"/>
        <w:rPr>
          <w:rFonts w:ascii="Arial" w:cs="Arial" w:eastAsia="Arial" w:hAnsi="Arial"/>
          <w:sz w:val="18"/>
          <w:szCs w:val="18"/>
          <w:color w:val="auto"/>
        </w:rPr>
      </w:pPr>
    </w:p>
    <w:p>
      <w:pPr>
        <w:ind w:left="720" w:right="6780" w:hanging="698"/>
        <w:spacing w:after="0" w:line="508"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Panamá</w:t>
      </w:r>
    </w:p>
    <w:p>
      <w:pPr>
        <w:spacing w:after="0" w:line="1" w:lineRule="exact"/>
        <w:rPr>
          <w:rFonts w:ascii="Arial" w:cs="Arial" w:eastAsia="Arial" w:hAnsi="Arial"/>
          <w:sz w:val="18"/>
          <w:szCs w:val="18"/>
          <w:color w:val="auto"/>
        </w:rPr>
      </w:pPr>
    </w:p>
    <w:p>
      <w:pPr>
        <w:ind w:left="2760" w:hanging="686"/>
        <w:spacing w:after="0"/>
        <w:tabs>
          <w:tab w:leader="none" w:pos="2760" w:val="left"/>
        </w:tabs>
        <w:numPr>
          <w:ilvl w:val="2"/>
          <w:numId w:val="35"/>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6285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628586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77,806</w:t>
            </w:r>
          </w:p>
        </w:tc>
        <w:tc>
          <w:tcPr>
            <w:tcW w:w="0" w:type="dxa"/>
            <w:vAlign w:val="bottom"/>
          </w:tcPr>
          <w:p>
            <w:pPr>
              <w:spacing w:after="0"/>
              <w:rPr>
                <w:sz w:val="1"/>
                <w:szCs w:val="1"/>
                <w:color w:val="auto"/>
              </w:rPr>
            </w:pPr>
          </w:p>
        </w:tc>
      </w:tr>
      <w:tr>
        <w:trPr>
          <w:trHeight w:val="22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(6)</w:t>
            </w:r>
          </w:p>
        </w:tc>
        <w:tc>
          <w:tcPr>
            <w:tcW w:w="890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(7)</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EACH</w:t>
            </w: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900" w:type="dxa"/>
            <w:vAlign w:val="bottom"/>
            <w:vMerge w:val="restart"/>
          </w:tcPr>
          <w:p>
            <w:pPr>
              <w:ind w:left="240"/>
              <w:spacing w:after="0"/>
              <w:rPr>
                <w:sz w:val="20"/>
                <w:szCs w:val="20"/>
                <w:color w:val="auto"/>
              </w:rPr>
            </w:pPr>
            <w:r>
              <w:rPr>
                <w:rFonts w:ascii="Arial" w:cs="Arial" w:eastAsia="Arial" w:hAnsi="Arial"/>
                <w:sz w:val="18"/>
                <w:szCs w:val="18"/>
                <w:color w:val="auto"/>
              </w:rPr>
              <w:t>77,806</w:t>
            </w: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PERSON</w:t>
            </w:r>
          </w:p>
        </w:tc>
        <w:tc>
          <w:tcPr>
            <w:tcW w:w="460" w:type="dxa"/>
            <w:vAlign w:val="bottom"/>
          </w:tcPr>
          <w:p>
            <w:pPr>
              <w:spacing w:after="0"/>
              <w:rPr>
                <w:sz w:val="12"/>
                <w:szCs w:val="12"/>
                <w:color w:val="auto"/>
              </w:rPr>
            </w:pPr>
          </w:p>
        </w:tc>
        <w:tc>
          <w:tcPr>
            <w:tcW w:w="8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(8)</w:t>
            </w:r>
          </w:p>
        </w:tc>
        <w:tc>
          <w:tcPr>
            <w:tcW w:w="89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77,806</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 (SEE INSTRUCTIONS)</w:t>
      </w:r>
    </w:p>
    <w:p>
      <w:pPr>
        <w:spacing w:after="0" w:line="197"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29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0.082%</w:t>
      </w:r>
    </w:p>
    <w:p>
      <w:pPr>
        <w:spacing w:after="0" w:line="23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TYPE OF REPORTING PERSON (SEE INSTRUCTIONS)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w:t>
      </w:r>
    </w:p>
    <w:p>
      <w:pPr>
        <w:spacing w:after="0" w:line="2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Urigeler International S.A. is owned and controlled by various members of the Romero family, which includes Dionisio Romero Paoletti, Calixto Romero Guzmán, José Antonio Onrubia Holder and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36 of 84 Pages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for 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(a). 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Banco de Crédito del Perú</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Centenario N° 156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 Laderas de Melgarejo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 Molina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Lima 12 Perú</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B attached 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or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Centenario N° 156</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 Laderas de Melgarejo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 Molina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Lima 12 Perú</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37 of 84 Pages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21</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Shares, par value $5.00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G2519Y108</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38 of 84 Pages</w:t>
      </w:r>
    </w:p>
    <w:p>
      <w:pPr>
        <w:sectPr>
          <w:pgSz w:w="11900" w:h="16838" w:orient="portrait"/>
          <w:cols w:equalWidth="0" w:num="1">
            <w:col w:w="11420"/>
          </w:cols>
          <w:pgMar w:left="240" w:top="908" w:right="239" w:bottom="1440" w:gutter="0" w:footer="0" w:header="0"/>
        </w:sectPr>
      </w:pPr>
    </w:p>
    <w:p>
      <w:pPr>
        <w:spacing w:after="0" w:line="25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14</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15</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16</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17</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18</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19</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20</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21</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22</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23</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24</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25</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26</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27</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28</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29</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30</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31</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32</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33</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34</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9 on Page 35</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Percent of class: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11 on Page 2</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11 on Page 3</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11 on Page 4</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11 on Page 5</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11 on Page 6</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11 on Page 7</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11 on Page 8</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See Item 11 on Page 9</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10</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11</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12</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13</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14</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15</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16</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17</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18</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19</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20</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21</w:t>
      </w:r>
    </w:p>
    <w:p>
      <w:pPr>
        <w:spacing w:after="0" w:line="4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See Item 11 on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8" w:name="page39"/>
    <w:bookmarkEnd w:id="38"/>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39 of 84 Pages</w:t>
      </w:r>
    </w:p>
    <w:p>
      <w:pPr>
        <w:sectPr>
          <w:pgSz w:w="11900" w:h="16838" w:orient="portrait"/>
          <w:cols w:equalWidth="0" w:num="1">
            <w:col w:w="11420"/>
          </w:cols>
          <w:pgMar w:left="240" w:top="908" w:right="239" w:bottom="1440" w:gutter="0" w:footer="0" w:header="0"/>
        </w:sectPr>
      </w:pP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23</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30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31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32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33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34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35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Number of shares as to which the person has:</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 Sole power to vote or to direct the vote</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9" w:name="page40"/>
    <w:bookmarkEnd w:id="39"/>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40 of 84 Pages</w:t>
      </w:r>
    </w:p>
    <w:p>
      <w:pPr>
        <w:sectPr>
          <w:pgSz w:w="11900" w:h="16838" w:orient="portrait"/>
          <w:cols w:equalWidth="0" w:num="1">
            <w:col w:w="11420"/>
          </w:cols>
          <w:pgMar w:left="240" w:top="908" w:right="239" w:bottom="1440" w:gutter="0" w:footer="0" w:header="0"/>
        </w:sectPr>
      </w:pP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30</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31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32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33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34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35</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(ii) Shared power to vote or to direct the vote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31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32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33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34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40" w:name="page41"/>
    <w:bookmarkEnd w:id="40"/>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41 of 84 Pages</w:t>
      </w:r>
    </w:p>
    <w:p>
      <w:pPr>
        <w:sectPr>
          <w:pgSz w:w="11900" w:h="16838" w:orient="portrait"/>
          <w:cols w:equalWidth="0" w:num="1">
            <w:col w:w="11420"/>
          </w:cols>
          <w:pgMar w:left="240" w:top="909" w:right="239" w:bottom="1440" w:gutter="0" w:footer="0" w:header="0"/>
        </w:sectPr>
      </w:pPr>
    </w:p>
    <w:p>
      <w:pPr>
        <w:spacing w:after="0" w:line="252" w:lineRule="exact"/>
        <w:rPr>
          <w:sz w:val="20"/>
          <w:szCs w:val="20"/>
          <w:color w:val="auto"/>
        </w:rPr>
      </w:pPr>
    </w:p>
    <w:p>
      <w:pPr>
        <w:ind w:left="1300" w:hanging="320"/>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w:t>
      </w:r>
    </w:p>
    <w:p>
      <w:pPr>
        <w:spacing w:after="0" w:line="236" w:lineRule="exact"/>
        <w:rPr>
          <w:rFonts w:ascii="Arial" w:cs="Arial" w:eastAsia="Arial" w:hAnsi="Arial"/>
          <w:sz w:val="17"/>
          <w:szCs w:val="17"/>
          <w:color w:val="auto"/>
        </w:rPr>
      </w:pPr>
    </w:p>
    <w:p>
      <w:pPr>
        <w:ind w:left="1300" w:right="8500"/>
        <w:spacing w:after="0" w:line="303" w:lineRule="auto"/>
        <w:rPr>
          <w:rFonts w:ascii="Arial" w:cs="Arial" w:eastAsia="Arial" w:hAnsi="Arial"/>
          <w:sz w:val="17"/>
          <w:szCs w:val="17"/>
          <w:color w:val="auto"/>
        </w:rPr>
      </w:pPr>
      <w:r>
        <w:rPr>
          <w:rFonts w:ascii="Arial" w:cs="Arial" w:eastAsia="Arial" w:hAnsi="Arial"/>
          <w:sz w:val="15"/>
          <w:szCs w:val="15"/>
          <w:color w:val="auto"/>
        </w:rPr>
        <w:t>See Item 7 on Page 2 See Item 7 on Page 3 See Item 7 on Page 4 See Item 7 on Page 5 See Item 7 on Page 6 See Item 7 on Page 7 See Item 7 on Page 8 See Item 7 on Page 9 See Item 7 on Page 10 See Item 7 on Page 11 See Item 7 on Page 12 See Item 7 on Page 13 See Item 7 on Page 14 See Item 7 on Page 15 See Item 7 on Page 16 See Item 7 on Page 17 See Item 7 on Page 18 See Item 7 on Page 19 See Item 7 on Page 20 See Item 7 on Page 21 See Item 7 on Page 22 See Item 7 on Page 23 See Item 7 on Page 24 See Item 7 on Page 25 See Item 7 on Page 26 See Item 7 on Page 27 See Item 7 on Page 28 See Item 7 on Page 29 See Item 7 on Page 30 See Item 7 on Page 31 See Item 7 on Page 32 See Item 7 on Page 33 See Item 7 on Page 34 See Item 7 on Page 35</w:t>
      </w:r>
    </w:p>
    <w:p>
      <w:pPr>
        <w:spacing w:after="0" w:line="159" w:lineRule="exact"/>
        <w:rPr>
          <w:rFonts w:ascii="Arial" w:cs="Arial" w:eastAsia="Arial" w:hAnsi="Arial"/>
          <w:sz w:val="17"/>
          <w:szCs w:val="17"/>
          <w:color w:val="auto"/>
        </w:rPr>
      </w:pPr>
    </w:p>
    <w:p>
      <w:pPr>
        <w:ind w:left="1280" w:hanging="300"/>
        <w:spacing w:after="0"/>
        <w:tabs>
          <w:tab w:leader="none" w:pos="1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w:t>
      </w:r>
    </w:p>
    <w:p>
      <w:pPr>
        <w:spacing w:after="0" w:line="248" w:lineRule="exact"/>
        <w:rPr>
          <w:rFonts w:ascii="Arial" w:cs="Arial" w:eastAsia="Arial" w:hAnsi="Arial"/>
          <w:sz w:val="16"/>
          <w:szCs w:val="16"/>
          <w:color w:val="auto"/>
        </w:rPr>
      </w:pPr>
    </w:p>
    <w:p>
      <w:pPr>
        <w:jc w:val="both"/>
        <w:ind w:left="1300" w:right="8600"/>
        <w:spacing w:after="0" w:line="320" w:lineRule="auto"/>
        <w:rPr>
          <w:rFonts w:ascii="Arial" w:cs="Arial" w:eastAsia="Arial" w:hAnsi="Arial"/>
          <w:sz w:val="16"/>
          <w:szCs w:val="16"/>
          <w:color w:val="auto"/>
        </w:rPr>
      </w:pPr>
      <w:r>
        <w:rPr>
          <w:rFonts w:ascii="Arial" w:cs="Arial" w:eastAsia="Arial" w:hAnsi="Arial"/>
          <w:sz w:val="15"/>
          <w:szCs w:val="15"/>
          <w:color w:val="auto"/>
        </w:rPr>
        <w:t>See Item 8 on Page 2 See Item 8 on Page 3 See Item 8 on Page 4 See Item 8 on Page 5 See Item 8 on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41" w:name="page42"/>
    <w:bookmarkEnd w:id="41"/>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42 of 84 Pages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7</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29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31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32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33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34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8 on Page 35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right="42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C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43 of 84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44 of 84 Pages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40" w:firstLine="51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February 28, 2019</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Dionisio Romero Paoletti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Dionisio Romero Paoletti</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45 of 84 Pages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Joint Filing Statement</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Names of Persons Filing</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Identification and Classification of Members of Group</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Powers of Attorney with English Translations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left="60"/>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46 of 84 Pages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Schedule 13G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w:t>
      </w:r>
    </w:p>
    <w:p>
      <w:pPr>
        <w:spacing w:after="0" w:line="211" w:lineRule="exact"/>
        <w:rPr>
          <w:sz w:val="20"/>
          <w:szCs w:val="20"/>
          <w:color w:val="auto"/>
        </w:rPr>
      </w:pPr>
    </w:p>
    <w:p>
      <w:pPr>
        <w:ind w:firstLine="519"/>
        <w:spacing w:after="0" w:line="277" w:lineRule="auto"/>
        <w:rPr>
          <w:sz w:val="20"/>
          <w:szCs w:val="20"/>
          <w:color w:val="auto"/>
        </w:rPr>
      </w:pPr>
      <w:r>
        <w:rPr>
          <w:rFonts w:ascii="Arial" w:cs="Arial" w:eastAsia="Arial" w:hAnsi="Arial"/>
          <w:sz w:val="18"/>
          <w:szCs w:val="18"/>
          <w:color w:val="auto"/>
        </w:rPr>
        <w:t>The undersigned persons (the "Reporting Persons") hereby agree that a joint statement on this Schedule 13G, and any amendments thereto, be filed on their behalf by Dionisio Romero Paoletti.</w:t>
      </w:r>
    </w:p>
    <w:p>
      <w:pPr>
        <w:spacing w:after="0" w:line="170" w:lineRule="exact"/>
        <w:rPr>
          <w:sz w:val="20"/>
          <w:szCs w:val="20"/>
          <w:color w:val="auto"/>
        </w:rPr>
      </w:pPr>
    </w:p>
    <w:p>
      <w:pPr>
        <w:ind w:firstLine="519"/>
        <w:spacing w:after="0" w:line="308" w:lineRule="auto"/>
        <w:rPr>
          <w:sz w:val="20"/>
          <w:szCs w:val="20"/>
          <w:color w:val="auto"/>
        </w:rPr>
      </w:pPr>
      <w:r>
        <w:rPr>
          <w:rFonts w:ascii="Arial" w:cs="Arial" w:eastAsia="Arial" w:hAnsi="Arial"/>
          <w:sz w:val="17"/>
          <w:szCs w:val="17"/>
          <w:color w:val="auto"/>
        </w:rPr>
        <w:t>Each of the Reporting Persons is responsible for the completeness and accuracy of the information concerning each of them contained therein, but none of the Reporting Persons is responsible for the completeness or accuracy of the information concerning any other Reporting Person.</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Date:February 28, 2019</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Arnueld Limited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Ursula Martina Bernard Valderrama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Birmingham Merchant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Cernical Group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Fideicomiso Solmar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Grupo Rosta Internacional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Silvia Guzman Portilla de Romero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Rosalina María Helguero Romero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High Inter Projects, Corp.</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Teresa Holder de Onrubia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Inversiones Casa Real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Inversiones Piuranas,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 Roncadora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Eduardo Victoriano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José Antonio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Luis Fernando Martin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Maria Inmaculada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Patrimonio Fideicometido Angolo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Reverades Holding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Rittenhouse Capital Ltd.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Alfredo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Fernando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Jose Roberto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Luis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Manuel Antonio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Calixto Romero Guzmán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Maria Romero Paoletti de Sacchi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Dionisio Romero Paoletti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Calixto Romero Seminario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Dionisio Romero Seminario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Rubyfield Investments Ltd.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Paolo Mario Sacchi Giurato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47 of 84 Pages</w:t>
      </w:r>
    </w:p>
    <w:p>
      <w:pPr>
        <w:sectPr>
          <w:pgSz w:w="11900" w:h="16838" w:orient="portrait"/>
          <w:cols w:equalWidth="0" w:num="1">
            <w:col w:w="11420"/>
          </w:cols>
          <w:pgMar w:left="240" w:top="909" w:right="239" w:bottom="1440" w:gutter="0" w:footer="0" w:header="0"/>
        </w:sectPr>
      </w:pP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Tech American Enterprises Inc.</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Urigeler International S.A.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Paoletti</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Dionisio Romero Paoletti</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Attorney-in-fact</w:t>
            </w:r>
          </w:p>
        </w:tc>
      </w:tr>
      <w:tr>
        <w:trPr>
          <w:trHeight w:val="675"/>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type w:val="continuous"/>
        </w:sectPr>
      </w:pPr>
    </w:p>
    <w:bookmarkStart w:id="47" w:name="page48"/>
    <w:bookmarkEnd w:id="47"/>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48 of 84 Pages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 to Schedule 13G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Names of Persons Filing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Arnueld Limited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Ursula Martina Bernard Valderrama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Birmingham Merchant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Cernical Group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Fideicomiso Solmar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Grupo Rosta Internacional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Silvia Guzman Portilla de Romero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Rosalina María Helguero Romero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High Inter Projects, Corp.</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Teresa Holder de Onrubia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Inversiones Casa Real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Inversiones Piuranas,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 Roncadora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Eduardo Victoriano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José Antonio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Luis Fernando Martin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Maria Inmaculada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Patrimonio Fideicometido Angolo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Reverades Holding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Rittenhouse Capital Ltd.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Alfredo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Fernando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Jose Roberto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Luis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Manuel Antonio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Calixto Romero Guzmán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Maria Romero Paoletti de Sacchi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Dionisio Romero Paoletti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Calixto Romero Seminario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Dionisio Romero Seminario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Rubyfield Investments Ltd.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Paolo Mario Sacchi Giurato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Tech American Enterprises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Urigeler International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49 of 84 Pages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Centenario N° 156</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 Laderas de Melgarejo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 Molina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Lima 12 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CUSIP No. G2519Y108</w:t>
            </w:r>
          </w:p>
        </w:tc>
        <w:tc>
          <w:tcPr>
            <w:tcW w:w="4620" w:type="dxa"/>
            <w:vAlign w:val="bottom"/>
          </w:tcPr>
          <w:p>
            <w:pPr>
              <w:jc w:val="center"/>
              <w:ind w:right="570"/>
              <w:spacing w:after="0"/>
              <w:rPr>
                <w:sz w:val="20"/>
                <w:szCs w:val="20"/>
                <w:color w:val="auto"/>
              </w:rPr>
            </w:pPr>
            <w:r>
              <w:rPr>
                <w:rFonts w:ascii="Arial" w:cs="Arial" w:eastAsia="Arial" w:hAnsi="Arial"/>
                <w:sz w:val="18"/>
                <w:szCs w:val="18"/>
                <w:color w:val="auto"/>
                <w:w w:val="93"/>
              </w:rPr>
              <w:t>SCHEDULE 13G</w:t>
            </w:r>
          </w:p>
        </w:tc>
        <w:tc>
          <w:tcPr>
            <w:tcW w:w="3060" w:type="dxa"/>
            <w:vAlign w:val="bottom"/>
          </w:tcPr>
          <w:p>
            <w:pPr>
              <w:ind w:left="1600"/>
              <w:spacing w:after="0"/>
              <w:rPr>
                <w:sz w:val="20"/>
                <w:szCs w:val="20"/>
                <w:color w:val="auto"/>
              </w:rPr>
            </w:pPr>
            <w:r>
              <w:rPr>
                <w:rFonts w:ascii="Arial" w:cs="Arial" w:eastAsia="Arial" w:hAnsi="Arial"/>
                <w:sz w:val="18"/>
                <w:szCs w:val="18"/>
                <w:color w:val="auto"/>
                <w:w w:val="85"/>
              </w:rPr>
              <w:t>Page 50 of 84 Pages</w:t>
            </w:r>
          </w:p>
        </w:tc>
        <w:tc>
          <w:tcPr>
            <w:tcW w:w="0" w:type="dxa"/>
            <w:vAlign w:val="bottom"/>
          </w:tcPr>
          <w:p>
            <w:pPr>
              <w:spacing w:after="0"/>
              <w:rPr>
                <w:sz w:val="1"/>
                <w:szCs w:val="1"/>
                <w:color w:val="auto"/>
              </w:rPr>
            </w:pPr>
          </w:p>
        </w:tc>
      </w:tr>
      <w:tr>
        <w:trPr>
          <w:trHeight w:val="418"/>
        </w:trPr>
        <w:tc>
          <w:tcPr>
            <w:tcW w:w="3740" w:type="dxa"/>
            <w:vAlign w:val="bottom"/>
          </w:tcPr>
          <w:p>
            <w:pPr>
              <w:spacing w:after="0"/>
              <w:rPr>
                <w:sz w:val="24"/>
                <w:szCs w:val="24"/>
                <w:color w:val="auto"/>
              </w:rPr>
            </w:pPr>
          </w:p>
        </w:tc>
        <w:tc>
          <w:tcPr>
            <w:tcW w:w="4620" w:type="dxa"/>
            <w:vAlign w:val="bottom"/>
          </w:tcPr>
          <w:p>
            <w:pPr>
              <w:jc w:val="center"/>
              <w:ind w:right="590"/>
              <w:spacing w:after="0"/>
              <w:rPr>
                <w:sz w:val="20"/>
                <w:szCs w:val="20"/>
                <w:color w:val="auto"/>
              </w:rPr>
            </w:pPr>
            <w:r>
              <w:rPr>
                <w:rFonts w:ascii="Arial" w:cs="Arial" w:eastAsia="Arial" w:hAnsi="Arial"/>
                <w:sz w:val="18"/>
                <w:szCs w:val="18"/>
                <w:color w:val="auto"/>
                <w:w w:val="91"/>
              </w:rPr>
              <w:t>Exhibit C to Schedule 13G</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40" w:type="dxa"/>
            <w:vAlign w:val="bottom"/>
            <w:vMerge w:val="restart"/>
          </w:tcPr>
          <w:p>
            <w:pPr>
              <w:spacing w:after="0"/>
              <w:rPr>
                <w:sz w:val="20"/>
                <w:szCs w:val="20"/>
                <w:color w:val="auto"/>
              </w:rPr>
            </w:pPr>
            <w:r>
              <w:rPr>
                <w:rFonts w:ascii="Arial" w:cs="Arial" w:eastAsia="Arial" w:hAnsi="Arial"/>
                <w:sz w:val="18"/>
                <w:szCs w:val="18"/>
                <w:color w:val="auto"/>
              </w:rPr>
              <w:t>Members of Group:</w:t>
            </w:r>
          </w:p>
        </w:tc>
        <w:tc>
          <w:tcPr>
            <w:tcW w:w="4620" w:type="dxa"/>
            <w:vAlign w:val="bottom"/>
          </w:tcPr>
          <w:p>
            <w:pPr>
              <w:jc w:val="center"/>
              <w:ind w:right="590"/>
              <w:spacing w:after="0"/>
              <w:rPr>
                <w:sz w:val="20"/>
                <w:szCs w:val="20"/>
                <w:color w:val="auto"/>
              </w:rPr>
            </w:pPr>
            <w:r>
              <w:rPr>
                <w:rFonts w:ascii="Arial" w:cs="Arial" w:eastAsia="Arial" w:hAnsi="Arial"/>
                <w:sz w:val="18"/>
                <w:szCs w:val="18"/>
                <w:color w:val="auto"/>
                <w:w w:val="93"/>
              </w:rPr>
              <w:t>Identification and Classification of Members of Group</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vMerge w:val="continue"/>
          </w:tcPr>
          <w:p>
            <w:pPr>
              <w:spacing w:after="0"/>
              <w:rPr>
                <w:sz w:val="18"/>
                <w:szCs w:val="18"/>
                <w:color w:val="auto"/>
              </w:rPr>
            </w:pP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740" w:type="dxa"/>
            <w:vAlign w:val="bottom"/>
          </w:tcPr>
          <w:p>
            <w:pPr>
              <w:ind w:left="520"/>
              <w:spacing w:after="0"/>
              <w:rPr>
                <w:sz w:val="20"/>
                <w:szCs w:val="20"/>
                <w:color w:val="auto"/>
              </w:rPr>
            </w:pPr>
            <w:r>
              <w:rPr>
                <w:rFonts w:ascii="Arial" w:cs="Arial" w:eastAsia="Arial" w:hAnsi="Arial"/>
                <w:sz w:val="18"/>
                <w:szCs w:val="18"/>
                <w:color w:val="auto"/>
              </w:rPr>
              <w:t>Arnueld Limited (CO)</w:t>
            </w:r>
          </w:p>
        </w:tc>
        <w:tc>
          <w:tcPr>
            <w:tcW w:w="46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Ursula Martina Bernard Valderrama (IN)</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Birmingham Merchant S.A. (CO)</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Cernical Group S.A. (CO)</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Fideicomiso Solmar (OO)</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Grupo Rosta Internacional (CO)</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w w:val="93"/>
              </w:rPr>
              <w:t>Ana Silvia Guzman Portilla de Romero (IN)</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Rosalina María Helguero Romero (IN)</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High Inter Projects, Corp. (CO)</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Teresa Holder de Onrubia (IN)</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Inversiones Casa Real (CO)</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Inversiones Piuranas, S.A. (CO)</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La Roncadora S.A. (CO)</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Eduardo Victoriano Onrubia Holder (IN)</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José Antonio Onrubia Holder (IN)</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w w:val="96"/>
              </w:rPr>
              <w:t>Luis Fernando Martin Onrubia Holder (IN)</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Maria Inmaculada Onrubia Holder (IN)</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Patrimonio Fideicometido Angolo (OO)</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Reverades Holding Inc. (CO)</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Rittenhouse Capital Ltd. (CO)</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Alfredo Romero Belismelis (IN)</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Fernando Romero Belismelis (IN)</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Jose Roberto Romero Belismelis (IN)</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Luis Romero Belismelis (IN)</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Manuel Antonio Romero Belismelis (IN)</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Calixto Romero Guzmán (IN)</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w w:val="95"/>
              </w:rPr>
              <w:t>Ana Maria Romero Paoletti de Sacchi (IN)</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Dionisio Romero Paoletti (IN)</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Calixto Romero Seminario (IN)</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Dionisio Romero Seminario (IN)</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Rubyfield Investments Ltd. (CO)</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Paolo Mario Sacchi Giurato (IN)</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520"/>
              <w:spacing w:after="0"/>
              <w:rPr>
                <w:sz w:val="20"/>
                <w:szCs w:val="20"/>
                <w:color w:val="auto"/>
              </w:rPr>
            </w:pPr>
            <w:r>
              <w:rPr>
                <w:rFonts w:ascii="Arial" w:cs="Arial" w:eastAsia="Arial" w:hAnsi="Arial"/>
                <w:sz w:val="18"/>
                <w:szCs w:val="18"/>
                <w:color w:val="auto"/>
              </w:rPr>
              <w:t>Tech American Enterprises Inc. (CO)</w:t>
            </w:r>
          </w:p>
        </w:tc>
        <w:tc>
          <w:tcPr>
            <w:tcW w:w="46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520"/>
              <w:spacing w:after="0"/>
              <w:rPr>
                <w:sz w:val="20"/>
                <w:szCs w:val="20"/>
                <w:color w:val="auto"/>
              </w:rPr>
            </w:pPr>
            <w:r>
              <w:rPr>
                <w:rFonts w:ascii="Arial" w:cs="Arial" w:eastAsia="Arial" w:hAnsi="Arial"/>
                <w:sz w:val="18"/>
                <w:szCs w:val="18"/>
                <w:color w:val="auto"/>
              </w:rPr>
              <w:t>Urigeler International S.A. (CO)</w:t>
            </w:r>
          </w:p>
        </w:tc>
        <w:tc>
          <w:tcPr>
            <w:tcW w:w="46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Aggregate Amount of Common Shares Beneficially Owned by Group:</w:t>
            </w:r>
          </w:p>
        </w:tc>
        <w:tc>
          <w:tcPr>
            <w:tcW w:w="3060" w:type="dxa"/>
            <w:vAlign w:val="bottom"/>
          </w:tcPr>
          <w:p>
            <w:pPr>
              <w:ind w:left="660"/>
              <w:spacing w:after="0"/>
              <w:rPr>
                <w:sz w:val="20"/>
                <w:szCs w:val="20"/>
                <w:color w:val="auto"/>
              </w:rPr>
            </w:pPr>
            <w:r>
              <w:rPr>
                <w:rFonts w:ascii="Arial" w:cs="Arial" w:eastAsia="Arial" w:hAnsi="Arial"/>
                <w:sz w:val="18"/>
                <w:szCs w:val="18"/>
                <w:b w:val="1"/>
                <w:bCs w:val="1"/>
                <w:color w:val="auto"/>
              </w:rPr>
              <w:t>13,219,750</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Percent of Class:</w:t>
            </w:r>
          </w:p>
        </w:tc>
        <w:tc>
          <w:tcPr>
            <w:tcW w:w="4620" w:type="dxa"/>
            <w:vAlign w:val="bottom"/>
          </w:tcPr>
          <w:p>
            <w:pPr>
              <w:spacing w:after="0"/>
              <w:rPr>
                <w:sz w:val="24"/>
                <w:szCs w:val="24"/>
                <w:color w:val="auto"/>
              </w:rPr>
            </w:pPr>
          </w:p>
        </w:tc>
        <w:tc>
          <w:tcPr>
            <w:tcW w:w="3060" w:type="dxa"/>
            <w:vAlign w:val="bottom"/>
          </w:tcPr>
          <w:p>
            <w:pPr>
              <w:ind w:left="660"/>
              <w:spacing w:after="0"/>
              <w:rPr>
                <w:sz w:val="20"/>
                <w:szCs w:val="20"/>
                <w:color w:val="auto"/>
              </w:rPr>
            </w:pPr>
            <w:r>
              <w:rPr>
                <w:rFonts w:ascii="Arial" w:cs="Arial" w:eastAsia="Arial" w:hAnsi="Arial"/>
                <w:sz w:val="18"/>
                <w:szCs w:val="18"/>
                <w:b w:val="1"/>
                <w:bCs w:val="1"/>
                <w:color w:val="auto"/>
              </w:rPr>
              <w:t>14.01%</w:t>
            </w:r>
          </w:p>
        </w:tc>
        <w:tc>
          <w:tcPr>
            <w:tcW w:w="0" w:type="dxa"/>
            <w:vAlign w:val="bottom"/>
          </w:tcPr>
          <w:p>
            <w:pPr>
              <w:spacing w:after="0"/>
              <w:rPr>
                <w:sz w:val="1"/>
                <w:szCs w:val="1"/>
                <w:color w:val="auto"/>
              </w:rPr>
            </w:pPr>
          </w:p>
        </w:tc>
      </w:tr>
      <w:tr>
        <w:trPr>
          <w:trHeight w:val="675"/>
        </w:trPr>
        <w:tc>
          <w:tcPr>
            <w:tcW w:w="37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50" w:name="page51"/>
    <w:bookmarkEnd w:id="50"/>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51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 to Schedule 13G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Powers of Attorney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w:t>
            </w:r>
          </w:p>
        </w:tc>
        <w:tc>
          <w:tcPr>
            <w:tcW w:w="10680" w:type="dxa"/>
            <w:vAlign w:val="bottom"/>
          </w:tcPr>
          <w:p>
            <w:pPr>
              <w:ind w:left="420"/>
              <w:spacing w:after="0"/>
              <w:rPr>
                <w:sz w:val="20"/>
                <w:szCs w:val="20"/>
                <w:color w:val="auto"/>
              </w:rPr>
            </w:pPr>
            <w:r>
              <w:rPr>
                <w:rFonts w:ascii="Arial" w:cs="Arial" w:eastAsia="Arial" w:hAnsi="Arial"/>
                <w:sz w:val="18"/>
                <w:szCs w:val="18"/>
                <w:color w:val="auto"/>
              </w:rPr>
              <w:t>Arnueld Limited</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w:t>
            </w:r>
          </w:p>
        </w:tc>
        <w:tc>
          <w:tcPr>
            <w:tcW w:w="10680" w:type="dxa"/>
            <w:vAlign w:val="bottom"/>
          </w:tcPr>
          <w:p>
            <w:pPr>
              <w:ind w:left="420"/>
              <w:spacing w:after="0"/>
              <w:rPr>
                <w:sz w:val="20"/>
                <w:szCs w:val="20"/>
                <w:color w:val="auto"/>
              </w:rPr>
            </w:pPr>
            <w:r>
              <w:rPr>
                <w:rFonts w:ascii="Arial" w:cs="Arial" w:eastAsia="Arial" w:hAnsi="Arial"/>
                <w:sz w:val="18"/>
                <w:szCs w:val="18"/>
                <w:color w:val="auto"/>
              </w:rPr>
              <w:t>Ursula Martina Bernard Valderrama</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D3</w:t>
            </w:r>
          </w:p>
        </w:tc>
        <w:tc>
          <w:tcPr>
            <w:tcW w:w="10680" w:type="dxa"/>
            <w:vAlign w:val="bottom"/>
          </w:tcPr>
          <w:p>
            <w:pPr>
              <w:ind w:left="420"/>
              <w:spacing w:after="0"/>
              <w:rPr>
                <w:sz w:val="20"/>
                <w:szCs w:val="20"/>
                <w:color w:val="auto"/>
              </w:rPr>
            </w:pPr>
            <w:r>
              <w:rPr>
                <w:rFonts w:ascii="Arial" w:cs="Arial" w:eastAsia="Arial" w:hAnsi="Arial"/>
                <w:sz w:val="18"/>
                <w:szCs w:val="18"/>
                <w:color w:val="auto"/>
              </w:rPr>
              <w:t>Birmingham Merchant S.A.</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D4</w:t>
            </w:r>
          </w:p>
        </w:tc>
        <w:tc>
          <w:tcPr>
            <w:tcW w:w="10680" w:type="dxa"/>
            <w:vAlign w:val="bottom"/>
          </w:tcPr>
          <w:p>
            <w:pPr>
              <w:ind w:left="420"/>
              <w:spacing w:after="0"/>
              <w:rPr>
                <w:sz w:val="20"/>
                <w:szCs w:val="20"/>
                <w:color w:val="auto"/>
              </w:rPr>
            </w:pPr>
            <w:r>
              <w:rPr>
                <w:rFonts w:ascii="Arial" w:cs="Arial" w:eastAsia="Arial" w:hAnsi="Arial"/>
                <w:sz w:val="18"/>
                <w:szCs w:val="18"/>
                <w:color w:val="auto"/>
              </w:rPr>
              <w:t>Cernical Group S.A.</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D5</w:t>
            </w:r>
          </w:p>
        </w:tc>
        <w:tc>
          <w:tcPr>
            <w:tcW w:w="10680" w:type="dxa"/>
            <w:vAlign w:val="bottom"/>
          </w:tcPr>
          <w:p>
            <w:pPr>
              <w:ind w:left="420"/>
              <w:spacing w:after="0"/>
              <w:rPr>
                <w:sz w:val="20"/>
                <w:szCs w:val="20"/>
                <w:color w:val="auto"/>
              </w:rPr>
            </w:pPr>
            <w:r>
              <w:rPr>
                <w:rFonts w:ascii="Arial" w:cs="Arial" w:eastAsia="Arial" w:hAnsi="Arial"/>
                <w:sz w:val="18"/>
                <w:szCs w:val="18"/>
                <w:color w:val="auto"/>
              </w:rPr>
              <w:t>Fideicomiso Solmar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D6</w:t>
            </w:r>
          </w:p>
        </w:tc>
        <w:tc>
          <w:tcPr>
            <w:tcW w:w="10680" w:type="dxa"/>
            <w:vAlign w:val="bottom"/>
          </w:tcPr>
          <w:p>
            <w:pPr>
              <w:ind w:left="420"/>
              <w:spacing w:after="0"/>
              <w:rPr>
                <w:sz w:val="20"/>
                <w:szCs w:val="20"/>
                <w:color w:val="auto"/>
              </w:rPr>
            </w:pPr>
            <w:r>
              <w:rPr>
                <w:rFonts w:ascii="Arial" w:cs="Arial" w:eastAsia="Arial" w:hAnsi="Arial"/>
                <w:sz w:val="18"/>
                <w:szCs w:val="18"/>
                <w:color w:val="auto"/>
              </w:rPr>
              <w:t>Grupo Rosta Internacional</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D7</w:t>
            </w:r>
          </w:p>
        </w:tc>
        <w:tc>
          <w:tcPr>
            <w:tcW w:w="10680" w:type="dxa"/>
            <w:vAlign w:val="bottom"/>
          </w:tcPr>
          <w:p>
            <w:pPr>
              <w:ind w:left="420"/>
              <w:spacing w:after="0"/>
              <w:rPr>
                <w:sz w:val="20"/>
                <w:szCs w:val="20"/>
                <w:color w:val="auto"/>
              </w:rPr>
            </w:pPr>
            <w:r>
              <w:rPr>
                <w:rFonts w:ascii="Arial" w:cs="Arial" w:eastAsia="Arial" w:hAnsi="Arial"/>
                <w:sz w:val="18"/>
                <w:szCs w:val="18"/>
                <w:color w:val="auto"/>
              </w:rPr>
              <w:t>Ana Silvia Guzman Portilla de Romero</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D8</w:t>
            </w:r>
          </w:p>
        </w:tc>
        <w:tc>
          <w:tcPr>
            <w:tcW w:w="10680" w:type="dxa"/>
            <w:vAlign w:val="bottom"/>
          </w:tcPr>
          <w:p>
            <w:pPr>
              <w:ind w:left="420"/>
              <w:spacing w:after="0"/>
              <w:rPr>
                <w:sz w:val="20"/>
                <w:szCs w:val="20"/>
                <w:color w:val="auto"/>
              </w:rPr>
            </w:pPr>
            <w:r>
              <w:rPr>
                <w:rFonts w:ascii="Arial" w:cs="Arial" w:eastAsia="Arial" w:hAnsi="Arial"/>
                <w:sz w:val="18"/>
                <w:szCs w:val="18"/>
                <w:color w:val="auto"/>
              </w:rPr>
              <w:t>Rosalina María Helguero Romero</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D9</w:t>
            </w:r>
          </w:p>
        </w:tc>
        <w:tc>
          <w:tcPr>
            <w:tcW w:w="10680" w:type="dxa"/>
            <w:vAlign w:val="bottom"/>
          </w:tcPr>
          <w:p>
            <w:pPr>
              <w:ind w:left="420"/>
              <w:spacing w:after="0"/>
              <w:rPr>
                <w:sz w:val="20"/>
                <w:szCs w:val="20"/>
                <w:color w:val="auto"/>
              </w:rPr>
            </w:pPr>
            <w:r>
              <w:rPr>
                <w:rFonts w:ascii="Arial" w:cs="Arial" w:eastAsia="Arial" w:hAnsi="Arial"/>
                <w:sz w:val="18"/>
                <w:szCs w:val="18"/>
                <w:color w:val="auto"/>
              </w:rPr>
              <w:t>High Inter Projects, Corp.</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D10</w:t>
            </w:r>
          </w:p>
        </w:tc>
        <w:tc>
          <w:tcPr>
            <w:tcW w:w="10680" w:type="dxa"/>
            <w:vAlign w:val="bottom"/>
          </w:tcPr>
          <w:p>
            <w:pPr>
              <w:ind w:left="420"/>
              <w:spacing w:after="0"/>
              <w:rPr>
                <w:sz w:val="20"/>
                <w:szCs w:val="20"/>
                <w:color w:val="auto"/>
              </w:rPr>
            </w:pPr>
            <w:r>
              <w:rPr>
                <w:rFonts w:ascii="Arial" w:cs="Arial" w:eastAsia="Arial" w:hAnsi="Arial"/>
                <w:sz w:val="18"/>
                <w:szCs w:val="18"/>
                <w:color w:val="auto"/>
              </w:rPr>
              <w:t>Teresa Holder de Onrubia</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D11</w:t>
            </w:r>
          </w:p>
        </w:tc>
        <w:tc>
          <w:tcPr>
            <w:tcW w:w="10680" w:type="dxa"/>
            <w:vAlign w:val="bottom"/>
          </w:tcPr>
          <w:p>
            <w:pPr>
              <w:ind w:left="420"/>
              <w:spacing w:after="0"/>
              <w:rPr>
                <w:sz w:val="20"/>
                <w:szCs w:val="20"/>
                <w:color w:val="auto"/>
              </w:rPr>
            </w:pPr>
            <w:r>
              <w:rPr>
                <w:rFonts w:ascii="Arial" w:cs="Arial" w:eastAsia="Arial" w:hAnsi="Arial"/>
                <w:sz w:val="18"/>
                <w:szCs w:val="18"/>
                <w:color w:val="auto"/>
              </w:rPr>
              <w:t>Inversiones Casa Real</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D12</w:t>
            </w:r>
          </w:p>
        </w:tc>
        <w:tc>
          <w:tcPr>
            <w:tcW w:w="10680" w:type="dxa"/>
            <w:vAlign w:val="bottom"/>
          </w:tcPr>
          <w:p>
            <w:pPr>
              <w:ind w:left="420"/>
              <w:spacing w:after="0"/>
              <w:rPr>
                <w:sz w:val="20"/>
                <w:szCs w:val="20"/>
                <w:color w:val="auto"/>
              </w:rPr>
            </w:pPr>
            <w:r>
              <w:rPr>
                <w:rFonts w:ascii="Arial" w:cs="Arial" w:eastAsia="Arial" w:hAnsi="Arial"/>
                <w:sz w:val="18"/>
                <w:szCs w:val="18"/>
                <w:color w:val="auto"/>
              </w:rPr>
              <w:t>Inversiones Piuranas, S.A.</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D13</w:t>
            </w:r>
          </w:p>
        </w:tc>
        <w:tc>
          <w:tcPr>
            <w:tcW w:w="10680" w:type="dxa"/>
            <w:vAlign w:val="bottom"/>
          </w:tcPr>
          <w:p>
            <w:pPr>
              <w:ind w:left="420"/>
              <w:spacing w:after="0"/>
              <w:rPr>
                <w:sz w:val="20"/>
                <w:szCs w:val="20"/>
                <w:color w:val="auto"/>
              </w:rPr>
            </w:pPr>
            <w:r>
              <w:rPr>
                <w:rFonts w:ascii="Arial" w:cs="Arial" w:eastAsia="Arial" w:hAnsi="Arial"/>
                <w:sz w:val="18"/>
                <w:szCs w:val="18"/>
                <w:color w:val="auto"/>
              </w:rPr>
              <w:t>La Roncadora S.A.</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D14</w:t>
            </w:r>
          </w:p>
        </w:tc>
        <w:tc>
          <w:tcPr>
            <w:tcW w:w="10680" w:type="dxa"/>
            <w:vAlign w:val="bottom"/>
          </w:tcPr>
          <w:p>
            <w:pPr>
              <w:ind w:left="420"/>
              <w:spacing w:after="0"/>
              <w:rPr>
                <w:sz w:val="20"/>
                <w:szCs w:val="20"/>
                <w:color w:val="auto"/>
              </w:rPr>
            </w:pPr>
            <w:r>
              <w:rPr>
                <w:rFonts w:ascii="Arial" w:cs="Arial" w:eastAsia="Arial" w:hAnsi="Arial"/>
                <w:sz w:val="18"/>
                <w:szCs w:val="18"/>
                <w:color w:val="auto"/>
              </w:rPr>
              <w:t>Eduardo Victoriano Onrubia Holder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D15</w:t>
            </w:r>
          </w:p>
        </w:tc>
        <w:tc>
          <w:tcPr>
            <w:tcW w:w="10680" w:type="dxa"/>
            <w:vAlign w:val="bottom"/>
          </w:tcPr>
          <w:p>
            <w:pPr>
              <w:ind w:left="420"/>
              <w:spacing w:after="0"/>
              <w:rPr>
                <w:sz w:val="20"/>
                <w:szCs w:val="20"/>
                <w:color w:val="auto"/>
              </w:rPr>
            </w:pPr>
            <w:r>
              <w:rPr>
                <w:rFonts w:ascii="Arial" w:cs="Arial" w:eastAsia="Arial" w:hAnsi="Arial"/>
                <w:sz w:val="18"/>
                <w:szCs w:val="18"/>
                <w:color w:val="auto"/>
              </w:rPr>
              <w:t>José Antonio Onrubia Holder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D16</w:t>
            </w:r>
          </w:p>
        </w:tc>
        <w:tc>
          <w:tcPr>
            <w:tcW w:w="10680" w:type="dxa"/>
            <w:vAlign w:val="bottom"/>
          </w:tcPr>
          <w:p>
            <w:pPr>
              <w:ind w:left="420"/>
              <w:spacing w:after="0"/>
              <w:rPr>
                <w:sz w:val="20"/>
                <w:szCs w:val="20"/>
                <w:color w:val="auto"/>
              </w:rPr>
            </w:pPr>
            <w:r>
              <w:rPr>
                <w:rFonts w:ascii="Arial" w:cs="Arial" w:eastAsia="Arial" w:hAnsi="Arial"/>
                <w:sz w:val="18"/>
                <w:szCs w:val="18"/>
                <w:color w:val="auto"/>
              </w:rPr>
              <w:t>Luis Fernando Martin Onrubia Holder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D17</w:t>
            </w:r>
          </w:p>
        </w:tc>
        <w:tc>
          <w:tcPr>
            <w:tcW w:w="10680" w:type="dxa"/>
            <w:vAlign w:val="bottom"/>
          </w:tcPr>
          <w:p>
            <w:pPr>
              <w:ind w:left="420"/>
              <w:spacing w:after="0"/>
              <w:rPr>
                <w:sz w:val="20"/>
                <w:szCs w:val="20"/>
                <w:color w:val="auto"/>
              </w:rPr>
            </w:pPr>
            <w:r>
              <w:rPr>
                <w:rFonts w:ascii="Arial" w:cs="Arial" w:eastAsia="Arial" w:hAnsi="Arial"/>
                <w:sz w:val="18"/>
                <w:szCs w:val="18"/>
                <w:color w:val="auto"/>
              </w:rPr>
              <w:t>Maria Inmaculada Onrubia Holder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D18</w:t>
            </w:r>
          </w:p>
        </w:tc>
        <w:tc>
          <w:tcPr>
            <w:tcW w:w="10680" w:type="dxa"/>
            <w:vAlign w:val="bottom"/>
          </w:tcPr>
          <w:p>
            <w:pPr>
              <w:ind w:left="420"/>
              <w:spacing w:after="0"/>
              <w:rPr>
                <w:sz w:val="20"/>
                <w:szCs w:val="20"/>
                <w:color w:val="auto"/>
              </w:rPr>
            </w:pPr>
            <w:r>
              <w:rPr>
                <w:rFonts w:ascii="Arial" w:cs="Arial" w:eastAsia="Arial" w:hAnsi="Arial"/>
                <w:sz w:val="18"/>
                <w:szCs w:val="18"/>
                <w:color w:val="auto"/>
              </w:rPr>
              <w:t>Patrimonio Fideicometido Angolo</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D19</w:t>
            </w:r>
          </w:p>
        </w:tc>
        <w:tc>
          <w:tcPr>
            <w:tcW w:w="10680" w:type="dxa"/>
            <w:vAlign w:val="bottom"/>
          </w:tcPr>
          <w:p>
            <w:pPr>
              <w:ind w:left="420"/>
              <w:spacing w:after="0"/>
              <w:rPr>
                <w:sz w:val="20"/>
                <w:szCs w:val="20"/>
                <w:color w:val="auto"/>
              </w:rPr>
            </w:pPr>
            <w:r>
              <w:rPr>
                <w:rFonts w:ascii="Arial" w:cs="Arial" w:eastAsia="Arial" w:hAnsi="Arial"/>
                <w:sz w:val="18"/>
                <w:szCs w:val="18"/>
                <w:color w:val="auto"/>
              </w:rPr>
              <w:t>Reverades Holding Inc.</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D20</w:t>
            </w:r>
          </w:p>
        </w:tc>
        <w:tc>
          <w:tcPr>
            <w:tcW w:w="10680" w:type="dxa"/>
            <w:vAlign w:val="bottom"/>
          </w:tcPr>
          <w:p>
            <w:pPr>
              <w:ind w:left="420"/>
              <w:spacing w:after="0"/>
              <w:rPr>
                <w:sz w:val="20"/>
                <w:szCs w:val="20"/>
                <w:color w:val="auto"/>
              </w:rPr>
            </w:pPr>
            <w:r>
              <w:rPr>
                <w:rFonts w:ascii="Arial" w:cs="Arial" w:eastAsia="Arial" w:hAnsi="Arial"/>
                <w:sz w:val="18"/>
                <w:szCs w:val="18"/>
                <w:color w:val="auto"/>
              </w:rPr>
              <w:t>Rittenhouse Capital Ltd.</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D21</w:t>
            </w:r>
          </w:p>
        </w:tc>
        <w:tc>
          <w:tcPr>
            <w:tcW w:w="10680" w:type="dxa"/>
            <w:vAlign w:val="bottom"/>
          </w:tcPr>
          <w:p>
            <w:pPr>
              <w:ind w:left="420"/>
              <w:spacing w:after="0"/>
              <w:rPr>
                <w:sz w:val="20"/>
                <w:szCs w:val="20"/>
                <w:color w:val="auto"/>
              </w:rPr>
            </w:pPr>
            <w:r>
              <w:rPr>
                <w:rFonts w:ascii="Arial" w:cs="Arial" w:eastAsia="Arial" w:hAnsi="Arial"/>
                <w:sz w:val="18"/>
                <w:szCs w:val="18"/>
                <w:color w:val="auto"/>
              </w:rPr>
              <w:t>Alfredo Romero Belismelis</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D22</w:t>
            </w:r>
          </w:p>
        </w:tc>
        <w:tc>
          <w:tcPr>
            <w:tcW w:w="10680" w:type="dxa"/>
            <w:vAlign w:val="bottom"/>
          </w:tcPr>
          <w:p>
            <w:pPr>
              <w:ind w:left="420"/>
              <w:spacing w:after="0"/>
              <w:rPr>
                <w:sz w:val="20"/>
                <w:szCs w:val="20"/>
                <w:color w:val="auto"/>
              </w:rPr>
            </w:pPr>
            <w:r>
              <w:rPr>
                <w:rFonts w:ascii="Arial" w:cs="Arial" w:eastAsia="Arial" w:hAnsi="Arial"/>
                <w:sz w:val="18"/>
                <w:szCs w:val="18"/>
                <w:color w:val="auto"/>
              </w:rPr>
              <w:t>Fernando Romero Belismelis</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D23</w:t>
            </w:r>
          </w:p>
        </w:tc>
        <w:tc>
          <w:tcPr>
            <w:tcW w:w="10680" w:type="dxa"/>
            <w:vAlign w:val="bottom"/>
          </w:tcPr>
          <w:p>
            <w:pPr>
              <w:ind w:left="420"/>
              <w:spacing w:after="0"/>
              <w:rPr>
                <w:sz w:val="20"/>
                <w:szCs w:val="20"/>
                <w:color w:val="auto"/>
              </w:rPr>
            </w:pPr>
            <w:r>
              <w:rPr>
                <w:rFonts w:ascii="Arial" w:cs="Arial" w:eastAsia="Arial" w:hAnsi="Arial"/>
                <w:sz w:val="18"/>
                <w:szCs w:val="18"/>
                <w:color w:val="auto"/>
              </w:rPr>
              <w:t>Jose Roberto Romero Belismelis</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D24</w:t>
            </w:r>
          </w:p>
        </w:tc>
        <w:tc>
          <w:tcPr>
            <w:tcW w:w="10680" w:type="dxa"/>
            <w:vAlign w:val="bottom"/>
          </w:tcPr>
          <w:p>
            <w:pPr>
              <w:ind w:left="420"/>
              <w:spacing w:after="0"/>
              <w:rPr>
                <w:sz w:val="20"/>
                <w:szCs w:val="20"/>
                <w:color w:val="auto"/>
              </w:rPr>
            </w:pPr>
            <w:r>
              <w:rPr>
                <w:rFonts w:ascii="Arial" w:cs="Arial" w:eastAsia="Arial" w:hAnsi="Arial"/>
                <w:sz w:val="18"/>
                <w:szCs w:val="18"/>
                <w:color w:val="auto"/>
              </w:rPr>
              <w:t>Luis Romero Belismelis</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D25</w:t>
            </w:r>
          </w:p>
        </w:tc>
        <w:tc>
          <w:tcPr>
            <w:tcW w:w="10680" w:type="dxa"/>
            <w:vAlign w:val="bottom"/>
          </w:tcPr>
          <w:p>
            <w:pPr>
              <w:ind w:left="420"/>
              <w:spacing w:after="0"/>
              <w:rPr>
                <w:sz w:val="20"/>
                <w:szCs w:val="20"/>
                <w:color w:val="auto"/>
              </w:rPr>
            </w:pPr>
            <w:r>
              <w:rPr>
                <w:rFonts w:ascii="Arial" w:cs="Arial" w:eastAsia="Arial" w:hAnsi="Arial"/>
                <w:sz w:val="18"/>
                <w:szCs w:val="18"/>
                <w:color w:val="auto"/>
              </w:rPr>
              <w:t>Manuel Antonio Romero Belismelis</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D26</w:t>
            </w:r>
          </w:p>
        </w:tc>
        <w:tc>
          <w:tcPr>
            <w:tcW w:w="10680" w:type="dxa"/>
            <w:vAlign w:val="bottom"/>
          </w:tcPr>
          <w:p>
            <w:pPr>
              <w:ind w:left="420"/>
              <w:spacing w:after="0"/>
              <w:rPr>
                <w:sz w:val="20"/>
                <w:szCs w:val="20"/>
                <w:color w:val="auto"/>
              </w:rPr>
            </w:pPr>
            <w:r>
              <w:rPr>
                <w:rFonts w:ascii="Arial" w:cs="Arial" w:eastAsia="Arial" w:hAnsi="Arial"/>
                <w:sz w:val="18"/>
                <w:szCs w:val="18"/>
                <w:color w:val="auto"/>
              </w:rPr>
              <w:t>Calixto Romero Guzmán</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D27</w:t>
            </w:r>
          </w:p>
        </w:tc>
        <w:tc>
          <w:tcPr>
            <w:tcW w:w="10680" w:type="dxa"/>
            <w:vAlign w:val="bottom"/>
          </w:tcPr>
          <w:p>
            <w:pPr>
              <w:ind w:left="420"/>
              <w:spacing w:after="0"/>
              <w:rPr>
                <w:sz w:val="20"/>
                <w:szCs w:val="20"/>
                <w:color w:val="auto"/>
              </w:rPr>
            </w:pPr>
            <w:r>
              <w:rPr>
                <w:rFonts w:ascii="Arial" w:cs="Arial" w:eastAsia="Arial" w:hAnsi="Arial"/>
                <w:sz w:val="18"/>
                <w:szCs w:val="18"/>
                <w:color w:val="auto"/>
              </w:rPr>
              <w:t>Ana Maria Romero Paoletti de Sacchi</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D28</w:t>
            </w:r>
          </w:p>
        </w:tc>
        <w:tc>
          <w:tcPr>
            <w:tcW w:w="10680" w:type="dxa"/>
            <w:vAlign w:val="bottom"/>
          </w:tcPr>
          <w:p>
            <w:pPr>
              <w:ind w:left="420"/>
              <w:spacing w:after="0"/>
              <w:rPr>
                <w:sz w:val="20"/>
                <w:szCs w:val="20"/>
                <w:color w:val="auto"/>
              </w:rPr>
            </w:pPr>
            <w:r>
              <w:rPr>
                <w:rFonts w:ascii="Arial" w:cs="Arial" w:eastAsia="Arial" w:hAnsi="Arial"/>
                <w:sz w:val="18"/>
                <w:szCs w:val="18"/>
                <w:color w:val="auto"/>
              </w:rPr>
              <w:t>Calixto Romero Seminario</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D29</w:t>
            </w:r>
          </w:p>
        </w:tc>
        <w:tc>
          <w:tcPr>
            <w:tcW w:w="10680" w:type="dxa"/>
            <w:vAlign w:val="bottom"/>
          </w:tcPr>
          <w:p>
            <w:pPr>
              <w:ind w:left="420"/>
              <w:spacing w:after="0"/>
              <w:rPr>
                <w:sz w:val="20"/>
                <w:szCs w:val="20"/>
                <w:color w:val="auto"/>
              </w:rPr>
            </w:pPr>
            <w:r>
              <w:rPr>
                <w:rFonts w:ascii="Arial" w:cs="Arial" w:eastAsia="Arial" w:hAnsi="Arial"/>
                <w:sz w:val="18"/>
                <w:szCs w:val="18"/>
                <w:color w:val="auto"/>
              </w:rPr>
              <w:t>Dionisio Romero Seminario</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D30</w:t>
            </w:r>
          </w:p>
        </w:tc>
        <w:tc>
          <w:tcPr>
            <w:tcW w:w="10680" w:type="dxa"/>
            <w:vAlign w:val="bottom"/>
          </w:tcPr>
          <w:p>
            <w:pPr>
              <w:ind w:left="420"/>
              <w:spacing w:after="0"/>
              <w:rPr>
                <w:sz w:val="20"/>
                <w:szCs w:val="20"/>
                <w:color w:val="auto"/>
              </w:rPr>
            </w:pPr>
            <w:r>
              <w:rPr>
                <w:rFonts w:ascii="Arial" w:cs="Arial" w:eastAsia="Arial" w:hAnsi="Arial"/>
                <w:sz w:val="18"/>
                <w:szCs w:val="18"/>
                <w:color w:val="auto"/>
              </w:rPr>
              <w:t>Rubyfield Investments Ltd.</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D31</w:t>
            </w:r>
          </w:p>
        </w:tc>
        <w:tc>
          <w:tcPr>
            <w:tcW w:w="10680" w:type="dxa"/>
            <w:vAlign w:val="bottom"/>
          </w:tcPr>
          <w:p>
            <w:pPr>
              <w:ind w:left="420"/>
              <w:spacing w:after="0"/>
              <w:rPr>
                <w:sz w:val="20"/>
                <w:szCs w:val="20"/>
                <w:color w:val="auto"/>
              </w:rPr>
            </w:pPr>
            <w:r>
              <w:rPr>
                <w:rFonts w:ascii="Arial" w:cs="Arial" w:eastAsia="Arial" w:hAnsi="Arial"/>
                <w:sz w:val="18"/>
                <w:szCs w:val="18"/>
                <w:color w:val="auto"/>
              </w:rPr>
              <w:t>Paolo Mario Sacchi Giurato</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D32</w:t>
            </w:r>
          </w:p>
        </w:tc>
        <w:tc>
          <w:tcPr>
            <w:tcW w:w="10680" w:type="dxa"/>
            <w:vAlign w:val="bottom"/>
          </w:tcPr>
          <w:p>
            <w:pPr>
              <w:ind w:left="420"/>
              <w:spacing w:after="0"/>
              <w:rPr>
                <w:sz w:val="20"/>
                <w:szCs w:val="20"/>
                <w:color w:val="auto"/>
              </w:rPr>
            </w:pPr>
            <w:r>
              <w:rPr>
                <w:rFonts w:ascii="Arial" w:cs="Arial" w:eastAsia="Arial" w:hAnsi="Arial"/>
                <w:sz w:val="18"/>
                <w:szCs w:val="18"/>
                <w:color w:val="auto"/>
              </w:rPr>
              <w:t>Tech American Enterprises Inc.</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D33</w:t>
            </w:r>
          </w:p>
        </w:tc>
        <w:tc>
          <w:tcPr>
            <w:tcW w:w="10680" w:type="dxa"/>
            <w:vAlign w:val="bottom"/>
          </w:tcPr>
          <w:p>
            <w:pPr>
              <w:ind w:left="420"/>
              <w:spacing w:after="0"/>
              <w:rPr>
                <w:sz w:val="20"/>
                <w:szCs w:val="20"/>
                <w:color w:val="auto"/>
              </w:rPr>
            </w:pPr>
            <w:r>
              <w:rPr>
                <w:rFonts w:ascii="Arial" w:cs="Arial" w:eastAsia="Arial" w:hAnsi="Arial"/>
                <w:sz w:val="18"/>
                <w:szCs w:val="18"/>
                <w:color w:val="auto"/>
              </w:rPr>
              <w:t>Urigeler International S.A.</w:t>
            </w:r>
          </w:p>
        </w:tc>
      </w:tr>
      <w:tr>
        <w:trPr>
          <w:trHeight w:val="675"/>
        </w:trPr>
        <w:tc>
          <w:tcPr>
            <w:tcW w:w="740" w:type="dxa"/>
            <w:vAlign w:val="bottom"/>
            <w:tcBorders>
              <w:bottom w:val="single" w:sz="8" w:color="auto"/>
            </w:tcBorders>
          </w:tcPr>
          <w:p>
            <w:pPr>
              <w:spacing w:after="0"/>
              <w:rPr>
                <w:sz w:val="24"/>
                <w:szCs w:val="24"/>
                <w:color w:val="auto"/>
              </w:rPr>
            </w:pPr>
          </w:p>
        </w:tc>
        <w:tc>
          <w:tcPr>
            <w:tcW w:w="10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1" w:name="page52"/>
    <w:bookmarkEnd w:id="51"/>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52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undersigned, Arnueld Limited, the principal business address of which is Nevis,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ARNUELD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Manuel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Manuel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2" w:name="page53"/>
    <w:bookmarkEnd w:id="52"/>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53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The undersigned, Ursula Martina Bernard Valderrama, an individual whose address is </w:t>
      </w:r>
      <w:r>
        <w:rPr>
          <w:rFonts w:ascii="Arial" w:cs="Arial" w:eastAsia="Arial" w:hAnsi="Arial"/>
          <w:sz w:val="18"/>
          <w:szCs w:val="18"/>
          <w:color w:val="29292A"/>
        </w:rPr>
        <w:t>Calle Once 286, Rinconada Baja, La Molina, Lima -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Ursula Martina Bernard Valderrama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Ursula Martina Bernard Valderrama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5715</wp:posOffset>
            </wp:positionV>
            <wp:extent cx="32588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54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D.3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undersigned, Birmingham Merchant S.A., the principal business address of which is Scotia Plaza No 18, Avenida Federico Boyd y Calle 51, pisos 9,1 0 y 11, Panamá,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BIRMINGHAM MERCHANT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Paoletti</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Dionisio Romero Paoletti</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426"/>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4" w:name="page55"/>
    <w:bookmarkEnd w:id="54"/>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55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D.4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undersigned, Cernical Group S.A., the principal business address of which is Av. Argentina 4793, Carmen de la Legua Reynoso, Callao,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CERNICAL GROUP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Alfredo Perez Gubbins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Alfredo Perez Gubbins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5" w:name="page56"/>
    <w:bookmarkEnd w:id="55"/>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56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D.5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undersigned, Fideicomiso Solmar, the principal business address of which is Av. El Derby 055, Torre 4, Piso 10, Santiago de Surco, Lima,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FIDEICOMISO SOLMAR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María Inmaculada Onrubia Holder</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María Inmaculada Onrubia Holder</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6" w:name="page57"/>
    <w:bookmarkEnd w:id="56"/>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57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D.6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undersigned, Grupo Rosta Internacional, the principal business address of which is Calle 50 y 74 San Francisco P.H. 909, Pisos 15 y 16, Panamá,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GRUPO ROSTA INTERNACIONAL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Alfredo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Alfredo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7" w:name="page58"/>
    <w:bookmarkEnd w:id="57"/>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58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D.7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The undersigned, Ana Silvia Guzman Portilla de Romero, an individual whose address is </w:t>
      </w:r>
      <w:r>
        <w:rPr>
          <w:rFonts w:ascii="Arial" w:cs="Arial" w:eastAsia="Arial" w:hAnsi="Arial"/>
          <w:sz w:val="18"/>
          <w:szCs w:val="18"/>
          <w:color w:val="29292A"/>
        </w:rPr>
        <w:t>Calle Estados Unidos 720, Jesús María,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Ana Silvia Guzman Portilla de Romero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Ana Silvia Guzman Portilla de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59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D.8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The undersigned, Rosalina María Helguero Romero, an individual whose address is </w:t>
      </w:r>
      <w:r>
        <w:rPr>
          <w:rFonts w:ascii="Arial" w:cs="Arial" w:eastAsia="Arial" w:hAnsi="Arial"/>
          <w:sz w:val="18"/>
          <w:szCs w:val="18"/>
          <w:color w:val="29292A"/>
        </w:rPr>
        <w:t>Av Aurelio Miró Quesada 744, Piso 6, San Isidro,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Rosalina María Helguero Romero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Rosalina María Helguero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60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D.9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undersigned, High Inter Projects Corp., the principal business address of which is Scotia Plaza No 18, Avenida Federico Boyd y Calle 51, pisos 9,1 0 y 11, Panamá,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HIGH INTER PROJECTS 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Paoletti</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Dionisio Romero Paoletti</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426"/>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0" w:name="page61"/>
    <w:bookmarkEnd w:id="60"/>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61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D.10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undersigned, Teresa Holder de Onrubia, an individual whose address is Lima-Perú,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6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Teresa Holder de Onrubia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Teresa Holder de Onrubia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62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D.11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undersigned, Inversiones Casa Real, the principal business address of which is Calle 50 y 74 San Francisco P.H. 909, Pisos 15 y 16, Panamá,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INVERSIONES CASA REAL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2" w:name="page63"/>
    <w:bookmarkEnd w:id="62"/>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63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D.12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undersigned, Inversiones Piuranas, S.A., the principal business address of which is Av. Circunvalación Golf Los Inkas 134, Piso 13, Santiago de Surco, Lima, Perú,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INVERSIONES PIURANAS,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Marco Peschiera Fernández</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Marco Peschiera Fernández</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3" w:name="page64"/>
    <w:bookmarkEnd w:id="63"/>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64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D.13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undersigned, La Roncadora S.A., the principal business address of which is Panamá,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 RONCADORA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 Antonio Onrubia Holder</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Jose Antonio Onrubia Holder</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4" w:name="page65"/>
    <w:bookmarkEnd w:id="64"/>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65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D.14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The undersigned, Eduardo Victoriano Onrubia Holder, an individual whose address is </w:t>
      </w:r>
      <w:r>
        <w:rPr>
          <w:rFonts w:ascii="Arial" w:cs="Arial" w:eastAsia="Arial" w:hAnsi="Arial"/>
          <w:sz w:val="17"/>
          <w:szCs w:val="17"/>
          <w:color w:val="29292A"/>
        </w:rPr>
        <w:t>Jr. Flor de Roca177, Urbanización Casuarinas, Santiago de</w:t>
      </w:r>
      <w:r>
        <w:rPr>
          <w:rFonts w:ascii="Arial" w:cs="Arial" w:eastAsia="Arial" w:hAnsi="Arial"/>
          <w:sz w:val="17"/>
          <w:szCs w:val="17"/>
          <w:color w:val="auto"/>
        </w:rPr>
        <w:t xml:space="preserve"> </w:t>
      </w:r>
      <w:r>
        <w:rPr>
          <w:rFonts w:ascii="Arial" w:cs="Arial" w:eastAsia="Arial" w:hAnsi="Arial"/>
          <w:sz w:val="17"/>
          <w:szCs w:val="17"/>
          <w:color w:val="29292A"/>
        </w:rPr>
        <w:t xml:space="preserve">Surco, Lima, Perú, </w:t>
      </w:r>
      <w:r>
        <w:rPr>
          <w:rFonts w:ascii="Arial" w:cs="Arial" w:eastAsia="Arial" w:hAnsi="Arial"/>
          <w:sz w:val="17"/>
          <w:szCs w:val="17"/>
          <w:color w:val="000000"/>
        </w:rPr>
        <w:t>does hereby appoint Dionisio Romero Paoletti, whose address is Calle Centenario 156, Las Laderas de Melgarejo, La Molina, Lima 12,</w:t>
      </w:r>
      <w:r>
        <w:rPr>
          <w:rFonts w:ascii="Arial" w:cs="Arial" w:eastAsia="Arial" w:hAnsi="Arial"/>
          <w:sz w:val="17"/>
          <w:szCs w:val="17"/>
          <w:color w:val="29292A"/>
        </w:rPr>
        <w:t xml:space="preserve"> </w:t>
      </w:r>
      <w:r>
        <w:rPr>
          <w:rFonts w:ascii="Arial" w:cs="Arial" w:eastAsia="Arial" w:hAnsi="Arial"/>
          <w:sz w:val="17"/>
          <w:szCs w:val="17"/>
          <w:color w:val="000000"/>
        </w:rPr>
        <w:t>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Eduardo Victoriano Onrubia Holder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Eduardo Victoriano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66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D.15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undersigned, José Antonio Onrubia Holder, an individual whose address is Av. Circunvalación Golf Los Inkas 134, Piso 12, Santiago de Surco, Lima, Perú,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José Antonio Onrubia Holder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José Antonio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67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D.16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The undersigned, Luis Fernando Martin Onrubia Holder, an individual whose address is </w:t>
      </w:r>
      <w:r>
        <w:rPr>
          <w:rFonts w:ascii="Arial" w:cs="Arial" w:eastAsia="Arial" w:hAnsi="Arial"/>
          <w:sz w:val="17"/>
          <w:szCs w:val="17"/>
          <w:color w:val="29292A"/>
        </w:rPr>
        <w:t>Calle El Picacho 140, Urbanización La Planicie, La Molina,</w:t>
      </w:r>
      <w:r>
        <w:rPr>
          <w:rFonts w:ascii="Arial" w:cs="Arial" w:eastAsia="Arial" w:hAnsi="Arial"/>
          <w:sz w:val="17"/>
          <w:szCs w:val="17"/>
          <w:color w:val="auto"/>
        </w:rPr>
        <w:t xml:space="preserve"> </w:t>
      </w:r>
      <w:r>
        <w:rPr>
          <w:rFonts w:ascii="Arial" w:cs="Arial" w:eastAsia="Arial" w:hAnsi="Arial"/>
          <w:sz w:val="17"/>
          <w:szCs w:val="17"/>
          <w:color w:val="29292A"/>
        </w:rPr>
        <w:t xml:space="preserve">Lima, Perú, </w:t>
      </w:r>
      <w:r>
        <w:rPr>
          <w:rFonts w:ascii="Arial" w:cs="Arial" w:eastAsia="Arial" w:hAnsi="Arial"/>
          <w:sz w:val="17"/>
          <w:szCs w:val="17"/>
          <w:color w:val="000000"/>
        </w:rPr>
        <w:t>does hereby appoint Dionisio Romero Paoletti, whose address is Calle Centenario 156, Las Laderas de Melgarejo, La Molina, Lima 12, Perú, as</w:t>
      </w:r>
      <w:r>
        <w:rPr>
          <w:rFonts w:ascii="Arial" w:cs="Arial" w:eastAsia="Arial" w:hAnsi="Arial"/>
          <w:sz w:val="17"/>
          <w:szCs w:val="17"/>
          <w:color w:val="29292A"/>
        </w:rPr>
        <w:t xml:space="preserve"> </w:t>
      </w:r>
      <w:r>
        <w:rPr>
          <w:rFonts w:ascii="Arial" w:cs="Arial" w:eastAsia="Arial" w:hAnsi="Arial"/>
          <w:sz w:val="17"/>
          <w:szCs w:val="17"/>
          <w:color w:val="000000"/>
        </w:rPr>
        <w:t>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Luis Fernando Martin Onrubia Holder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Luis Fernando Martin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68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D.17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undersigned, María Inmaculada Onrubia Holder, an individual whose address is </w:t>
      </w:r>
      <w:r>
        <w:rPr>
          <w:rFonts w:ascii="Arial" w:cs="Arial" w:eastAsia="Arial" w:hAnsi="Arial"/>
          <w:sz w:val="18"/>
          <w:szCs w:val="18"/>
          <w:color w:val="29292A"/>
        </w:rPr>
        <w:t>Calle Tomas Edison 105, San Isidro,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María Inmaculada Onrubia Holder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María Inmaculada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69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D.18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undersigned, Patrimonio Fideicometido Angolo, the principal business address of which is Av. El Derby 055, Torre 4, Piso 10, Santiago de Surco, Lima,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PATRIMONIO FIDEICOMETIDO ANGOLO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9" w:name="page70"/>
    <w:bookmarkEnd w:id="69"/>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70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D.19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undersigned, Reverades Holding Inc., the principal business address of which is Seychelles,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REVERADES HOLDING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Seminario</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Dionisio Romero Seminario</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0" w:name="page71"/>
    <w:bookmarkEnd w:id="70"/>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71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D.20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undersigned, Rittenhouse Capital Ltd., the principal business address of which is Cayman Corporate Centre, 27 Hospital Road, George Town, Grand Cayman, KY1-9008,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RITTENHOUSE CAPITAL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 Corsetti</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Nicola Corsetti</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71" w:name="page72"/>
    <w:bookmarkEnd w:id="71"/>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72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D.21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undersigned, Alfredo Romero Belismelis, an individual whose address is Av. Rinconada Baja 1241, La Molina, Lima, Perú,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Alfredo Romero Belismelis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Alfredo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73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D.22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undersigned, Fernando Romero Belismelis, an individual whose address is Calle Once 286, Rinconada Baja, La Molina, Lima, Perú,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Fernando Romero Belismelis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Fernando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74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D.23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undersigned, José Roberto Romero Belismelis, an individual whose address is </w:t>
      </w:r>
      <w:r>
        <w:rPr>
          <w:rFonts w:ascii="Arial" w:cs="Arial" w:eastAsia="Arial" w:hAnsi="Arial"/>
          <w:sz w:val="18"/>
          <w:szCs w:val="18"/>
          <w:color w:val="29292A"/>
        </w:rPr>
        <w:t>Av. Rinconada Baja 1241, La Molina,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José Roberto Romero Belismelis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José Roberto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75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D.24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undersigned, Luis Romero Belismelis, an individual whose address is </w:t>
      </w:r>
      <w:r>
        <w:rPr>
          <w:rFonts w:ascii="Arial" w:cs="Arial" w:eastAsia="Arial" w:hAnsi="Arial"/>
          <w:sz w:val="18"/>
          <w:szCs w:val="18"/>
          <w:color w:val="29292A"/>
        </w:rPr>
        <w:t>Av. Circunvalación Golf Los Inkas 134, Piso 12, Santiago de Surco, Lima,</w:t>
      </w:r>
      <w:r>
        <w:rPr>
          <w:rFonts w:ascii="Arial" w:cs="Arial" w:eastAsia="Arial" w:hAnsi="Arial"/>
          <w:sz w:val="18"/>
          <w:szCs w:val="18"/>
          <w:color w:val="auto"/>
        </w:rPr>
        <w:t xml:space="preserve"> </w:t>
      </w:r>
      <w:r>
        <w:rPr>
          <w:rFonts w:ascii="Arial" w:cs="Arial" w:eastAsia="Arial" w:hAnsi="Arial"/>
          <w:sz w:val="18"/>
          <w:szCs w:val="18"/>
          <w:color w:val="29292A"/>
        </w:rPr>
        <w:t xml:space="preserve">Perú, </w:t>
      </w:r>
      <w:r>
        <w:rPr>
          <w:rFonts w:ascii="Arial" w:cs="Arial" w:eastAsia="Arial" w:hAnsi="Arial"/>
          <w:sz w:val="18"/>
          <w:szCs w:val="18"/>
          <w:color w:val="000000"/>
        </w:rPr>
        <w:t>does hereby appoint Dionisio Romero Paoletti, whose address is Calle Centenario 156, Las Laderas de Melgarejo, La Molina, Lima 12, Perú, as his</w:t>
      </w:r>
      <w:r>
        <w:rPr>
          <w:rFonts w:ascii="Arial" w:cs="Arial" w:eastAsia="Arial" w:hAnsi="Arial"/>
          <w:sz w:val="18"/>
          <w:szCs w:val="18"/>
          <w:color w:val="29292A"/>
        </w:rPr>
        <w:t xml:space="preserve"> </w:t>
      </w:r>
      <w:r>
        <w:rPr>
          <w:rFonts w:ascii="Arial" w:cs="Arial" w:eastAsia="Arial" w:hAnsi="Arial"/>
          <w:sz w:val="18"/>
          <w:szCs w:val="18"/>
          <w:color w:val="000000"/>
        </w:rPr>
        <w:t>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Luis Romero Belismelis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76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D.25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The undersigned, Manuel Antonio Romero Belismelis, an individual whose address is </w:t>
      </w:r>
      <w:r>
        <w:rPr>
          <w:rFonts w:ascii="Arial" w:cs="Arial" w:eastAsia="Arial" w:hAnsi="Arial"/>
          <w:sz w:val="18"/>
          <w:szCs w:val="18"/>
          <w:color w:val="29292A"/>
        </w:rPr>
        <w:t>Av. Rinconada Baja 1241, La Molina,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Manuel Antonio Romero Belismelis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Manuel Antonio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77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D.26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The undersigned, Calixto Romero Guzmán, an individual whose address is </w:t>
      </w:r>
      <w:r>
        <w:rPr>
          <w:rFonts w:ascii="Arial" w:cs="Arial" w:eastAsia="Arial" w:hAnsi="Arial"/>
          <w:sz w:val="18"/>
          <w:szCs w:val="18"/>
          <w:color w:val="29292A"/>
        </w:rPr>
        <w:t>Av. Circunvalación Golf Los Inkas 134, Piso 12, Santiago de Surco,</w:t>
      </w:r>
      <w:r>
        <w:rPr>
          <w:rFonts w:ascii="Arial" w:cs="Arial" w:eastAsia="Arial" w:hAnsi="Arial"/>
          <w:sz w:val="18"/>
          <w:szCs w:val="18"/>
          <w:color w:val="auto"/>
        </w:rPr>
        <w:t xml:space="preserve"> </w:t>
      </w:r>
      <w:r>
        <w:rPr>
          <w:rFonts w:ascii="Arial" w:cs="Arial" w:eastAsia="Arial" w:hAnsi="Arial"/>
          <w:sz w:val="18"/>
          <w:szCs w:val="18"/>
          <w:color w:val="29292A"/>
        </w:rPr>
        <w:t xml:space="preserve">Lima, Perú, </w:t>
      </w:r>
      <w:r>
        <w:rPr>
          <w:rFonts w:ascii="Arial" w:cs="Arial" w:eastAsia="Arial" w:hAnsi="Arial"/>
          <w:sz w:val="18"/>
          <w:szCs w:val="18"/>
          <w:color w:val="000000"/>
        </w:rPr>
        <w:t>does hereby appoint Dionisio Romero Paoletti, whose address is Calle Centenario 156, Las Laderas de Melgarejo, La Molina, Lima 12, Perú, as</w:t>
      </w:r>
      <w:r>
        <w:rPr>
          <w:rFonts w:ascii="Arial" w:cs="Arial" w:eastAsia="Arial" w:hAnsi="Arial"/>
          <w:sz w:val="18"/>
          <w:szCs w:val="18"/>
          <w:color w:val="29292A"/>
        </w:rPr>
        <w:t xml:space="preserve"> </w:t>
      </w:r>
      <w:r>
        <w:rPr>
          <w:rFonts w:ascii="Arial" w:cs="Arial" w:eastAsia="Arial" w:hAnsi="Arial"/>
          <w:sz w:val="18"/>
          <w:szCs w:val="18"/>
          <w:color w:val="000000"/>
        </w:rPr>
        <w:t>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Calixto Romero Guzmán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Calixto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78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D.27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The undersigned, Ana Maria Romero Paoletti de Sacchi, an individual whose address is </w:t>
      </w:r>
      <w:r>
        <w:rPr>
          <w:rFonts w:ascii="Arial" w:cs="Arial" w:eastAsia="Arial" w:hAnsi="Arial"/>
          <w:sz w:val="18"/>
          <w:szCs w:val="18"/>
          <w:color w:val="29292A"/>
        </w:rPr>
        <w:t>Calle Once 190, Rinconada Baja, La Molina,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Ana Maria Romero Paoletti de Sacchi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Ana Maria Romero Paoletti de Sacchi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79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D.28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undersigned, Calixto Romero Seminario, an individual whose address is </w:t>
      </w:r>
      <w:r>
        <w:rPr>
          <w:rFonts w:ascii="Arial" w:cs="Arial" w:eastAsia="Arial" w:hAnsi="Arial"/>
          <w:sz w:val="18"/>
          <w:szCs w:val="18"/>
          <w:color w:val="29292A"/>
        </w:rPr>
        <w:t>Calle Estados Unidos 720, Jesús María,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Calixto Romero Seminario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Calixto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80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D.29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The undersigned, Dionisio Romero Seminario, an individual whose address is </w:t>
      </w:r>
      <w:r>
        <w:rPr>
          <w:rFonts w:ascii="Arial" w:cs="Arial" w:eastAsia="Arial" w:hAnsi="Arial"/>
          <w:sz w:val="18"/>
          <w:szCs w:val="18"/>
          <w:color w:val="29292A"/>
        </w:rPr>
        <w:t>Calle Centenario 156, Las Laderas de Melgarejo, La Molina,</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Dionisio Romero Seminario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81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D.30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undersigned, Rubyfield Investments Ltd., the principal business address of which is Seychelles,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RUBYFIELD INVESTMENTS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Seminario</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Dionisio Romero Seminario</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1" w:name="page82"/>
    <w:bookmarkEnd w:id="81"/>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82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D.31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undersigned, Paolo Mario Sacchi Giurato, an individual whose address is </w:t>
      </w:r>
      <w:r>
        <w:rPr>
          <w:rFonts w:ascii="Arial" w:cs="Arial" w:eastAsia="Arial" w:hAnsi="Arial"/>
          <w:sz w:val="18"/>
          <w:szCs w:val="18"/>
          <w:color w:val="29292A"/>
        </w:rPr>
        <w:t>Calle Once 190, Rinconada Baja, La Molina,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Paolo Mario Sacchi Giurato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Paolo Mario Sacchi Giurato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83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D.32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undersigned, Tech American Enterprises Inc., the principal business address of which is Av. Circunvalación Golf Los Inkas 134, Piso 11, Santiago de Surco, Lima, Perú,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TECH AMERICAN ENTERPRISES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3" w:name="page84"/>
    <w:bookmarkEnd w:id="83"/>
    <w:p>
      <w:pPr>
        <w:spacing w:after="0"/>
        <w:tabs>
          <w:tab w:leader="none" w:pos="5060" w:val="left"/>
          <w:tab w:leader="none" w:pos="994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84 of 84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D.33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undersigned, Urigeler International S.A., the principal business address of which is Scotia Plaza No 18, Avenida Federico Boyd y Calle 51, pisos 9,1 0 y 11, Panamá,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URIGELER INTERNACIONAL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Paoletti</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Dionisio Romero Paoletti</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426"/>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Luis Romero Belismelis</w:t>
            </w:r>
          </w:p>
        </w:tc>
      </w:tr>
      <w:tr>
        <w:trPr>
          <w:trHeight w:val="21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
    <w:nsid w:val="257130A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62BBD95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
    <w:nsid w:val="436C6125"/>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
    <w:nsid w:val="628C895D"/>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333AB105"/>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7">
    <w:nsid w:val="721DA31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8">
    <w:nsid w:val="2443A8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9">
    <w:nsid w:val="2D1D5AE9"/>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0">
    <w:nsid w:val="6763845E"/>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1">
    <w:nsid w:val="75A2A8D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2">
    <w:nsid w:val="8EDBDA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3">
    <w:nsid w:val="79838CB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4">
    <w:nsid w:val="4353D0CD"/>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5">
    <w:nsid w:val="B03E0C6"/>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6">
    <w:nsid w:val="189A769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7">
    <w:nsid w:val="54E49EB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8">
    <w:nsid w:val="71F324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9">
    <w:nsid w:val="2CA88611"/>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0">
    <w:nsid w:val="836C40E"/>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1">
    <w:nsid w:val="2901D8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2">
    <w:nsid w:val="3A95F87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3">
    <w:nsid w:val="8138641"/>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4">
    <w:nsid w:val="1E7FF521"/>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5">
    <w:nsid w:val="7C3DBD3D"/>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6">
    <w:nsid w:val="737B8DDC"/>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7">
    <w:nsid w:val="6CEAF08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8">
    <w:nsid w:val="22221A70"/>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9">
    <w:nsid w:val="4516DDE9"/>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0">
    <w:nsid w:val="3006C83E"/>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1">
    <w:nsid w:val="614FD4A1"/>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2">
    <w:nsid w:val="419AC241"/>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3">
    <w:nsid w:val="5577F8E1"/>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4">
    <w:nsid w:val="440BADFC"/>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5">
    <w:nsid w:val="5072367"/>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2019-12-05T00:42:23Z</dcterms:created>
  <dcterms:modified xsi:type="dcterms:W3CDTF">2019-12-05T00:42:23Z</dcterms:modified>
</cp:coreProperties>
</file>