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565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259080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month of August 2022</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CREDICORP LTD.</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 Molina</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Lima 12, Peru</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80"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w:t>
      </w:r>
      <w:r>
        <w:rPr>
          <w:rFonts w:ascii="MS PGothic" w:cs="MS PGothic" w:eastAsia="MS PGothic" w:hAnsi="MS PGothic"/>
          <w:sz w:val="16"/>
          <w:szCs w:val="16"/>
          <w:color w:val="auto"/>
        </w:rPr>
        <w:t>☐</w:t>
      </w:r>
    </w:p>
    <w:p>
      <w:pPr>
        <w:spacing w:after="0" w:line="206"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 xml:space="preserve">The information in this Form 6-K (including any </w:t>
      </w:r>
      <w:r>
        <w:rPr>
          <w:rFonts w:ascii="Times New Roman" w:cs="Times New Roman" w:eastAsia="Times New Roman" w:hAnsi="Times New Roman"/>
          <w:sz w:val="16"/>
          <w:szCs w:val="16"/>
          <w:u w:val="single" w:color="auto"/>
          <w:color w:val="0000EE"/>
        </w:rPr>
        <w:t>exhibit</w:t>
      </w:r>
      <w:r>
        <w:rPr>
          <w:rFonts w:ascii="Times New Roman" w:cs="Times New Roman" w:eastAsia="Times New Roman" w:hAnsi="Times New Roman"/>
          <w:sz w:val="16"/>
          <w:szCs w:val="16"/>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377825</wp:posOffset>
            </wp:positionV>
            <wp:extent cx="7145655"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501650</wp:posOffset>
            </wp:positionV>
            <wp:extent cx="71456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8" w:lineRule="exact"/>
        <w:rPr>
          <w:sz w:val="20"/>
          <w:szCs w:val="20"/>
          <w:color w:val="auto"/>
        </w:rPr>
      </w:pPr>
    </w:p>
    <w:p>
      <w:pPr>
        <w:ind w:firstLine="482"/>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Date: August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2022</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(Registrant)</w:t>
      </w:r>
    </w:p>
    <w:p>
      <w:pPr>
        <w:spacing w:after="0" w:line="385"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17145</wp:posOffset>
            </wp:positionV>
            <wp:extent cx="238188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1885" cy="15240"/>
                    </a:xfrm>
                    <a:prstGeom prst="rect">
                      <a:avLst/>
                    </a:prstGeom>
                    <a:noFill/>
                  </pic:spPr>
                </pic:pic>
              </a:graphicData>
            </a:graphic>
          </wp:anchor>
        </w:drawing>
      </w:r>
    </w:p>
    <w:p>
      <w:pPr>
        <w:spacing w:after="0" w:line="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Guillermo Morales</w:t>
      </w:r>
    </w:p>
    <w:p>
      <w:pPr>
        <w:spacing w:after="0" w:line="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316865</wp:posOffset>
            </wp:positionV>
            <wp:extent cx="71456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2" w:name="page3"/>
    <w:bookmarkEnd w:id="2"/>
    <w:p>
      <w:pPr>
        <w:ind w:left="9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297180</wp:posOffset>
            </wp:positionV>
            <wp:extent cx="7145655" cy="6294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6294755"/>
                    </a:xfrm>
                    <a:prstGeom prst="rect">
                      <a:avLst/>
                    </a:prstGeom>
                    <a:noFill/>
                  </pic:spPr>
                </pic:pic>
              </a:graphicData>
            </a:graphic>
          </wp:anchor>
        </w:drawing>
      </w:r>
    </w:p>
    <w:p>
      <w:pPr>
        <w:sectPr>
          <w:pgSz w:w="11900" w:h="16838" w:orient="portrait"/>
          <w:cols w:equalWidth="0" w:num="1">
            <w:col w:w="10140"/>
          </w:cols>
          <w:pgMar w:left="1440" w:top="267" w:right="319" w:bottom="1440" w:gutter="0" w:footer="0" w:header="0"/>
        </w:sectPr>
      </w:pPr>
    </w:p>
    <w:bookmarkStart w:id="3" w:name="page4"/>
    <w:bookmarkEnd w:id="3"/>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44"/>
          <w:szCs w:val="44"/>
          <w:b w:val="1"/>
          <w:bCs w:val="1"/>
          <w:color w:val="2AD2C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325120" cy="262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120" cy="262890"/>
                    </a:xfrm>
                    <a:prstGeom prst="rect">
                      <a:avLst/>
                    </a:prstGeom>
                    <a:noFill/>
                  </pic:spPr>
                </pic:pic>
              </a:graphicData>
            </a:graphic>
          </wp:anchor>
        </w:drawing>
      </w:r>
    </w:p>
    <w:p>
      <w:pPr>
        <w:spacing w:after="0" w:line="323" w:lineRule="exact"/>
        <w:rPr>
          <w:sz w:val="20"/>
          <w:szCs w:val="20"/>
          <w:color w:val="auto"/>
        </w:rPr>
      </w:pPr>
    </w:p>
    <w:tbl>
      <w:tblPr>
        <w:tblLayout w:type="fixed"/>
        <w:tblInd w:w="560" w:type="dxa"/>
        <w:tblCellMar>
          <w:top w:w="0" w:type="dxa"/>
          <w:left w:w="0" w:type="dxa"/>
          <w:bottom w:w="0" w:type="dxa"/>
          <w:right w:w="0" w:type="dxa"/>
        </w:tblCellMar>
      </w:tblPr>
      <w:tr>
        <w:trPr>
          <w:trHeight w:val="268"/>
        </w:trPr>
        <w:tc>
          <w:tcPr>
            <w:tcW w:w="7460" w:type="dxa"/>
            <w:vAlign w:val="bottom"/>
          </w:tcPr>
          <w:p>
            <w:pPr>
              <w:spacing w:after="0"/>
              <w:rPr>
                <w:sz w:val="20"/>
                <w:szCs w:val="20"/>
                <w:color w:val="auto"/>
              </w:rPr>
            </w:pPr>
            <w:r>
              <w:rPr>
                <w:rFonts w:ascii="Arial" w:cs="Arial" w:eastAsia="Arial" w:hAnsi="Arial"/>
                <w:sz w:val="19"/>
                <w:szCs w:val="19"/>
                <w:b w:val="1"/>
                <w:bCs w:val="1"/>
                <w:color w:val="A6A6A6"/>
              </w:rPr>
              <w:t>Operating and Financial Highlights</w:t>
            </w:r>
          </w:p>
        </w:tc>
        <w:tc>
          <w:tcPr>
            <w:tcW w:w="324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Senior Management Quotes</w:t>
            </w:r>
          </w:p>
        </w:tc>
        <w:tc>
          <w:tcPr>
            <w:tcW w:w="32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First Quarter 2022 Earnings Conference Call</w:t>
            </w:r>
          </w:p>
        </w:tc>
        <w:tc>
          <w:tcPr>
            <w:tcW w:w="324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Second Quarter 2022 Earnings Conference Call</w:t>
            </w:r>
          </w:p>
        </w:tc>
        <w:tc>
          <w:tcPr>
            <w:tcW w:w="324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Financial Overview</w:t>
            </w:r>
          </w:p>
        </w:tc>
        <w:tc>
          <w:tcPr>
            <w:tcW w:w="32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Credicorp’s Strategy Update</w:t>
            </w:r>
          </w:p>
        </w:tc>
        <w:tc>
          <w:tcPr>
            <w:tcW w:w="32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585"/>
        </w:trPr>
        <w:tc>
          <w:tcPr>
            <w:tcW w:w="7460" w:type="dxa"/>
            <w:vAlign w:val="bottom"/>
          </w:tcPr>
          <w:p>
            <w:pPr>
              <w:spacing w:after="0"/>
              <w:rPr>
                <w:sz w:val="20"/>
                <w:szCs w:val="20"/>
                <w:color w:val="auto"/>
              </w:rPr>
            </w:pPr>
            <w:r>
              <w:rPr>
                <w:rFonts w:ascii="Arial" w:cs="Arial" w:eastAsia="Arial" w:hAnsi="Arial"/>
                <w:sz w:val="19"/>
                <w:szCs w:val="19"/>
                <w:b w:val="1"/>
                <w:bCs w:val="1"/>
                <w:color w:val="A6A6A6"/>
              </w:rPr>
              <w:t>Analysis of 2Q22 Consolidated Results</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-2071370</wp:posOffset>
            </wp:positionV>
            <wp:extent cx="325120" cy="262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120" cy="262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-1699895</wp:posOffset>
            </wp:positionV>
            <wp:extent cx="325120" cy="262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120" cy="262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-1329055</wp:posOffset>
            </wp:positionV>
            <wp:extent cx="325120"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120" cy="262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-957580</wp:posOffset>
            </wp:positionV>
            <wp:extent cx="325120"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120" cy="262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-586740</wp:posOffset>
            </wp:positionV>
            <wp:extent cx="325120" cy="262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120" cy="262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-215265</wp:posOffset>
            </wp:positionV>
            <wp:extent cx="325120"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120" cy="26289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p>
      <w:pPr>
        <w:spacing w:after="0" w:line="254"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01</w:t>
      </w:r>
    </w:p>
    <w:p>
      <w:pPr>
        <w:spacing w:after="0" w:line="6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02</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03</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04</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05</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06</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07</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08</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09</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10</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11</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37"/>
          <w:szCs w:val="37"/>
          <w:b w:val="1"/>
          <w:bCs w:val="1"/>
          <w:color w:val="E93CAC"/>
        </w:rPr>
        <w:t>12</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5960" w:type="dxa"/>
            <w:vAlign w:val="bottom"/>
          </w:tcPr>
          <w:p>
            <w:pPr>
              <w:spacing w:after="0"/>
              <w:rPr>
                <w:sz w:val="20"/>
                <w:szCs w:val="20"/>
                <w:color w:val="auto"/>
              </w:rPr>
            </w:pPr>
            <w:r>
              <w:rPr>
                <w:rFonts w:ascii="Arial" w:cs="Arial" w:eastAsia="Arial" w:hAnsi="Arial"/>
                <w:sz w:val="19"/>
                <w:szCs w:val="19"/>
                <w:b w:val="1"/>
                <w:bCs w:val="1"/>
                <w:color w:val="E93CAC"/>
              </w:rPr>
              <w:t>Loans and Portfolio Quality</w:t>
            </w:r>
          </w:p>
        </w:tc>
        <w:tc>
          <w:tcPr>
            <w:tcW w:w="304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422"/>
        </w:trPr>
        <w:tc>
          <w:tcPr>
            <w:tcW w:w="5960" w:type="dxa"/>
            <w:vAlign w:val="bottom"/>
          </w:tcPr>
          <w:p>
            <w:pPr>
              <w:spacing w:after="0"/>
              <w:rPr>
                <w:sz w:val="20"/>
                <w:szCs w:val="20"/>
                <w:color w:val="auto"/>
              </w:rPr>
            </w:pPr>
            <w:r>
              <w:rPr>
                <w:rFonts w:ascii="Arial" w:cs="Arial" w:eastAsia="Arial" w:hAnsi="Arial"/>
                <w:sz w:val="19"/>
                <w:szCs w:val="19"/>
                <w:color w:val="E93CAC"/>
              </w:rPr>
              <w:t>Deposits</w:t>
            </w:r>
          </w:p>
        </w:tc>
        <w:tc>
          <w:tcPr>
            <w:tcW w:w="30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Interest Earning Assets and Funding</w:t>
            </w:r>
          </w:p>
        </w:tc>
        <w:tc>
          <w:tcPr>
            <w:tcW w:w="30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Net Interest Income</w:t>
            </w:r>
          </w:p>
        </w:tc>
        <w:tc>
          <w:tcPr>
            <w:tcW w:w="30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Provisions</w:t>
            </w:r>
          </w:p>
        </w:tc>
        <w:tc>
          <w:tcPr>
            <w:tcW w:w="304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Other Income</w:t>
            </w:r>
          </w:p>
        </w:tc>
        <w:tc>
          <w:tcPr>
            <w:tcW w:w="30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Insurance Underwriting Results</w:t>
            </w:r>
          </w:p>
        </w:tc>
        <w:tc>
          <w:tcPr>
            <w:tcW w:w="30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Operating Expenses</w:t>
            </w:r>
          </w:p>
        </w:tc>
        <w:tc>
          <w:tcPr>
            <w:tcW w:w="30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Operating Efficiency</w:t>
            </w:r>
          </w:p>
        </w:tc>
        <w:tc>
          <w:tcPr>
            <w:tcW w:w="304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Regulatory Capital</w:t>
            </w:r>
          </w:p>
        </w:tc>
        <w:tc>
          <w:tcPr>
            <w:tcW w:w="30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Economic Outlook</w:t>
            </w:r>
          </w:p>
        </w:tc>
        <w:tc>
          <w:tcPr>
            <w:tcW w:w="30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451"/>
        </w:trPr>
        <w:tc>
          <w:tcPr>
            <w:tcW w:w="5960" w:type="dxa"/>
            <w:vAlign w:val="bottom"/>
          </w:tcPr>
          <w:p>
            <w:pPr>
              <w:spacing w:after="0"/>
              <w:rPr>
                <w:sz w:val="20"/>
                <w:szCs w:val="20"/>
                <w:color w:val="auto"/>
              </w:rPr>
            </w:pPr>
            <w:r>
              <w:rPr>
                <w:rFonts w:ascii="Arial" w:cs="Arial" w:eastAsia="Arial" w:hAnsi="Arial"/>
                <w:sz w:val="19"/>
                <w:szCs w:val="19"/>
                <w:color w:val="E93CAC"/>
              </w:rPr>
              <w:t>Appendix</w:t>
            </w:r>
          </w:p>
        </w:tc>
        <w:tc>
          <w:tcPr>
            <w:tcW w:w="3040" w:type="dxa"/>
            <w:vAlign w:val="bottom"/>
          </w:tcPr>
          <w:p>
            <w:pPr>
              <w:jc w:val="right"/>
              <w:spacing w:after="0"/>
              <w:rPr>
                <w:sz w:val="20"/>
                <w:szCs w:val="20"/>
                <w:color w:val="auto"/>
              </w:rPr>
            </w:pPr>
            <w:r>
              <w:rPr>
                <w:rFonts w:ascii="Arial" w:cs="Arial" w:eastAsia="Arial" w:hAnsi="Arial"/>
                <w:sz w:val="15"/>
                <w:szCs w:val="15"/>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318770</wp:posOffset>
            </wp:positionV>
            <wp:extent cx="714565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2">
            <w:col w:w="1560" w:space="700"/>
            <w:col w:w="9000"/>
          </w:cols>
          <w:pgMar w:left="320" w:top="400" w:right="319" w:bottom="1440" w:gutter="0" w:footer="0" w:header="0"/>
          <w:type w:val="continuous"/>
        </w:sectPr>
      </w:pPr>
    </w:p>
    <w:bookmarkStart w:id="4" w:name="page5"/>
    <w:bookmarkEnd w:id="4"/>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Operating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335" w:lineRule="exact"/>
        <w:rPr>
          <w:sz w:val="20"/>
          <w:szCs w:val="20"/>
          <w:color w:val="auto"/>
        </w:rPr>
      </w:pPr>
    </w:p>
    <w:p>
      <w:pPr>
        <w:jc w:val="center"/>
        <w:ind w:right="20"/>
        <w:spacing w:after="0" w:line="390" w:lineRule="auto"/>
        <w:rPr>
          <w:sz w:val="20"/>
          <w:szCs w:val="20"/>
          <w:color w:val="auto"/>
        </w:rPr>
      </w:pPr>
      <w:r>
        <w:rPr>
          <w:rFonts w:ascii="Times New Roman" w:cs="Times New Roman" w:eastAsia="Times New Roman" w:hAnsi="Times New Roman"/>
          <w:sz w:val="18"/>
          <w:szCs w:val="18"/>
          <w:b w:val="1"/>
          <w:bCs w:val="1"/>
          <w:color w:val="auto"/>
        </w:rPr>
        <w:t xml:space="preserve">Credicorp Ltd. Reports Second Quarter 2022 Financial and Operating Results </w:t>
      </w:r>
      <w:r>
        <w:rPr>
          <w:rFonts w:ascii="Times New Roman" w:cs="Times New Roman" w:eastAsia="Times New Roman" w:hAnsi="Times New Roman"/>
          <w:sz w:val="18"/>
          <w:szCs w:val="18"/>
          <w:color w:val="auto"/>
        </w:rPr>
        <w:t>ROE of 16.9% Driven Mainly by Higher Core Income and a Low Level of Provisions Well-Positioned in Current Environment, Driving Sustainable Growth by Strengthening Our Core and Building Disruptors</w:t>
      </w:r>
    </w:p>
    <w:p>
      <w:pPr>
        <w:spacing w:after="0" w:line="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Lima, Peru – August 11, 2022 – Credicorp Ltd. (“Credicorp” or “the Company”) (NYSE: BAP | BVL: BAP)</w:t>
      </w:r>
      <w:r>
        <w:rPr>
          <w:rFonts w:ascii="Times New Roman" w:cs="Times New Roman" w:eastAsia="Times New Roman" w:hAnsi="Times New Roman"/>
          <w:sz w:val="18"/>
          <w:szCs w:val="18"/>
          <w:color w:val="auto"/>
        </w:rPr>
        <w:t>, the leading financial services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Peru with presence in Chile, Colombia, Bolivia and Panama today reported its unaudited results for the quarter ended June 30, 2022. Financial results are expressed in Soles and are presented in accordance with International Financial Reporting Standards (IFRS).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2Q22 OPERATING AND FINANCIAL HIGHLIGHTS</w:t>
      </w:r>
    </w:p>
    <w:p>
      <w:pPr>
        <w:spacing w:after="0" w:line="223" w:lineRule="exact"/>
        <w:rPr>
          <w:sz w:val="20"/>
          <w:szCs w:val="20"/>
          <w:color w:val="auto"/>
        </w:rPr>
      </w:pPr>
    </w:p>
    <w:p>
      <w:pPr>
        <w:ind w:left="580" w:right="20" w:hanging="290"/>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Credicorp up 60.4% YoY to S/1,122 million, reflecting core income growth and a low level of provisions at</w:t>
      </w:r>
      <w:r>
        <w:rPr>
          <w:rFonts w:ascii="Arial" w:cs="Arial" w:eastAsia="Arial" w:hAnsi="Arial"/>
          <w:sz w:val="18"/>
          <w:szCs w:val="18"/>
          <w:b w:val="1"/>
          <w:bCs w:val="1"/>
          <w:color w:val="auto"/>
        </w:rPr>
        <w:t xml:space="preserve"> </w:t>
      </w:r>
      <w:r>
        <w:rPr>
          <w:rFonts w:ascii="Arial" w:cs="Arial" w:eastAsia="Arial" w:hAnsi="Arial"/>
          <w:sz w:val="18"/>
          <w:szCs w:val="18"/>
          <w:color w:val="auto"/>
        </w:rPr>
        <w:t>BCP, further supported by Mibanco &amp; Pacifico. ROAE of 16.9% in 2Q22 and 17.2% in 1H22</w:t>
      </w:r>
    </w:p>
    <w:p>
      <w:pPr>
        <w:spacing w:after="0" w:line="76" w:lineRule="exact"/>
        <w:rPr>
          <w:rFonts w:ascii="Arial" w:cs="Arial" w:eastAsia="Arial" w:hAnsi="Arial"/>
          <w:sz w:val="18"/>
          <w:szCs w:val="18"/>
          <w:color w:val="auto"/>
        </w:rPr>
      </w:pPr>
    </w:p>
    <w:p>
      <w:pPr>
        <w:ind w:left="580" w:hanging="29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Loans </w:t>
      </w:r>
      <w:r>
        <w:rPr>
          <w:rFonts w:ascii="Arial" w:cs="Arial" w:eastAsia="Arial" w:hAnsi="Arial"/>
          <w:sz w:val="18"/>
          <w:szCs w:val="18"/>
          <w:color w:val="auto"/>
        </w:rPr>
        <w:t>increased 4.5% QoQ (+3.6% FX Neutral) and 13.8% YoY (+14.6% FX Neutral) in average daily balances.</w:t>
      </w:r>
    </w:p>
    <w:p>
      <w:pPr>
        <w:spacing w:after="0" w:line="121" w:lineRule="exact"/>
        <w:rPr>
          <w:rFonts w:ascii="Arial" w:cs="Arial" w:eastAsia="Arial" w:hAnsi="Arial"/>
          <w:sz w:val="18"/>
          <w:szCs w:val="18"/>
          <w:color w:val="auto"/>
        </w:rPr>
      </w:pPr>
    </w:p>
    <w:p>
      <w:pPr>
        <w:ind w:left="580" w:right="20" w:hanging="290"/>
        <w:spacing w:after="0" w:line="27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at S/147,441 million in 2Q22, relatively unchanged QoQ (-2.0% FX Neutral) and down 1.2% YoY (-0.5% FX Neutral).</w:t>
      </w:r>
      <w:r>
        <w:rPr>
          <w:rFonts w:ascii="Arial" w:cs="Arial" w:eastAsia="Arial" w:hAnsi="Arial"/>
          <w:sz w:val="18"/>
          <w:szCs w:val="18"/>
          <w:b w:val="1"/>
          <w:bCs w:val="1"/>
          <w:color w:val="auto"/>
        </w:rPr>
        <w:t xml:space="preserve"> Low-cost Deposits </w:t>
      </w:r>
      <w:r>
        <w:rPr>
          <w:rFonts w:ascii="Arial" w:cs="Arial" w:eastAsia="Arial" w:hAnsi="Arial"/>
          <w:sz w:val="18"/>
          <w:szCs w:val="18"/>
          <w:color w:val="auto"/>
        </w:rPr>
        <w:t>decreased 6.1% YoY and accounted for 56.7% of Total Funding.</w:t>
      </w:r>
    </w:p>
    <w:p>
      <w:pPr>
        <w:spacing w:after="0" w:line="45" w:lineRule="exact"/>
        <w:rPr>
          <w:rFonts w:ascii="Arial" w:cs="Arial" w:eastAsia="Arial" w:hAnsi="Arial"/>
          <w:sz w:val="18"/>
          <w:szCs w:val="18"/>
          <w:color w:val="auto"/>
        </w:rPr>
      </w:pPr>
    </w:p>
    <w:p>
      <w:pPr>
        <w:ind w:left="580" w:right="20" w:hanging="290"/>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NPL </w:t>
      </w:r>
      <w:r>
        <w:rPr>
          <w:rFonts w:ascii="Arial" w:cs="Arial" w:eastAsia="Arial" w:hAnsi="Arial"/>
          <w:sz w:val="18"/>
          <w:szCs w:val="18"/>
          <w:color w:val="auto"/>
        </w:rPr>
        <w:t>ratio declined 65bps YoY and 18 bps QoQ to stand at 4.9%, with lower ratios across segments principally due to an</w:t>
      </w:r>
      <w:r>
        <w:rPr>
          <w:rFonts w:ascii="Arial" w:cs="Arial" w:eastAsia="Arial" w:hAnsi="Arial"/>
          <w:sz w:val="18"/>
          <w:szCs w:val="18"/>
          <w:b w:val="1"/>
          <w:bCs w:val="1"/>
          <w:color w:val="auto"/>
        </w:rPr>
        <w:t xml:space="preserve"> </w:t>
      </w:r>
      <w:r>
        <w:rPr>
          <w:rFonts w:ascii="Arial" w:cs="Arial" w:eastAsia="Arial" w:hAnsi="Arial"/>
          <w:sz w:val="18"/>
          <w:szCs w:val="18"/>
          <w:color w:val="auto"/>
        </w:rPr>
        <w:t>uptick in structural loan volumes in Peru, which offset higher NPL volumes at BCP.</w:t>
      </w:r>
    </w:p>
    <w:p>
      <w:pPr>
        <w:spacing w:after="0" w:line="76" w:lineRule="exact"/>
        <w:rPr>
          <w:rFonts w:ascii="Arial" w:cs="Arial" w:eastAsia="Arial" w:hAnsi="Arial"/>
          <w:sz w:val="18"/>
          <w:szCs w:val="18"/>
          <w:color w:val="auto"/>
        </w:rPr>
      </w:pPr>
    </w:p>
    <w:p>
      <w:pPr>
        <w:jc w:val="both"/>
        <w:ind w:left="580" w:right="20" w:hanging="290"/>
        <w:spacing w:after="0" w:line="24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Provisions </w:t>
      </w:r>
      <w:r>
        <w:rPr>
          <w:rFonts w:ascii="Arial" w:cs="Arial" w:eastAsia="Arial" w:hAnsi="Arial"/>
          <w:sz w:val="18"/>
          <w:szCs w:val="18"/>
          <w:color w:val="auto"/>
        </w:rPr>
        <w:t>increased 45.8% QoQ and 0.3% YoY due to the deterioration of macroeconomic outlook and the</w:t>
      </w:r>
      <w:r>
        <w:rPr>
          <w:rFonts w:ascii="Arial" w:cs="Arial" w:eastAsia="Arial" w:hAnsi="Arial"/>
          <w:sz w:val="18"/>
          <w:szCs w:val="18"/>
          <w:b w:val="1"/>
          <w:bCs w:val="1"/>
          <w:color w:val="auto"/>
        </w:rPr>
        <w:t xml:space="preserve"> Structural Cost of Risk </w:t>
      </w:r>
      <w:r>
        <w:rPr>
          <w:rFonts w:ascii="Arial" w:cs="Arial" w:eastAsia="Arial" w:hAnsi="Arial"/>
          <w:sz w:val="18"/>
          <w:szCs w:val="18"/>
          <w:color w:val="auto"/>
        </w:rPr>
        <w:t>stands at 1.08%. The Allowance for Loan Losses represents 5.9% of Structural Loans and NPL Coverage stands at</w:t>
      </w:r>
      <w:r>
        <w:rPr>
          <w:rFonts w:ascii="Arial" w:cs="Arial" w:eastAsia="Arial" w:hAnsi="Arial"/>
          <w:sz w:val="18"/>
          <w:szCs w:val="18"/>
          <w:b w:val="1"/>
          <w:bCs w:val="1"/>
          <w:color w:val="auto"/>
        </w:rPr>
        <w:t xml:space="preserve"> </w:t>
      </w:r>
      <w:r>
        <w:rPr>
          <w:rFonts w:ascii="Arial" w:cs="Arial" w:eastAsia="Arial" w:hAnsi="Arial"/>
          <w:sz w:val="18"/>
          <w:szCs w:val="18"/>
          <w:color w:val="auto"/>
        </w:rPr>
        <w:t>119.9%, while both ratios continue their downward trend towards pre-pandemic levels.</w:t>
      </w:r>
    </w:p>
    <w:p>
      <w:pPr>
        <w:spacing w:after="0" w:line="92" w:lineRule="exact"/>
        <w:rPr>
          <w:rFonts w:ascii="Arial" w:cs="Arial" w:eastAsia="Arial" w:hAnsi="Arial"/>
          <w:sz w:val="18"/>
          <w:szCs w:val="18"/>
          <w:color w:val="auto"/>
        </w:rPr>
      </w:pPr>
    </w:p>
    <w:p>
      <w:pPr>
        <w:ind w:left="580" w:hanging="290"/>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Core Income </w:t>
      </w:r>
      <w:r>
        <w:rPr>
          <w:rFonts w:ascii="Arial" w:cs="Arial" w:eastAsia="Arial" w:hAnsi="Arial"/>
          <w:sz w:val="18"/>
          <w:szCs w:val="18"/>
          <w:color w:val="auto"/>
        </w:rPr>
        <w:t>increased 15.0% YoY supported by growth of 18.7% in Net Interest Income (NII), 6.7% in Fees and 9.1% in Gains on FX</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64" w:lineRule="exact"/>
        <w:rPr>
          <w:rFonts w:ascii="Arial" w:cs="Arial" w:eastAsia="Arial" w:hAnsi="Arial"/>
          <w:sz w:val="18"/>
          <w:szCs w:val="18"/>
          <w:color w:val="auto"/>
        </w:rPr>
      </w:pPr>
    </w:p>
    <w:p>
      <w:pPr>
        <w:jc w:val="both"/>
        <w:ind w:left="580" w:right="20" w:hanging="290"/>
        <w:spacing w:after="0" w:line="24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Efficiency Ratio </w:t>
      </w:r>
      <w:r>
        <w:rPr>
          <w:rFonts w:ascii="Arial" w:cs="Arial" w:eastAsia="Arial" w:hAnsi="Arial"/>
          <w:sz w:val="18"/>
          <w:szCs w:val="18"/>
          <w:color w:val="auto"/>
        </w:rPr>
        <w:t>of 44.6%, compared to 44.5% in 1Q22 and 43.7% in 2Q21, driven by accelerated investments for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and innovation initiatives. If we exclude operating expenses for our disruptive initiatives Yape and Krealo the efficiency ratio stands at 42.1%.</w:t>
      </w:r>
    </w:p>
    <w:p>
      <w:pPr>
        <w:spacing w:after="0" w:line="92" w:lineRule="exact"/>
        <w:rPr>
          <w:rFonts w:ascii="Arial" w:cs="Arial" w:eastAsia="Arial" w:hAnsi="Arial"/>
          <w:sz w:val="18"/>
          <w:szCs w:val="18"/>
          <w:color w:val="auto"/>
        </w:rPr>
      </w:pPr>
    </w:p>
    <w:p>
      <w:pPr>
        <w:jc w:val="both"/>
        <w:ind w:left="580" w:right="20" w:hanging="290"/>
        <w:spacing w:after="0" w:line="24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Sound Capital base, with </w:t>
      </w:r>
      <w:r>
        <w:rPr>
          <w:rFonts w:ascii="Arial" w:cs="Arial" w:eastAsia="Arial" w:hAnsi="Arial"/>
          <w:sz w:val="18"/>
          <w:szCs w:val="18"/>
          <w:b w:val="1"/>
          <w:bCs w:val="1"/>
          <w:color w:val="auto"/>
        </w:rPr>
        <w:t>CET1 Ratio</w:t>
      </w:r>
      <w:r>
        <w:rPr>
          <w:rFonts w:ascii="Arial" w:cs="Arial" w:eastAsia="Arial" w:hAnsi="Arial"/>
          <w:sz w:val="18"/>
          <w:szCs w:val="18"/>
          <w:color w:val="auto"/>
        </w:rPr>
        <w:t xml:space="preserve"> of 11.6% at BCP Stand Alone and 15.2% at Mibanco, up 36bps and relatively unchanged YoY, respectively. As of 2022, both subsidiaries report solvency levels in IFRS and as such, CET1 ratio figures will differ from reported figures in 2Q21. Regulatory Capital stood at 1.56 times Regulatory Requirement</w:t>
      </w:r>
    </w:p>
    <w:p>
      <w:pPr>
        <w:spacing w:after="0" w:line="92" w:lineRule="exact"/>
        <w:rPr>
          <w:rFonts w:ascii="Arial" w:cs="Arial" w:eastAsia="Arial" w:hAnsi="Arial"/>
          <w:sz w:val="18"/>
          <w:szCs w:val="18"/>
          <w:color w:val="auto"/>
        </w:rPr>
      </w:pPr>
    </w:p>
    <w:p>
      <w:pPr>
        <w:ind w:left="580" w:hanging="29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10, 2022, Credicorp paid a cash dividend of S/ 15 per share for a total amount of S/1,415.7 million.</w:t>
      </w:r>
    </w:p>
    <w:p>
      <w:pPr>
        <w:spacing w:after="0" w:line="109" w:lineRule="exact"/>
        <w:rPr>
          <w:rFonts w:ascii="Arial" w:cs="Arial" w:eastAsia="Arial" w:hAnsi="Arial"/>
          <w:sz w:val="18"/>
          <w:szCs w:val="18"/>
          <w:color w:val="auto"/>
        </w:rPr>
      </w:pPr>
    </w:p>
    <w:p>
      <w:pPr>
        <w:ind w:left="580" w:right="200" w:hanging="290"/>
        <w:spacing w:after="0" w:line="24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Advancing our </w:t>
      </w:r>
      <w:r>
        <w:rPr>
          <w:rFonts w:ascii="Arial" w:cs="Arial" w:eastAsia="Arial" w:hAnsi="Arial"/>
          <w:sz w:val="18"/>
          <w:szCs w:val="18"/>
          <w:b w:val="1"/>
          <w:bCs w:val="1"/>
          <w:color w:val="auto"/>
        </w:rPr>
        <w:t>Strategic Initiatives:</w:t>
      </w:r>
      <w:r>
        <w:rPr>
          <w:rFonts w:ascii="Arial" w:cs="Arial" w:eastAsia="Arial" w:hAnsi="Arial"/>
          <w:sz w:val="18"/>
          <w:szCs w:val="18"/>
          <w:color w:val="auto"/>
        </w:rPr>
        <w:t xml:space="preserve"> BCP Stand-alone digital clients accounted for 58% of total BCP retail clients as of June 2022; ii) more than 230 thousand individuals were financially included through Credicorp’s businesses in the quarter, and iii) BCP issued the first international green bond in the Peruvian banking system.</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5" w:name="page6"/>
    <w:bookmarkEnd w:id="5"/>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154940</wp:posOffset>
            </wp:positionV>
            <wp:extent cx="5498465" cy="188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98465" cy="188722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2413000</wp:posOffset>
            </wp:positionV>
            <wp:extent cx="5498465" cy="1802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9846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6" w:name="page7"/>
    <w:bookmarkEnd w:id="6"/>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SECOND QUARTER 2022 EARNINGS CONFERENCE CALL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 xml:space="preserve">Date: </w:t>
      </w:r>
      <w:r>
        <w:rPr>
          <w:rFonts w:ascii="Times New Roman" w:cs="Times New Roman" w:eastAsia="Times New Roman" w:hAnsi="Times New Roman"/>
          <w:sz w:val="18"/>
          <w:szCs w:val="18"/>
          <w:color w:val="121212"/>
        </w:rPr>
        <w:t>Friday August 12,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 xml:space="preserve">Time: </w:t>
      </w:r>
      <w:r>
        <w:rPr>
          <w:rFonts w:ascii="Times New Roman" w:cs="Times New Roman" w:eastAsia="Times New Roman" w:hAnsi="Times New Roman"/>
          <w:sz w:val="18"/>
          <w:szCs w:val="18"/>
          <w:color w:val="121212"/>
        </w:rPr>
        <w:t>10:30 am ET (9:30 am Lima, Peru time)</w:t>
      </w:r>
    </w:p>
    <w:p>
      <w:pPr>
        <w:spacing w:after="0" w:line="19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b w:val="1"/>
          <w:bCs w:val="1"/>
          <w:color w:val="121212"/>
        </w:rPr>
        <w:t xml:space="preserve">Hosts: </w:t>
      </w:r>
      <w:r>
        <w:rPr>
          <w:rFonts w:ascii="Times New Roman" w:cs="Times New Roman" w:eastAsia="Times New Roman" w:hAnsi="Times New Roman"/>
          <w:sz w:val="18"/>
          <w:szCs w:val="18"/>
          <w:color w:val="121212"/>
        </w:rPr>
        <w:t>Gianfranco Ferrari - CEO, Cesar Rios - Chief Financial Officer, Francesca Raffo – Chief Innovation Officer, Reynaldo Llosa - Chief Risk Officer,</w:t>
      </w:r>
      <w:r>
        <w:rPr>
          <w:rFonts w:ascii="Times New Roman" w:cs="Times New Roman" w:eastAsia="Times New Roman" w:hAnsi="Times New Roman"/>
          <w:sz w:val="18"/>
          <w:szCs w:val="18"/>
          <w:b w:val="1"/>
          <w:bCs w:val="1"/>
          <w:color w:val="121212"/>
        </w:rPr>
        <w:t xml:space="preserve"> </w:t>
      </w:r>
      <w:r>
        <w:rPr>
          <w:rFonts w:ascii="Times New Roman" w:cs="Times New Roman" w:eastAsia="Times New Roman" w:hAnsi="Times New Roman"/>
          <w:sz w:val="18"/>
          <w:szCs w:val="18"/>
          <w:color w:val="121212"/>
        </w:rPr>
        <w:t>Diego Cavero - Head of Universal Banking, Cesar Rivera - Head of Insurance and Pensions, and Investor Relations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To pre-register for the listen-only webcast presentation use the following link: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https://dpregister.com/sreg/10169419/f3b8e39472</w:t>
      </w:r>
    </w:p>
    <w:p>
      <w:pPr>
        <w:spacing w:after="0" w:line="17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Those unable to pre-register may dial in by calling: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1 844 435 0321 (U.S. toll free)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1 412 317 5615 (International)</w:t>
      </w:r>
    </w:p>
    <w:p>
      <w:pPr>
        <w:spacing w:after="0"/>
        <w:rPr>
          <w:sz w:val="20"/>
          <w:szCs w:val="20"/>
          <w:color w:val="auto"/>
        </w:rPr>
      </w:pPr>
      <w:r>
        <w:rPr>
          <w:rFonts w:ascii="Times New Roman" w:cs="Times New Roman" w:eastAsia="Times New Roman" w:hAnsi="Times New Roman"/>
          <w:sz w:val="18"/>
          <w:szCs w:val="18"/>
          <w:b w:val="1"/>
          <w:bCs w:val="1"/>
          <w:color w:val="121212"/>
        </w:rPr>
        <w:t>Conference ID: Credicorp Conference 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The webcast will be archived for one year on our investor relations website at: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https://credicorp.gcs-web.com/events-and-presentations/upcoming-events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For a full version of Credicorp´s Second Quarter 2022 Earnings Release, please visit: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https://credicorp.gcs-web.com/financial-information/quarterly-results</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7" w:name="page8"/>
    <w:bookmarkEnd w:id="7"/>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-151130</wp:posOffset>
            </wp:positionV>
            <wp:extent cx="2474595" cy="1786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4595" cy="1786255"/>
                    </a:xfrm>
                    <a:prstGeom prst="rect">
                      <a:avLst/>
                    </a:prstGeom>
                    <a:noFill/>
                  </pic:spPr>
                </pic:pic>
              </a:graphicData>
            </a:graphic>
          </wp:anchor>
        </w:drawing>
      </w:r>
    </w:p>
    <w:p>
      <w:pPr>
        <w:spacing w:after="0" w:line="90"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Structural loans grew 3.6% QoQ (FX neutral) to stand at S/131,785 million. Growth was driven by the SME-Pyme and Consumer segments at BCP, and by Mibanco, which reported an uptick in disbursements through alternative channels and an improvement in the productivity of its relationship managers.</w:t>
      </w:r>
    </w:p>
    <w:p>
      <w:pPr>
        <w:spacing w:after="0" w:line="101"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YoY, structural loan growth stood at 14.6% (FX neutral). This evolution was primarily attributable to Wholesale Banking and secondarily to SME-Pyme and Consumer at BCP and spurred by economic reactivation. Growth was also driven by Mibanco, reflecting the positive impact of the bank’s hybrid model.</w:t>
      </w:r>
    </w:p>
    <w:p>
      <w:pPr>
        <w:spacing w:after="0" w:line="89" w:lineRule="exact"/>
        <w:rPr>
          <w:sz w:val="20"/>
          <w:szCs w:val="20"/>
          <w:color w:val="auto"/>
        </w:rPr>
      </w:pPr>
    </w:p>
    <w:p>
      <w:pPr>
        <w:jc w:val="both"/>
        <w:ind w:right="5860"/>
        <w:spacing w:after="0" w:line="288" w:lineRule="auto"/>
        <w:rPr>
          <w:sz w:val="20"/>
          <w:szCs w:val="20"/>
          <w:color w:val="auto"/>
        </w:rPr>
      </w:pPr>
      <w:r>
        <w:rPr>
          <w:rFonts w:ascii="Times New Roman" w:cs="Times New Roman" w:eastAsia="Times New Roman" w:hAnsi="Times New Roman"/>
          <w:sz w:val="16"/>
          <w:szCs w:val="16"/>
          <w:color w:val="auto"/>
        </w:rPr>
        <w:t>The Government Program portfolio (GP) represented 10% of the total portfolio in average daily balances (9% in quarter-end balances).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57150</wp:posOffset>
            </wp:positionV>
            <wp:extent cx="2621915" cy="2033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1915" cy="2033905"/>
                    </a:xfrm>
                    <a:prstGeom prst="rect">
                      <a:avLst/>
                    </a:prstGeom>
                    <a:noFill/>
                  </pic:spPr>
                </pic:pic>
              </a:graphicData>
            </a:graphic>
          </wp:anchor>
        </w:drawing>
      </w:r>
    </w:p>
    <w:p>
      <w:pPr>
        <w:spacing w:after="0" w:line="212" w:lineRule="exact"/>
        <w:rPr>
          <w:sz w:val="20"/>
          <w:szCs w:val="20"/>
          <w:color w:val="auto"/>
        </w:rPr>
      </w:pPr>
    </w:p>
    <w:p>
      <w:pPr>
        <w:ind w:right="5920"/>
        <w:spacing w:after="0" w:line="258" w:lineRule="auto"/>
        <w:rPr>
          <w:sz w:val="20"/>
          <w:szCs w:val="20"/>
          <w:color w:val="auto"/>
        </w:rPr>
      </w:pPr>
      <w:r>
        <w:rPr>
          <w:rFonts w:ascii="Times New Roman" w:cs="Times New Roman" w:eastAsia="Times New Roman" w:hAnsi="Times New Roman"/>
          <w:sz w:val="16"/>
          <w:szCs w:val="16"/>
          <w:color w:val="auto"/>
        </w:rPr>
        <w:t>Our deposit base fell 2.0% QoQ (FX Neutral). This reduction is attributable primarily to a drop in Demand and Savings Deposits, driven by reduced liquidity levels systemwide (due to the amortization of Reactiva loans) and the impact of rising interest rates. Higher rates increase the opportunity cost associated with this type of deposits and has triggered a migration to Time Deposits.</w:t>
      </w:r>
    </w:p>
    <w:p>
      <w:pPr>
        <w:spacing w:after="0" w:line="1" w:lineRule="exact"/>
        <w:rPr>
          <w:sz w:val="20"/>
          <w:szCs w:val="20"/>
          <w:color w:val="auto"/>
        </w:rPr>
      </w:pPr>
    </w:p>
    <w:p>
      <w:pPr>
        <w:ind w:right="5920"/>
        <w:spacing w:after="0" w:line="257" w:lineRule="auto"/>
        <w:rPr>
          <w:sz w:val="20"/>
          <w:szCs w:val="20"/>
          <w:color w:val="auto"/>
        </w:rPr>
      </w:pPr>
      <w:r>
        <w:rPr>
          <w:rFonts w:ascii="Times New Roman" w:cs="Times New Roman" w:eastAsia="Times New Roman" w:hAnsi="Times New Roman"/>
          <w:sz w:val="16"/>
          <w:szCs w:val="16"/>
          <w:color w:val="auto"/>
        </w:rPr>
        <w:t>In the YoY comparison, the deposit base fell 0.7% (FX Neutral). This evolution was primarily driven by a reduction in Demand Deposits, which reflected the impact of amortizations of Reactiva loans; the migration of funds to Time deposits; and a reduction in Severance Indemnity balances (CTS) after restrictions on fund availability were lifted.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Net Interest Income (NII) and Margin (NIM)</w:t>
      </w:r>
    </w:p>
    <w:p>
      <w:pPr>
        <w:spacing w:after="0" w:line="232" w:lineRule="exact"/>
        <w:rPr>
          <w:sz w:val="20"/>
          <w:szCs w:val="20"/>
          <w:color w:val="auto"/>
        </w:rPr>
      </w:pPr>
    </w:p>
    <w:p>
      <w:pPr>
        <w:ind w:right="5880"/>
        <w:spacing w:after="0" w:line="262" w:lineRule="auto"/>
        <w:rPr>
          <w:sz w:val="20"/>
          <w:szCs w:val="20"/>
          <w:color w:val="auto"/>
        </w:rPr>
      </w:pPr>
      <w:r>
        <w:rPr>
          <w:rFonts w:ascii="Times New Roman" w:cs="Times New Roman" w:eastAsia="Times New Roman" w:hAnsi="Times New Roman"/>
          <w:sz w:val="16"/>
          <w:szCs w:val="16"/>
          <w:color w:val="auto"/>
        </w:rPr>
        <w:t>NII rose 8.1% QoQ to stand at S/2,740 million. This evolution was driven by an uptick in the yield of interest-earning assets, primarily in LC, which reflected solid loan growth, a drop in low-yield assets and effective repricing strategies. These dynamics were partially offset by an increase in the funding cost, mainly in LC. In this scenario, NIM rose by 50bps sequentially to stand at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-580390</wp:posOffset>
            </wp:positionV>
            <wp:extent cx="2722245" cy="1771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22245" cy="1771015"/>
                    </a:xfrm>
                    <a:prstGeom prst="rect">
                      <a:avLst/>
                    </a:prstGeom>
                    <a:noFill/>
                  </pic:spPr>
                </pic:pic>
              </a:graphicData>
            </a:graphic>
          </wp:anchor>
        </w:drawing>
      </w:r>
    </w:p>
    <w:p>
      <w:pPr>
        <w:spacing w:after="0" w:line="169" w:lineRule="exact"/>
        <w:rPr>
          <w:sz w:val="20"/>
          <w:szCs w:val="20"/>
          <w:color w:val="auto"/>
        </w:rPr>
      </w:pPr>
    </w:p>
    <w:p>
      <w:pPr>
        <w:ind w:right="5940"/>
        <w:spacing w:after="0" w:line="271" w:lineRule="auto"/>
        <w:rPr>
          <w:sz w:val="20"/>
          <w:szCs w:val="20"/>
          <w:color w:val="auto"/>
        </w:rPr>
      </w:pPr>
      <w:r>
        <w:rPr>
          <w:rFonts w:ascii="Times New Roman" w:cs="Times New Roman" w:eastAsia="Times New Roman" w:hAnsi="Times New Roman"/>
          <w:sz w:val="16"/>
          <w:szCs w:val="16"/>
          <w:color w:val="auto"/>
        </w:rPr>
        <w:t>YoY, NII grew 18.7%, fueled by growth in interest income in a context marked by an uptick in structural loan volumes and in yields on IEAs in LC. In this context, NIM rose 90pbs.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8" w:name="page9"/>
    <w:bookmarkEnd w:id="8"/>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Structural Portfolio Quality and Cost of Risk (CoR)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-151130</wp:posOffset>
            </wp:positionV>
            <wp:extent cx="2783840" cy="1871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3840" cy="1871345"/>
                    </a:xfrm>
                    <a:prstGeom prst="rect">
                      <a:avLst/>
                    </a:prstGeom>
                    <a:noFill/>
                  </pic:spPr>
                </pic:pic>
              </a:graphicData>
            </a:graphic>
          </wp:anchor>
        </w:drawing>
      </w:r>
    </w:p>
    <w:p>
      <w:pPr>
        <w:spacing w:after="0" w:line="212" w:lineRule="exact"/>
        <w:rPr>
          <w:sz w:val="20"/>
          <w:szCs w:val="20"/>
          <w:color w:val="auto"/>
        </w:rPr>
      </w:pPr>
    </w:p>
    <w:p>
      <w:pPr>
        <w:jc w:val="both"/>
        <w:ind w:right="5860"/>
        <w:spacing w:after="0" w:line="261" w:lineRule="auto"/>
        <w:rPr>
          <w:sz w:val="20"/>
          <w:szCs w:val="20"/>
          <w:color w:val="auto"/>
        </w:rPr>
      </w:pPr>
      <w:r>
        <w:rPr>
          <w:rFonts w:ascii="Times New Roman" w:cs="Times New Roman" w:eastAsia="Times New Roman" w:hAnsi="Times New Roman"/>
          <w:sz w:val="16"/>
          <w:szCs w:val="16"/>
          <w:color w:val="auto"/>
        </w:rPr>
        <w:t>QoQ, structural NPL growth was driven mainly by SME-Pyme and Wholesale Banking at BCP Stand-alone. In SME-Pyme, growth in early delinquency was attributable to clients that also have Reactiva loans. In Wholesale, growth in NPLs was associated with clients in sectors that were heavily impacted by the pandemic. Given that structural loans grew at a faster pace than structural NPLs, the structural NPL ratio stood at 4.9% (-17 bps QoQ).</w:t>
      </w:r>
    </w:p>
    <w:p>
      <w:pPr>
        <w:spacing w:after="0" w:line="188" w:lineRule="exact"/>
        <w:rPr>
          <w:sz w:val="20"/>
          <w:szCs w:val="20"/>
          <w:color w:val="auto"/>
        </w:rPr>
      </w:pPr>
    </w:p>
    <w:p>
      <w:pPr>
        <w:jc w:val="both"/>
        <w:ind w:right="5860"/>
        <w:spacing w:after="0" w:line="262" w:lineRule="auto"/>
        <w:rPr>
          <w:sz w:val="20"/>
          <w:szCs w:val="20"/>
          <w:color w:val="auto"/>
        </w:rPr>
      </w:pPr>
      <w:r>
        <w:rPr>
          <w:rFonts w:ascii="Times New Roman" w:cs="Times New Roman" w:eastAsia="Times New Roman" w:hAnsi="Times New Roman"/>
          <w:sz w:val="16"/>
          <w:szCs w:val="16"/>
          <w:color w:val="auto"/>
        </w:rPr>
        <w:t>YoY, growth in the NPL portfolio was fueled mainly by SME-Pyme and driven by an uptick in delinquency for long-term loans. This was attenuated by an improvement at Mibanco, which has bolstered its collections capabilities, and by the evolution in Individuals, which benefitted from growth in personal liquidity. Finally, the positive loan evolution led the structural NPL ratio to fall 65bps.</w:t>
      </w:r>
    </w:p>
    <w:p>
      <w:pPr>
        <w:spacing w:after="0" w:line="189" w:lineRule="exact"/>
        <w:rPr>
          <w:sz w:val="20"/>
          <w:szCs w:val="20"/>
          <w:color w:val="auto"/>
        </w:rPr>
      </w:pPr>
    </w:p>
    <w:p>
      <w:pPr>
        <w:jc w:val="both"/>
        <w:ind w:right="5860"/>
        <w:spacing w:after="0" w:line="271" w:lineRule="auto"/>
        <w:rPr>
          <w:sz w:val="20"/>
          <w:szCs w:val="20"/>
          <w:color w:val="auto"/>
        </w:rPr>
      </w:pPr>
      <w:r>
        <w:rPr>
          <w:rFonts w:ascii="Times New Roman" w:cs="Times New Roman" w:eastAsia="Times New Roman" w:hAnsi="Times New Roman"/>
          <w:sz w:val="16"/>
          <w:szCs w:val="16"/>
          <w:color w:val="auto"/>
        </w:rPr>
        <w:t>The structural CoR increased QoQ, driven by growth in provisions in Individuals, which primarily reflects the deterioration in current and projected macroeconomic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-292100</wp:posOffset>
            </wp:positionV>
            <wp:extent cx="2722245" cy="1771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22245" cy="1771015"/>
                    </a:xfrm>
                    <a:prstGeom prst="rect">
                      <a:avLst/>
                    </a:prstGeom>
                    <a:noFill/>
                  </pic:spPr>
                </pic:pic>
              </a:graphicData>
            </a:graphic>
          </wp:anchor>
        </w:drawing>
      </w:r>
    </w:p>
    <w:p>
      <w:pPr>
        <w:spacing w:after="0" w:line="161" w:lineRule="exact"/>
        <w:rPr>
          <w:sz w:val="20"/>
          <w:szCs w:val="20"/>
          <w:color w:val="auto"/>
        </w:rPr>
      </w:pPr>
    </w:p>
    <w:p>
      <w:pPr>
        <w:jc w:val="both"/>
        <w:ind w:right="5860"/>
        <w:spacing w:after="0" w:line="271" w:lineRule="auto"/>
        <w:rPr>
          <w:sz w:val="20"/>
          <w:szCs w:val="20"/>
          <w:color w:val="auto"/>
        </w:rPr>
      </w:pPr>
      <w:r>
        <w:rPr>
          <w:rFonts w:ascii="Times New Roman" w:cs="Times New Roman" w:eastAsia="Times New Roman" w:hAnsi="Times New Roman"/>
          <w:sz w:val="16"/>
          <w:szCs w:val="16"/>
          <w:color w:val="auto"/>
        </w:rPr>
        <w:t>YoY, the slight increase in provisions was offset by growth in origination volumes, which reduced the CoR at the majority of subsidiaries. YTD, the reduction in the CoR reflects our prudent management during the pandemic.</w:t>
      </w:r>
    </w:p>
    <w:p>
      <w:pPr>
        <w:spacing w:after="0" w:line="181" w:lineRule="exact"/>
        <w:rPr>
          <w:sz w:val="20"/>
          <w:szCs w:val="20"/>
          <w:color w:val="auto"/>
        </w:rPr>
      </w:pPr>
    </w:p>
    <w:p>
      <w:pPr>
        <w:jc w:val="both"/>
        <w:ind w:right="5860"/>
        <w:spacing w:after="0" w:line="288" w:lineRule="auto"/>
        <w:rPr>
          <w:sz w:val="20"/>
          <w:szCs w:val="20"/>
          <w:color w:val="auto"/>
        </w:rPr>
      </w:pPr>
      <w:r>
        <w:rPr>
          <w:rFonts w:ascii="Times New Roman" w:cs="Times New Roman" w:eastAsia="Times New Roman" w:hAnsi="Times New Roman"/>
          <w:sz w:val="16"/>
          <w:szCs w:val="16"/>
          <w:color w:val="auto"/>
        </w:rPr>
        <w:t>The structural NPL coverage ratio has followed a downward trend since Sept 20, driven by growth in NPLs and a gradual reduction in allowances for loan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Other Income</w:t>
      </w:r>
    </w:p>
    <w:p>
      <w:pPr>
        <w:spacing w:after="0" w:line="146" w:lineRule="exact"/>
        <w:rPr>
          <w:sz w:val="20"/>
          <w:szCs w:val="20"/>
          <w:color w:val="auto"/>
        </w:rPr>
      </w:pPr>
    </w:p>
    <w:p>
      <w:pPr>
        <w:jc w:val="both"/>
        <w:ind w:right="5860"/>
        <w:spacing w:after="0" w:line="271" w:lineRule="auto"/>
        <w:rPr>
          <w:sz w:val="20"/>
          <w:szCs w:val="20"/>
          <w:color w:val="auto"/>
        </w:rPr>
      </w:pPr>
      <w:r>
        <w:rPr>
          <w:rFonts w:ascii="Times New Roman" w:cs="Times New Roman" w:eastAsia="Times New Roman" w:hAnsi="Times New Roman"/>
          <w:sz w:val="16"/>
          <w:szCs w:val="16"/>
          <w:color w:val="auto"/>
        </w:rPr>
        <w:t>Other Core income (Fees + Gains on Foreign Exchange Transactions) rose 3.4% QoQ and 8.1 YoY, which reflected the impact of growth in transaction volumes and exchange rate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-29210</wp:posOffset>
            </wp:positionV>
            <wp:extent cx="2474595" cy="2049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4595" cy="2049145"/>
                    </a:xfrm>
                    <a:prstGeom prst="rect">
                      <a:avLst/>
                    </a:prstGeom>
                    <a:noFill/>
                  </pic:spPr>
                </pic:pic>
              </a:graphicData>
            </a:graphic>
          </wp:anchor>
        </w:drawing>
      </w:r>
    </w:p>
    <w:p>
      <w:pPr>
        <w:spacing w:after="0" w:line="63"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Other non-core income fell QoQ due primarily to growth in the Net loss on Securities and to a lesser extent, to a drop in Other Non-Financial Income. In YoY terms, the decline in Other Non-Core income was mainly driven by a drop in gains on speculative derivatives and by the exchange rate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9" w:name="page10"/>
    <w:bookmarkEnd w:id="9"/>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-151130</wp:posOffset>
            </wp:positionV>
            <wp:extent cx="2652395" cy="2010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2395" cy="2010410"/>
                    </a:xfrm>
                    <a:prstGeom prst="rect">
                      <a:avLst/>
                    </a:prstGeom>
                    <a:noFill/>
                  </pic:spPr>
                </pic:pic>
              </a:graphicData>
            </a:graphic>
          </wp:anchor>
        </w:drawing>
      </w:r>
    </w:p>
    <w:p>
      <w:pPr>
        <w:spacing w:after="0" w:line="212" w:lineRule="exact"/>
        <w:rPr>
          <w:sz w:val="20"/>
          <w:szCs w:val="20"/>
          <w:color w:val="auto"/>
        </w:rPr>
      </w:pPr>
    </w:p>
    <w:p>
      <w:pPr>
        <w:jc w:val="both"/>
        <w:ind w:right="5860"/>
        <w:spacing w:after="0" w:line="259" w:lineRule="auto"/>
        <w:rPr>
          <w:sz w:val="20"/>
          <w:szCs w:val="20"/>
          <w:color w:val="auto"/>
        </w:rPr>
      </w:pPr>
      <w:r>
        <w:rPr>
          <w:rFonts w:ascii="Times New Roman" w:cs="Times New Roman" w:eastAsia="Times New Roman" w:hAnsi="Times New Roman"/>
          <w:sz w:val="16"/>
          <w:szCs w:val="16"/>
          <w:color w:val="auto"/>
        </w:rPr>
        <w:t>The insurance underwriting result fell 3.2% QoQ, which reflected growth in claims in the Life business and in Group Life in particular, where compensation for the Complementary Insurance for Occupational Risk product was impacted by inflation. This evolution was partially offset by growth in net earned premiums in P&amp;C, particularly in the Cars and Medical Assistance lines. In YoY terms, the insurance underwriting result recovered after claims levels normalized in the Life business and net earned premiums registered solid dynamism in both the Life and P&amp;C businesses.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Efficiency</w:t>
      </w:r>
    </w:p>
    <w:p>
      <w:pPr>
        <w:spacing w:after="0" w:line="232" w:lineRule="exact"/>
        <w:rPr>
          <w:sz w:val="20"/>
          <w:szCs w:val="20"/>
          <w:color w:val="auto"/>
        </w:rPr>
      </w:pPr>
    </w:p>
    <w:p>
      <w:pPr>
        <w:jc w:val="both"/>
        <w:ind w:right="5860"/>
        <w:spacing w:after="0" w:line="262" w:lineRule="auto"/>
        <w:rPr>
          <w:sz w:val="20"/>
          <w:szCs w:val="20"/>
          <w:color w:val="auto"/>
        </w:rPr>
      </w:pPr>
      <w:r>
        <w:rPr>
          <w:rFonts w:ascii="Times New Roman" w:cs="Times New Roman" w:eastAsia="Times New Roman" w:hAnsi="Times New Roman"/>
          <w:sz w:val="16"/>
          <w:szCs w:val="16"/>
          <w:color w:val="auto"/>
        </w:rPr>
        <w:t>The Efficiency ratio deteriorated 90bps YoY to stand at 44.6%. This evolution was driven by an uptick in IT investments and in disruptive initiatives. If we exclude operating expenses associated with disruptive initiatives (Yape + Krealo), the efficiency ratio will stand at 42.1%, which represent an improvement of 240bps with regard to the reported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-54610</wp:posOffset>
            </wp:positionV>
            <wp:extent cx="2443480" cy="1793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43480" cy="179387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AD2C9"/>
        </w:rPr>
        <w:t>Net Income Attributable to Credicorp</w:t>
      </w:r>
    </w:p>
    <w:p>
      <w:pPr>
        <w:spacing w:after="0" w:line="232"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Net income attributable to Credicorp stood at S/1,122 million, down -1.3% QoQ but up +60.4% YoY. With these results, net shareholders’ earnings totaled S/.26,175 million (-2.6% QoQ due to dividend payments). In this scenario, ROAE stood at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932815</wp:posOffset>
            </wp:positionV>
            <wp:extent cx="2861310" cy="188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61310" cy="188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10" w:name="page11"/>
    <w:bookmarkEnd w:id="10"/>
    <w:p>
      <w:pPr>
        <w:ind w:left="3403"/>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9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2AD2C9"/>
        </w:rPr>
        <w:t>Contributions</w:t>
      </w:r>
      <w:r>
        <w:rPr>
          <w:rFonts w:ascii="Times New Roman" w:cs="Times New Roman" w:eastAsia="Times New Roman" w:hAnsi="Times New Roman"/>
          <w:sz w:val="37"/>
          <w:szCs w:val="37"/>
          <w:b w:val="1"/>
          <w:bCs w:val="1"/>
          <w:color w:val="2AD2C9"/>
          <w:vertAlign w:val="superscript"/>
        </w:rPr>
        <w:t>*</w:t>
      </w:r>
      <w:r>
        <w:rPr>
          <w:rFonts w:ascii="Times New Roman" w:cs="Times New Roman" w:eastAsia="Times New Roman" w:hAnsi="Times New Roman"/>
          <w:sz w:val="23"/>
          <w:szCs w:val="23"/>
          <w:b w:val="1"/>
          <w:bCs w:val="1"/>
          <w:color w:val="2AD2C9"/>
        </w:rPr>
        <w:t xml:space="preserve"> and ROE by subsidiary in 2Q22</w:t>
      </w:r>
    </w:p>
    <w:p>
      <w:pPr>
        <w:spacing w:after="0" w:line="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2AD2C9"/>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80010</wp:posOffset>
            </wp:positionV>
            <wp:extent cx="4887595" cy="2235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7595" cy="223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1"/>
          <w:szCs w:val="11"/>
          <w:color w:val="auto"/>
        </w:rPr>
        <w:t>*Contributions to Credicorp reflect the eliminations for consolidation purposes (eliminations for transactions among Credicorp’s subsidiaries or between Credicorp and its subsidiaries).</w:t>
      </w:r>
    </w:p>
    <w:p>
      <w:pPr>
        <w:spacing w:after="0" w:line="3" w:lineRule="exact"/>
        <w:rPr>
          <w:sz w:val="20"/>
          <w:szCs w:val="20"/>
          <w:color w:val="auto"/>
        </w:rPr>
      </w:pPr>
    </w:p>
    <w:p>
      <w:pPr>
        <w:ind w:left="63" w:hanging="63"/>
        <w:spacing w:after="0"/>
        <w:tabs>
          <w:tab w:leader="none" w:pos="6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figure is lower than the net income of BCP Stand Alone as contribution do not consider investments in other Credicorp subsidiaries (Mibanco).</w:t>
      </w:r>
    </w:p>
    <w:p>
      <w:pPr>
        <w:ind w:left="63" w:hanging="63"/>
        <w:spacing w:after="0" w:line="231" w:lineRule="auto"/>
        <w:tabs>
          <w:tab w:leader="none" w:pos="6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figure is lower than the net income of Mibanco as Credicorp owns 99.921% of Mibanco (directly and indirectly).</w:t>
      </w:r>
    </w:p>
    <w:p>
      <w:pPr>
        <w:ind w:left="63" w:hanging="63"/>
        <w:spacing w:after="0" w:line="231" w:lineRule="auto"/>
        <w:tabs>
          <w:tab w:leader="none" w:pos="6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contribution is higher than Grupo Pacifico’s net income because Credicorp owns 65.20% directly, and 33.66% through Grupo Credito.</w:t>
      </w:r>
    </w:p>
    <w:p>
      <w:pPr>
        <w:ind w:left="63" w:hanging="63"/>
        <w:spacing w:after="0"/>
        <w:tabs>
          <w:tab w:leader="none" w:pos="6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Grupo Credito excluding Prima, others of Atlantic Security Holding Corporation and others of Credicorp Ltd.</w:t>
      </w: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400" w:right="319" w:bottom="1440" w:gutter="0" w:footer="0" w:header="0"/>
        </w:sectPr>
      </w:pPr>
    </w:p>
    <w:bookmarkStart w:id="11" w:name="page12"/>
    <w:bookmarkEnd w:id="11"/>
    <w:p>
      <w:pPr>
        <w:jc w:val="right"/>
        <w:ind w:right="10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1390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3425825" cy="301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5825" cy="301625"/>
                    </a:xfrm>
                    <a:prstGeom prst="rect">
                      <a:avLst/>
                    </a:prstGeom>
                    <a:noFill/>
                  </pic:spPr>
                </pic:pic>
              </a:graphicData>
            </a:graphic>
          </wp:anchor>
        </w:drawing>
      </w:r>
    </w:p>
    <w:p>
      <w:pPr>
        <w:spacing w:after="0" w:line="334"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FFFFFF"/>
        </w:rPr>
        <w:t>Universal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3430905" cy="1513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0905" cy="1513205"/>
                    </a:xfrm>
                    <a:prstGeom prst="rect">
                      <a:avLst/>
                    </a:prstGeom>
                    <a:noFill/>
                  </pic:spPr>
                </pic:pic>
              </a:graphicData>
            </a:graphic>
          </wp:anchor>
        </w:drawing>
      </w:r>
    </w:p>
    <w:p>
      <w:pPr>
        <w:spacing w:after="0" w:line="37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 xml:space="preserve">Profitability is up at </w:t>
      </w:r>
      <w:r>
        <w:rPr>
          <w:rFonts w:ascii="Arial" w:cs="Arial" w:eastAsia="Arial" w:hAnsi="Arial"/>
          <w:sz w:val="18"/>
          <w:szCs w:val="18"/>
          <w:b w:val="1"/>
          <w:bCs w:val="1"/>
          <w:color w:val="auto"/>
        </w:rPr>
        <w:t>BCP</w:t>
      </w:r>
      <w:r>
        <w:rPr>
          <w:rFonts w:ascii="Arial" w:cs="Arial" w:eastAsia="Arial" w:hAnsi="Arial"/>
          <w:sz w:val="18"/>
          <w:szCs w:val="18"/>
          <w:color w:val="auto"/>
        </w:rPr>
        <w:t xml:space="preserve"> due to growth in</w:t>
      </w:r>
    </w:p>
    <w:p>
      <w:pPr>
        <w:jc w:val="center"/>
        <w:ind w:right="700"/>
        <w:spacing w:after="0" w:line="232" w:lineRule="auto"/>
        <w:rPr>
          <w:sz w:val="20"/>
          <w:szCs w:val="20"/>
          <w:color w:val="auto"/>
        </w:rPr>
      </w:pPr>
      <w:r>
        <w:rPr>
          <w:rFonts w:ascii="Arial" w:cs="Arial" w:eastAsia="Arial" w:hAnsi="Arial"/>
          <w:sz w:val="18"/>
          <w:szCs w:val="18"/>
          <w:color w:val="auto"/>
        </w:rPr>
        <w:t>NII and controlled levels of loan</w:t>
      </w:r>
    </w:p>
    <w:p>
      <w:pPr>
        <w:jc w:val="center"/>
        <w:ind w:right="700"/>
        <w:spacing w:after="0" w:line="226" w:lineRule="auto"/>
        <w:rPr>
          <w:sz w:val="20"/>
          <w:szCs w:val="20"/>
          <w:color w:val="auto"/>
        </w:rPr>
      </w:pPr>
      <w:r>
        <w:rPr>
          <w:rFonts w:ascii="Arial" w:cs="Arial" w:eastAsia="Arial" w:hAnsi="Arial"/>
          <w:sz w:val="18"/>
          <w:szCs w:val="18"/>
          <w:color w:val="auto"/>
        </w:rPr>
        <w:t>provisions. Strong origination of</w:t>
      </w:r>
    </w:p>
    <w:p>
      <w:pPr>
        <w:jc w:val="center"/>
        <w:ind w:right="700"/>
        <w:spacing w:after="0" w:line="226" w:lineRule="auto"/>
        <w:rPr>
          <w:sz w:val="20"/>
          <w:szCs w:val="20"/>
          <w:color w:val="auto"/>
        </w:rPr>
      </w:pPr>
      <w:r>
        <w:rPr>
          <w:rFonts w:ascii="Arial" w:cs="Arial" w:eastAsia="Arial" w:hAnsi="Arial"/>
          <w:sz w:val="18"/>
          <w:szCs w:val="18"/>
          <w:color w:val="auto"/>
        </w:rPr>
        <w:t>structural loans, as well as a reduction in</w:t>
      </w:r>
    </w:p>
    <w:p>
      <w:pPr>
        <w:jc w:val="center"/>
        <w:ind w:right="700"/>
        <w:spacing w:after="0" w:line="226" w:lineRule="auto"/>
        <w:rPr>
          <w:sz w:val="20"/>
          <w:szCs w:val="20"/>
          <w:color w:val="auto"/>
        </w:rPr>
      </w:pPr>
      <w:r>
        <w:rPr>
          <w:rFonts w:ascii="Arial" w:cs="Arial" w:eastAsia="Arial" w:hAnsi="Arial"/>
          <w:sz w:val="18"/>
          <w:szCs w:val="18"/>
          <w:color w:val="auto"/>
        </w:rPr>
        <w:t>cash and investments, worked alongside</w:t>
      </w:r>
    </w:p>
    <w:p>
      <w:pPr>
        <w:jc w:val="center"/>
        <w:ind w:right="700"/>
        <w:spacing w:after="0" w:line="226" w:lineRule="auto"/>
        <w:rPr>
          <w:sz w:val="20"/>
          <w:szCs w:val="20"/>
          <w:color w:val="auto"/>
        </w:rPr>
      </w:pPr>
      <w:r>
        <w:rPr>
          <w:rFonts w:ascii="Arial" w:cs="Arial" w:eastAsia="Arial" w:hAnsi="Arial"/>
          <w:sz w:val="18"/>
          <w:szCs w:val="18"/>
          <w:color w:val="auto"/>
        </w:rPr>
        <w:t>higher interest rates to buttress</w:t>
      </w:r>
    </w:p>
    <w:p>
      <w:pPr>
        <w:jc w:val="center"/>
        <w:ind w:right="700"/>
        <w:spacing w:after="0" w:line="226" w:lineRule="auto"/>
        <w:rPr>
          <w:sz w:val="20"/>
          <w:szCs w:val="20"/>
          <w:color w:val="auto"/>
        </w:rPr>
      </w:pPr>
      <w:r>
        <w:rPr>
          <w:rFonts w:ascii="Arial" w:cs="Arial" w:eastAsia="Arial" w:hAnsi="Arial"/>
          <w:sz w:val="18"/>
          <w:szCs w:val="18"/>
          <w:color w:val="auto"/>
        </w:rPr>
        <w:t>expansion in NII. The YoY drop in loan</w:t>
      </w:r>
    </w:p>
    <w:p>
      <w:pPr>
        <w:jc w:val="center"/>
        <w:ind w:right="700"/>
        <w:spacing w:after="0" w:line="226" w:lineRule="auto"/>
        <w:rPr>
          <w:sz w:val="20"/>
          <w:szCs w:val="20"/>
          <w:color w:val="auto"/>
        </w:rPr>
      </w:pPr>
      <w:r>
        <w:rPr>
          <w:rFonts w:ascii="Arial" w:cs="Arial" w:eastAsia="Arial" w:hAnsi="Arial"/>
          <w:sz w:val="18"/>
          <w:szCs w:val="18"/>
          <w:color w:val="auto"/>
        </w:rPr>
        <w:t>provisions, which was driven by an</w:t>
      </w:r>
    </w:p>
    <w:p>
      <w:pPr>
        <w:jc w:val="center"/>
        <w:ind w:right="700"/>
        <w:spacing w:after="0" w:line="226" w:lineRule="auto"/>
        <w:rPr>
          <w:sz w:val="20"/>
          <w:szCs w:val="20"/>
          <w:color w:val="auto"/>
        </w:rPr>
      </w:pPr>
      <w:r>
        <w:rPr>
          <w:rFonts w:ascii="Arial" w:cs="Arial" w:eastAsia="Arial" w:hAnsi="Arial"/>
          <w:sz w:val="18"/>
          <w:szCs w:val="18"/>
          <w:color w:val="auto"/>
        </w:rPr>
        <w:t>improvement in payment behavior in the</w:t>
      </w:r>
    </w:p>
    <w:p>
      <w:pPr>
        <w:jc w:val="center"/>
        <w:ind w:right="700"/>
        <w:spacing w:after="0" w:line="226" w:lineRule="auto"/>
        <w:rPr>
          <w:sz w:val="20"/>
          <w:szCs w:val="20"/>
          <w:color w:val="auto"/>
        </w:rPr>
      </w:pPr>
      <w:r>
        <w:rPr>
          <w:rFonts w:ascii="Arial" w:cs="Arial" w:eastAsia="Arial" w:hAnsi="Arial"/>
          <w:sz w:val="18"/>
          <w:szCs w:val="18"/>
          <w:color w:val="auto"/>
        </w:rPr>
        <w:t>mortgage and corporate banking</w:t>
      </w:r>
    </w:p>
    <w:p>
      <w:pPr>
        <w:jc w:val="center"/>
        <w:ind w:right="700"/>
        <w:spacing w:after="0"/>
        <w:rPr>
          <w:sz w:val="20"/>
          <w:szCs w:val="20"/>
          <w:color w:val="auto"/>
        </w:rPr>
      </w:pPr>
      <w:r>
        <w:rPr>
          <w:rFonts w:ascii="Arial" w:cs="Arial" w:eastAsia="Arial" w:hAnsi="Arial"/>
          <w:sz w:val="18"/>
          <w:szCs w:val="18"/>
          <w:color w:val="auto"/>
        </w:rPr>
        <w:t>segments also bolstered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48195" cy="138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38430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FFFFFF"/>
        </w:rPr>
        <w:t>Insurance and Pension Businesses</w:t>
      </w:r>
    </w:p>
    <w:p>
      <w:pPr>
        <w:spacing w:after="0" w:line="395"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 xml:space="preserve">Pacifico Seguros </w:t>
      </w:r>
      <w:r>
        <w:rPr>
          <w:rFonts w:ascii="Arial" w:cs="Arial" w:eastAsia="Arial" w:hAnsi="Arial"/>
          <w:sz w:val="18"/>
          <w:szCs w:val="18"/>
          <w:color w:val="auto"/>
        </w:rPr>
        <w:t>consolidates its recovery</w:t>
      </w:r>
    </w:p>
    <w:p>
      <w:pPr>
        <w:jc w:val="center"/>
        <w:ind w:right="700"/>
        <w:spacing w:after="0" w:line="232" w:lineRule="auto"/>
        <w:rPr>
          <w:sz w:val="20"/>
          <w:szCs w:val="20"/>
          <w:color w:val="auto"/>
        </w:rPr>
      </w:pPr>
      <w:r>
        <w:rPr>
          <w:rFonts w:ascii="Arial" w:cs="Arial" w:eastAsia="Arial" w:hAnsi="Arial"/>
          <w:sz w:val="18"/>
          <w:szCs w:val="18"/>
          <w:color w:val="auto"/>
        </w:rPr>
        <w:t>due to an improvement in the sanitary</w:t>
      </w:r>
    </w:p>
    <w:p>
      <w:pPr>
        <w:jc w:val="center"/>
        <w:ind w:right="700"/>
        <w:spacing w:after="0" w:line="226" w:lineRule="auto"/>
        <w:rPr>
          <w:sz w:val="20"/>
          <w:szCs w:val="20"/>
          <w:color w:val="auto"/>
        </w:rPr>
      </w:pPr>
      <w:r>
        <w:rPr>
          <w:rFonts w:ascii="Arial" w:cs="Arial" w:eastAsia="Arial" w:hAnsi="Arial"/>
          <w:sz w:val="18"/>
          <w:szCs w:val="18"/>
          <w:color w:val="auto"/>
        </w:rPr>
        <w:t>situation and to an uptick in the issuance of</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policies in the Life and P&amp;C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FFFFFF"/>
        </w:rPr>
        <w:t>Microfinance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-207010</wp:posOffset>
            </wp:positionV>
            <wp:extent cx="3425825" cy="301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5825" cy="30162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231140</wp:posOffset>
            </wp:positionV>
            <wp:extent cx="3430905" cy="1017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30905" cy="1017905"/>
                    </a:xfrm>
                    <a:prstGeom prst="rect">
                      <a:avLst/>
                    </a:prstGeom>
                    <a:noFill/>
                  </pic:spPr>
                </pic:pic>
              </a:graphicData>
            </a:graphic>
          </wp:anchor>
        </w:drawing>
      </w:r>
    </w:p>
    <w:p>
      <w:pPr>
        <w:spacing w:after="0" w:line="375" w:lineRule="exact"/>
        <w:rPr>
          <w:sz w:val="20"/>
          <w:szCs w:val="20"/>
          <w:color w:val="auto"/>
        </w:rPr>
      </w:pPr>
    </w:p>
    <w:p>
      <w:pPr>
        <w:jc w:val="center"/>
        <w:ind w:left="-19" w:right="60"/>
        <w:spacing w:after="0" w:line="247" w:lineRule="auto"/>
        <w:rPr>
          <w:sz w:val="20"/>
          <w:szCs w:val="20"/>
          <w:color w:val="auto"/>
        </w:rPr>
      </w:pPr>
      <w:r>
        <w:rPr>
          <w:rFonts w:ascii="Arial" w:cs="Arial" w:eastAsia="Arial" w:hAnsi="Arial"/>
          <w:sz w:val="17"/>
          <w:szCs w:val="17"/>
          <w:b w:val="1"/>
          <w:bCs w:val="1"/>
          <w:color w:val="auto"/>
        </w:rPr>
        <w:t xml:space="preserve">Mibanco’s </w:t>
      </w:r>
      <w:r>
        <w:rPr>
          <w:rFonts w:ascii="Arial" w:cs="Arial" w:eastAsia="Arial" w:hAnsi="Arial"/>
          <w:sz w:val="17"/>
          <w:szCs w:val="17"/>
          <w:color w:val="auto"/>
        </w:rPr>
        <w:t>hybrid model continues to</w:t>
      </w:r>
      <w:r>
        <w:rPr>
          <w:rFonts w:ascii="Arial" w:cs="Arial" w:eastAsia="Arial" w:hAnsi="Arial"/>
          <w:sz w:val="17"/>
          <w:szCs w:val="17"/>
          <w:b w:val="1"/>
          <w:bCs w:val="1"/>
          <w:color w:val="auto"/>
        </w:rPr>
        <w:t xml:space="preserve"> </w:t>
      </w:r>
      <w:r>
        <w:rPr>
          <w:rFonts w:ascii="Arial" w:cs="Arial" w:eastAsia="Arial" w:hAnsi="Arial"/>
          <w:sz w:val="17"/>
          <w:szCs w:val="17"/>
          <w:color w:val="auto"/>
        </w:rPr>
        <w:t>drive positive performance and led to record highs for loan origination. This dynamic, coupled with active yield management strategies, allowed Mibanco to boost its Net Interest Income, while keeping asset quality at healthy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240665</wp:posOffset>
            </wp:positionV>
            <wp:extent cx="3425825" cy="409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5825" cy="40957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9"/>
          <w:szCs w:val="19"/>
          <w:b w:val="1"/>
          <w:bCs w:val="1"/>
          <w:color w:val="FFFFFF"/>
        </w:rPr>
        <w:t>Investment Banking</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9"/>
          <w:szCs w:val="19"/>
          <w:b w:val="1"/>
          <w:bCs w:val="1"/>
          <w:color w:val="FFFFFF"/>
        </w:rPr>
        <w:t>&amp; Wealth Management</w:t>
      </w:r>
    </w:p>
    <w:p>
      <w:pPr>
        <w:spacing w:after="0" w:line="375" w:lineRule="exact"/>
        <w:rPr>
          <w:sz w:val="20"/>
          <w:szCs w:val="20"/>
          <w:color w:val="auto"/>
        </w:rPr>
      </w:pPr>
    </w:p>
    <w:p>
      <w:pPr>
        <w:jc w:val="center"/>
        <w:ind w:right="1000"/>
        <w:spacing w:after="0" w:line="233" w:lineRule="auto"/>
        <w:rPr>
          <w:sz w:val="20"/>
          <w:szCs w:val="20"/>
          <w:color w:val="auto"/>
        </w:rPr>
      </w:pPr>
      <w:r>
        <w:rPr>
          <w:rFonts w:ascii="Arial" w:cs="Arial" w:eastAsia="Arial" w:hAnsi="Arial"/>
          <w:sz w:val="18"/>
          <w:szCs w:val="18"/>
          <w:color w:val="auto"/>
        </w:rPr>
        <w:t>The IB &amp; WM business is challenged by the current environment. Market volatility and political uncertainty negatively impacted the non-core businesses while AM &amp; WM reflect the impact of last year´s funds outflows.</w:t>
      </w:r>
    </w:p>
    <w:p>
      <w:pPr>
        <w:spacing w:after="0" w:line="412" w:lineRule="exact"/>
        <w:rPr>
          <w:sz w:val="20"/>
          <w:szCs w:val="20"/>
          <w:color w:val="auto"/>
        </w:rPr>
      </w:pPr>
    </w:p>
    <w:p>
      <w:pPr>
        <w:sectPr>
          <w:pgSz w:w="11900" w:h="16838" w:orient="portrait"/>
          <w:cols w:equalWidth="0" w:num="2">
            <w:col w:w="6100" w:space="720"/>
            <w:col w:w="4440"/>
          </w:cols>
          <w:pgMar w:left="320" w:top="400" w:right="319" w:bottom="1440" w:gutter="0" w:footer="0" w:header="0"/>
        </w:sectPr>
      </w:pP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50735" cy="523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523240"/>
                    </a:xfrm>
                    <a:prstGeom prst="rect">
                      <a:avLst/>
                    </a:prstGeom>
                    <a:noFill/>
                  </pic:spPr>
                </pic:pic>
              </a:graphicData>
            </a:graphic>
          </wp:anchor>
        </w:drawing>
      </w:r>
    </w:p>
    <w:p>
      <w:pPr>
        <w:spacing w:after="0" w:line="375" w:lineRule="exact"/>
        <w:rPr>
          <w:sz w:val="20"/>
          <w:szCs w:val="20"/>
          <w:color w:val="auto"/>
        </w:rPr>
      </w:pPr>
    </w:p>
    <w:p>
      <w:pPr>
        <w:jc w:val="center"/>
        <w:ind w:left="1900" w:right="1920"/>
        <w:spacing w:after="0" w:line="242" w:lineRule="auto"/>
        <w:rPr>
          <w:sz w:val="20"/>
          <w:szCs w:val="20"/>
          <w:color w:val="auto"/>
        </w:rPr>
      </w:pPr>
      <w:r>
        <w:rPr>
          <w:rFonts w:ascii="Arial" w:cs="Arial" w:eastAsia="Arial" w:hAnsi="Arial"/>
          <w:sz w:val="18"/>
          <w:szCs w:val="18"/>
          <w:color w:val="auto"/>
        </w:rPr>
        <w:t>We expect an ROE close to 17.5% for the full year figure. Likewise, current loan dynamics in a context of high inflation and interest rate hikes led us to expect Net Interest Margin and Cost of Risk figures to situate within the upper end of the guidance range.</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type w:val="continuous"/>
        </w:sectPr>
      </w:pPr>
    </w:p>
    <w:bookmarkStart w:id="12" w:name="page13"/>
    <w:bookmarkEnd w:id="12"/>
    <w:p>
      <w:pPr>
        <w:ind w:left="3403"/>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58"/>
        </w:trPr>
        <w:tc>
          <w:tcPr>
            <w:tcW w:w="532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Credicorp Ltd.</w:t>
            </w:r>
          </w:p>
        </w:tc>
        <w:tc>
          <w:tcPr>
            <w:tcW w:w="760" w:type="dxa"/>
            <w:vAlign w:val="bottom"/>
            <w:tcBorders>
              <w:top w:val="single" w:sz="8" w:color="auto"/>
            </w:tcBorders>
            <w:shd w:val="clear" w:color="auto" w:fill="33CCCC"/>
          </w:tcPr>
          <w:p>
            <w:pPr>
              <w:spacing w:after="0"/>
              <w:rPr>
                <w:sz w:val="13"/>
                <w:szCs w:val="13"/>
                <w:color w:val="auto"/>
              </w:rPr>
            </w:pPr>
          </w:p>
        </w:tc>
        <w:tc>
          <w:tcPr>
            <w:tcW w:w="740" w:type="dxa"/>
            <w:vAlign w:val="bottom"/>
            <w:tcBorders>
              <w:top w:val="single" w:sz="8" w:color="auto"/>
            </w:tcBorders>
            <w:shd w:val="clear" w:color="auto" w:fill="33CCCC"/>
          </w:tcPr>
          <w:p>
            <w:pPr>
              <w:jc w:val="right"/>
              <w:ind w:right="95"/>
              <w:spacing w:after="0"/>
              <w:rPr>
                <w:sz w:val="20"/>
                <w:szCs w:val="20"/>
                <w:color w:val="auto"/>
              </w:rPr>
            </w:pPr>
            <w:r>
              <w:rPr>
                <w:rFonts w:ascii="Arial" w:cs="Arial" w:eastAsia="Arial" w:hAnsi="Arial"/>
                <w:sz w:val="13"/>
                <w:szCs w:val="13"/>
                <w:b w:val="1"/>
                <w:bCs w:val="1"/>
                <w:color w:val="FFFFFF"/>
              </w:rPr>
              <w:t>Quarter</w:t>
            </w:r>
          </w:p>
        </w:tc>
        <w:tc>
          <w:tcPr>
            <w:tcW w:w="720" w:type="dxa"/>
            <w:vAlign w:val="bottom"/>
            <w:tcBorders>
              <w:top w:val="single" w:sz="8" w:color="auto"/>
              <w:right w:val="single" w:sz="8" w:color="auto"/>
            </w:tcBorders>
            <w:shd w:val="clear" w:color="auto" w:fill="33CCCC"/>
          </w:tcPr>
          <w:p>
            <w:pPr>
              <w:spacing w:after="0"/>
              <w:rPr>
                <w:sz w:val="13"/>
                <w:szCs w:val="13"/>
                <w:color w:val="auto"/>
              </w:rPr>
            </w:pPr>
          </w:p>
        </w:tc>
        <w:tc>
          <w:tcPr>
            <w:tcW w:w="1300" w:type="dxa"/>
            <w:vAlign w:val="bottom"/>
            <w:tcBorders>
              <w:top w:val="single" w:sz="8" w:color="auto"/>
              <w:right w:val="single" w:sz="8" w:color="auto"/>
            </w:tcBorders>
            <w:gridSpan w:val="2"/>
            <w:shd w:val="clear" w:color="auto" w:fill="33CCCC"/>
          </w:tcPr>
          <w:p>
            <w:pPr>
              <w:ind w:left="320"/>
              <w:spacing w:after="0"/>
              <w:rPr>
                <w:sz w:val="20"/>
                <w:szCs w:val="20"/>
                <w:color w:val="auto"/>
              </w:rPr>
            </w:pPr>
            <w:r>
              <w:rPr>
                <w:rFonts w:ascii="Arial" w:cs="Arial" w:eastAsia="Arial" w:hAnsi="Arial"/>
                <w:sz w:val="13"/>
                <w:szCs w:val="13"/>
                <w:b w:val="1"/>
                <w:bCs w:val="1"/>
                <w:color w:val="FFFFFF"/>
              </w:rPr>
              <w:t>% change</w:t>
            </w:r>
          </w:p>
        </w:tc>
        <w:tc>
          <w:tcPr>
            <w:tcW w:w="1460" w:type="dxa"/>
            <w:vAlign w:val="bottom"/>
            <w:tcBorders>
              <w:top w:val="single" w:sz="8" w:color="auto"/>
              <w:right w:val="single" w:sz="8" w:color="auto"/>
            </w:tcBorders>
            <w:gridSpan w:val="2"/>
            <w:shd w:val="clear" w:color="auto" w:fill="33CCCC"/>
          </w:tcPr>
          <w:p>
            <w:pPr>
              <w:jc w:val="right"/>
              <w:ind w:right="515"/>
              <w:spacing w:after="0"/>
              <w:rPr>
                <w:sz w:val="20"/>
                <w:szCs w:val="20"/>
                <w:color w:val="auto"/>
              </w:rPr>
            </w:pPr>
            <w:r>
              <w:rPr>
                <w:rFonts w:ascii="Arial" w:cs="Arial" w:eastAsia="Arial" w:hAnsi="Arial"/>
                <w:sz w:val="13"/>
                <w:szCs w:val="13"/>
                <w:b w:val="1"/>
                <w:bCs w:val="1"/>
                <w:color w:val="FFFFFF"/>
              </w:rPr>
              <w:t>As of</w:t>
            </w:r>
          </w:p>
        </w:tc>
        <w:tc>
          <w:tcPr>
            <w:tcW w:w="9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46"/>
        </w:trPr>
        <w:tc>
          <w:tcPr>
            <w:tcW w:w="5320" w:type="dxa"/>
            <w:vAlign w:val="bottom"/>
            <w:tcBorders>
              <w:left w:val="single" w:sz="8" w:color="auto"/>
              <w:bottom w:val="single" w:sz="8" w:color="auto"/>
              <w:right w:val="single" w:sz="8" w:color="auto"/>
            </w:tcBorders>
            <w:shd w:val="clear" w:color="auto" w:fill="33CCCC"/>
          </w:tcPr>
          <w:p>
            <w:pPr>
              <w:spacing w:after="0" w:line="146" w:lineRule="exact"/>
              <w:rPr>
                <w:sz w:val="20"/>
                <w:szCs w:val="20"/>
                <w:color w:val="auto"/>
              </w:rPr>
            </w:pPr>
            <w:r>
              <w:rPr>
                <w:rFonts w:ascii="Arial" w:cs="Arial" w:eastAsia="Arial" w:hAnsi="Arial"/>
                <w:sz w:val="13"/>
                <w:szCs w:val="13"/>
                <w:b w:val="1"/>
                <w:bCs w:val="1"/>
                <w:color w:val="FFFFFF"/>
              </w:rPr>
              <w:t>S/ 000</w:t>
            </w:r>
          </w:p>
        </w:tc>
        <w:tc>
          <w:tcPr>
            <w:tcW w:w="760" w:type="dxa"/>
            <w:vAlign w:val="bottom"/>
            <w:tcBorders>
              <w:bottom w:val="single" w:sz="8" w:color="auto"/>
            </w:tcBorders>
            <w:shd w:val="clear" w:color="auto" w:fill="33CCCC"/>
          </w:tcPr>
          <w:p>
            <w:pPr>
              <w:jc w:val="right"/>
              <w:ind w:right="175"/>
              <w:spacing w:after="0" w:line="146" w:lineRule="exact"/>
              <w:rPr>
                <w:sz w:val="20"/>
                <w:szCs w:val="20"/>
                <w:color w:val="auto"/>
              </w:rPr>
            </w:pPr>
            <w:r>
              <w:rPr>
                <w:rFonts w:ascii="Arial" w:cs="Arial" w:eastAsia="Arial" w:hAnsi="Arial"/>
                <w:sz w:val="13"/>
                <w:szCs w:val="13"/>
                <w:b w:val="1"/>
                <w:bCs w:val="1"/>
                <w:color w:val="FFFFFF"/>
              </w:rPr>
              <w:t>2Q21</w:t>
            </w:r>
          </w:p>
        </w:tc>
        <w:tc>
          <w:tcPr>
            <w:tcW w:w="740" w:type="dxa"/>
            <w:vAlign w:val="bottom"/>
            <w:tcBorders>
              <w:bottom w:val="single" w:sz="8" w:color="auto"/>
            </w:tcBorders>
            <w:shd w:val="clear" w:color="auto" w:fill="33CCCC"/>
          </w:tcPr>
          <w:p>
            <w:pPr>
              <w:jc w:val="right"/>
              <w:ind w:right="175"/>
              <w:spacing w:after="0" w:line="146" w:lineRule="exact"/>
              <w:rPr>
                <w:sz w:val="20"/>
                <w:szCs w:val="20"/>
                <w:color w:val="auto"/>
              </w:rPr>
            </w:pPr>
            <w:r>
              <w:rPr>
                <w:rFonts w:ascii="Arial" w:cs="Arial" w:eastAsia="Arial" w:hAnsi="Arial"/>
                <w:sz w:val="13"/>
                <w:szCs w:val="13"/>
                <w:b w:val="1"/>
                <w:bCs w:val="1"/>
                <w:color w:val="FFFFFF"/>
              </w:rPr>
              <w:t>1Q22</w:t>
            </w:r>
          </w:p>
        </w:tc>
        <w:tc>
          <w:tcPr>
            <w:tcW w:w="720" w:type="dxa"/>
            <w:vAlign w:val="bottom"/>
            <w:tcBorders>
              <w:bottom w:val="single" w:sz="8" w:color="auto"/>
              <w:right w:val="single" w:sz="8" w:color="auto"/>
            </w:tcBorders>
            <w:shd w:val="clear" w:color="auto" w:fill="33CCCC"/>
          </w:tcPr>
          <w:p>
            <w:pPr>
              <w:jc w:val="right"/>
              <w:ind w:right="175"/>
              <w:spacing w:after="0" w:line="146" w:lineRule="exact"/>
              <w:rPr>
                <w:sz w:val="20"/>
                <w:szCs w:val="20"/>
                <w:color w:val="auto"/>
              </w:rPr>
            </w:pPr>
            <w:r>
              <w:rPr>
                <w:rFonts w:ascii="Arial" w:cs="Arial" w:eastAsia="Arial" w:hAnsi="Arial"/>
                <w:sz w:val="13"/>
                <w:szCs w:val="13"/>
                <w:b w:val="1"/>
                <w:bCs w:val="1"/>
                <w:color w:val="FFFFFF"/>
              </w:rPr>
              <w:t>2Q22</w:t>
            </w:r>
          </w:p>
        </w:tc>
        <w:tc>
          <w:tcPr>
            <w:tcW w:w="620" w:type="dxa"/>
            <w:vAlign w:val="bottom"/>
            <w:tcBorders>
              <w:bottom w:val="single" w:sz="8" w:color="auto"/>
            </w:tcBorders>
            <w:shd w:val="clear" w:color="auto" w:fill="33CCCC"/>
          </w:tcPr>
          <w:p>
            <w:pPr>
              <w:ind w:left="160"/>
              <w:spacing w:after="0" w:line="146" w:lineRule="exact"/>
              <w:rPr>
                <w:sz w:val="20"/>
                <w:szCs w:val="20"/>
                <w:color w:val="auto"/>
              </w:rPr>
            </w:pPr>
            <w:r>
              <w:rPr>
                <w:rFonts w:ascii="Arial" w:cs="Arial" w:eastAsia="Arial" w:hAnsi="Arial"/>
                <w:sz w:val="13"/>
                <w:szCs w:val="13"/>
                <w:b w:val="1"/>
                <w:bCs w:val="1"/>
                <w:color w:val="FFFFFF"/>
              </w:rPr>
              <w:t>QoQ</w:t>
            </w:r>
          </w:p>
        </w:tc>
        <w:tc>
          <w:tcPr>
            <w:tcW w:w="680" w:type="dxa"/>
            <w:vAlign w:val="bottom"/>
            <w:tcBorders>
              <w:bottom w:val="single" w:sz="8" w:color="auto"/>
              <w:right w:val="single" w:sz="8" w:color="auto"/>
            </w:tcBorders>
            <w:shd w:val="clear" w:color="auto" w:fill="33CCCC"/>
          </w:tcPr>
          <w:p>
            <w:pPr>
              <w:jc w:val="center"/>
              <w:spacing w:after="0" w:line="146" w:lineRule="exact"/>
              <w:rPr>
                <w:sz w:val="20"/>
                <w:szCs w:val="20"/>
                <w:color w:val="auto"/>
              </w:rPr>
            </w:pPr>
            <w:r>
              <w:rPr>
                <w:rFonts w:ascii="Arial" w:cs="Arial" w:eastAsia="Arial" w:hAnsi="Arial"/>
                <w:sz w:val="13"/>
                <w:szCs w:val="13"/>
                <w:b w:val="1"/>
                <w:bCs w:val="1"/>
                <w:color w:val="FFFFFF"/>
                <w:w w:val="94"/>
              </w:rPr>
              <w:t>YoY</w:t>
            </w:r>
          </w:p>
        </w:tc>
        <w:tc>
          <w:tcPr>
            <w:tcW w:w="760" w:type="dxa"/>
            <w:vAlign w:val="bottom"/>
            <w:tcBorders>
              <w:bottom w:val="single" w:sz="8" w:color="auto"/>
            </w:tcBorders>
            <w:shd w:val="clear" w:color="auto" w:fill="33CCCC"/>
          </w:tcPr>
          <w:p>
            <w:pPr>
              <w:jc w:val="right"/>
              <w:ind w:right="135"/>
              <w:spacing w:after="0" w:line="146" w:lineRule="exact"/>
              <w:rPr>
                <w:sz w:val="20"/>
                <w:szCs w:val="20"/>
                <w:color w:val="auto"/>
              </w:rPr>
            </w:pPr>
            <w:r>
              <w:rPr>
                <w:rFonts w:ascii="Arial" w:cs="Arial" w:eastAsia="Arial" w:hAnsi="Arial"/>
                <w:sz w:val="13"/>
                <w:szCs w:val="13"/>
                <w:b w:val="1"/>
                <w:bCs w:val="1"/>
                <w:color w:val="FFFFFF"/>
              </w:rPr>
              <w:t>Jun 21</w:t>
            </w:r>
          </w:p>
        </w:tc>
        <w:tc>
          <w:tcPr>
            <w:tcW w:w="700" w:type="dxa"/>
            <w:vAlign w:val="bottom"/>
            <w:tcBorders>
              <w:bottom w:val="single" w:sz="8" w:color="auto"/>
              <w:right w:val="single" w:sz="8" w:color="auto"/>
            </w:tcBorders>
            <w:shd w:val="clear" w:color="auto" w:fill="33CCCC"/>
          </w:tcPr>
          <w:p>
            <w:pPr>
              <w:jc w:val="right"/>
              <w:ind w:right="115"/>
              <w:spacing w:after="0" w:line="146" w:lineRule="exact"/>
              <w:rPr>
                <w:sz w:val="20"/>
                <w:szCs w:val="20"/>
                <w:color w:val="auto"/>
              </w:rPr>
            </w:pPr>
            <w:r>
              <w:rPr>
                <w:rFonts w:ascii="Arial" w:cs="Arial" w:eastAsia="Arial" w:hAnsi="Arial"/>
                <w:sz w:val="13"/>
                <w:szCs w:val="13"/>
                <w:b w:val="1"/>
                <w:bCs w:val="1"/>
                <w:color w:val="FFFFFF"/>
              </w:rPr>
              <w:t>Jun 22</w:t>
            </w:r>
          </w:p>
        </w:tc>
        <w:tc>
          <w:tcPr>
            <w:tcW w:w="960" w:type="dxa"/>
            <w:vAlign w:val="bottom"/>
            <w:tcBorders>
              <w:bottom w:val="single" w:sz="8" w:color="auto"/>
              <w:right w:val="single" w:sz="8" w:color="auto"/>
            </w:tcBorders>
            <w:shd w:val="clear" w:color="auto" w:fill="33CCCC"/>
          </w:tcPr>
          <w:p>
            <w:pPr>
              <w:jc w:val="center"/>
              <w:spacing w:after="0" w:line="146" w:lineRule="exact"/>
              <w:rPr>
                <w:sz w:val="20"/>
                <w:szCs w:val="20"/>
                <w:color w:val="auto"/>
              </w:rPr>
            </w:pPr>
            <w:r>
              <w:rPr>
                <w:rFonts w:ascii="Arial" w:cs="Arial" w:eastAsia="Arial" w:hAnsi="Arial"/>
                <w:sz w:val="13"/>
                <w:szCs w:val="13"/>
                <w:b w:val="1"/>
                <w:bCs w:val="1"/>
                <w:color w:val="FFFFFF"/>
              </w:rPr>
              <w:t>Jun 22 / Jun 21</w:t>
            </w:r>
          </w:p>
        </w:tc>
      </w:tr>
      <w:tr>
        <w:trPr>
          <w:trHeight w:val="164"/>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Net interest, similar income and expenses</w:t>
            </w:r>
          </w:p>
        </w:tc>
        <w:tc>
          <w:tcPr>
            <w:tcW w:w="760" w:type="dxa"/>
            <w:vAlign w:val="bottom"/>
          </w:tcPr>
          <w:p>
            <w:pPr>
              <w:jc w:val="right"/>
              <w:spacing w:after="0"/>
              <w:rPr>
                <w:sz w:val="20"/>
                <w:szCs w:val="20"/>
                <w:color w:val="auto"/>
              </w:rPr>
            </w:pPr>
            <w:r>
              <w:rPr>
                <w:rFonts w:ascii="Arial" w:cs="Arial" w:eastAsia="Arial" w:hAnsi="Arial"/>
                <w:sz w:val="13"/>
                <w:szCs w:val="13"/>
                <w:color w:val="auto"/>
              </w:rPr>
              <w:t>2,309,042</w:t>
            </w:r>
          </w:p>
        </w:tc>
        <w:tc>
          <w:tcPr>
            <w:tcW w:w="740" w:type="dxa"/>
            <w:vAlign w:val="bottom"/>
          </w:tcPr>
          <w:p>
            <w:pPr>
              <w:jc w:val="right"/>
              <w:spacing w:after="0"/>
              <w:rPr>
                <w:sz w:val="20"/>
                <w:szCs w:val="20"/>
                <w:color w:val="auto"/>
              </w:rPr>
            </w:pPr>
            <w:r>
              <w:rPr>
                <w:rFonts w:ascii="Arial" w:cs="Arial" w:eastAsia="Arial" w:hAnsi="Arial"/>
                <w:sz w:val="13"/>
                <w:szCs w:val="13"/>
                <w:color w:val="auto"/>
              </w:rPr>
              <w:t>2,534,090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2,740,440</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8.1%</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w:t>
            </w:r>
          </w:p>
        </w:tc>
        <w:tc>
          <w:tcPr>
            <w:tcW w:w="760" w:type="dxa"/>
            <w:vAlign w:val="bottom"/>
          </w:tcPr>
          <w:p>
            <w:pPr>
              <w:jc w:val="right"/>
              <w:spacing w:after="0"/>
              <w:rPr>
                <w:sz w:val="20"/>
                <w:szCs w:val="20"/>
                <w:color w:val="auto"/>
              </w:rPr>
            </w:pPr>
            <w:r>
              <w:rPr>
                <w:rFonts w:ascii="Arial" w:cs="Arial" w:eastAsia="Arial" w:hAnsi="Arial"/>
                <w:sz w:val="13"/>
                <w:szCs w:val="13"/>
                <w:color w:val="auto"/>
              </w:rPr>
              <w:t>4,432,425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5,274,530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19.0%</w:t>
            </w:r>
          </w:p>
        </w:tc>
      </w:tr>
      <w:tr>
        <w:trPr>
          <w:trHeight w:val="309"/>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Provision for credit losses on loan portfolio, net of recoveries</w:t>
            </w:r>
          </w:p>
        </w:tc>
        <w:tc>
          <w:tcPr>
            <w:tcW w:w="760" w:type="dxa"/>
            <w:vAlign w:val="bottom"/>
          </w:tcPr>
          <w:p>
            <w:pPr>
              <w:jc w:val="right"/>
              <w:spacing w:after="0"/>
              <w:rPr>
                <w:sz w:val="20"/>
                <w:szCs w:val="20"/>
                <w:color w:val="auto"/>
              </w:rPr>
            </w:pPr>
            <w:r>
              <w:rPr>
                <w:rFonts w:ascii="Arial" w:cs="Arial" w:eastAsia="Arial" w:hAnsi="Arial"/>
                <w:sz w:val="13"/>
                <w:szCs w:val="13"/>
                <w:color w:val="auto"/>
              </w:rPr>
              <w:t>(363,380)</w:t>
            </w:r>
          </w:p>
        </w:tc>
        <w:tc>
          <w:tcPr>
            <w:tcW w:w="740" w:type="dxa"/>
            <w:vAlign w:val="bottom"/>
          </w:tcPr>
          <w:p>
            <w:pPr>
              <w:jc w:val="right"/>
              <w:spacing w:after="0"/>
              <w:rPr>
                <w:sz w:val="20"/>
                <w:szCs w:val="20"/>
                <w:color w:val="auto"/>
              </w:rPr>
            </w:pPr>
            <w:r>
              <w:rPr>
                <w:rFonts w:ascii="Arial" w:cs="Arial" w:eastAsia="Arial" w:hAnsi="Arial"/>
                <w:sz w:val="13"/>
                <w:szCs w:val="13"/>
                <w:color w:val="auto"/>
              </w:rPr>
              <w:t>(257,590)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(363,291)</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41.0%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760" w:type="dxa"/>
            <w:vAlign w:val="bottom"/>
          </w:tcPr>
          <w:p>
            <w:pPr>
              <w:jc w:val="right"/>
              <w:spacing w:after="0"/>
              <w:rPr>
                <w:sz w:val="20"/>
                <w:szCs w:val="20"/>
                <w:color w:val="auto"/>
              </w:rPr>
            </w:pPr>
            <w:r>
              <w:rPr>
                <w:rFonts w:ascii="Arial" w:cs="Arial" w:eastAsia="Arial" w:hAnsi="Arial"/>
                <w:sz w:val="13"/>
                <w:szCs w:val="13"/>
                <w:color w:val="auto"/>
              </w:rPr>
              <w:t>(921,027)</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(620,881)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-32.6%</w:t>
            </w:r>
          </w:p>
        </w:tc>
      </w:tr>
      <w:tr>
        <w:trPr>
          <w:trHeight w:val="291"/>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Net interest, similar income and expenses, after provision for credit losses on loan</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1,945,662</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2,276,500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2,377,149</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4.4%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22.2%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3,511,398</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4,653,649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32.5%</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portfolio</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Total other income</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1,191,694</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1,242,749</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1,203,980</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-3.1%</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1.0%</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2,386,224</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2,446,729</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2.5%</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Insurance underwriting result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(136,335)</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141,546</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137,042</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-3.2%</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-200.5%</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(201,582)</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278,588</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n.a</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Total other expenses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(1,860,447)</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(1,950,182)</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(2,054,810)</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4"/>
              </w:rPr>
              <w:t>5.4%</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10.4%</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(3,540,718)</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w w:val="99"/>
              </w:rPr>
              <w:t>(4,004,992)</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13.1%</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Profit (loss) before income tax</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1,140,574</w:t>
            </w:r>
          </w:p>
        </w:tc>
        <w:tc>
          <w:tcPr>
            <w:tcW w:w="74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1,710,613</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1,663,361</w:t>
            </w: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-2.8%</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45.8%</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2,155,322</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3,373,974</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56.5%</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Income tax</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(423,491)</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(546,001)</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(513,181)</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-6.0%</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21.2%</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(761,090)</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w w:val="99"/>
              </w:rPr>
              <w:t>(1,059,182)</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n.a</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Net profit (loss)</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717,083</w:t>
            </w:r>
          </w:p>
        </w:tc>
        <w:tc>
          <w:tcPr>
            <w:tcW w:w="74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1,164,612</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1,150,180</w:t>
            </w: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-1.2%</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60.4%</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1,394,232</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2,314,792</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66.0%</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Non-controlling interest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17,614</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27,786</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28,420</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4"/>
              </w:rPr>
              <w:t>2.3%</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61.3%</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33,965</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56,206</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n.a</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Net profit (loss) attributable to Credicorp</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699,469</w:t>
            </w:r>
          </w:p>
        </w:tc>
        <w:tc>
          <w:tcPr>
            <w:tcW w:w="74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1,136,826</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1,121,760</w:t>
            </w: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-1.3%</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60.4%</w:t>
            </w:r>
          </w:p>
        </w:tc>
        <w:tc>
          <w:tcPr>
            <w:tcW w:w="7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1,360,267</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2,258,586</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66.0%</w:t>
            </w:r>
          </w:p>
        </w:tc>
      </w:tr>
      <w:tr>
        <w:trPr>
          <w:trHeight w:val="154"/>
        </w:trPr>
        <w:tc>
          <w:tcPr>
            <w:tcW w:w="5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Net profit (loss) / share (S/)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14.25</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14.06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17.05</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28.32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66.0%</w:t>
            </w:r>
          </w:p>
        </w:tc>
      </w:tr>
      <w:tr>
        <w:trPr>
          <w:trHeight w:val="131"/>
        </w:trPr>
        <w:tc>
          <w:tcPr>
            <w:tcW w:w="5320" w:type="dxa"/>
            <w:vAlign w:val="bottom"/>
            <w:tcBorders>
              <w:left w:val="single" w:sz="8" w:color="auto"/>
              <w:right w:val="single" w:sz="8" w:color="auto"/>
            </w:tcBorders>
          </w:tcPr>
          <w:p>
            <w:pPr>
              <w:spacing w:after="0" w:line="131" w:lineRule="exact"/>
              <w:rPr>
                <w:sz w:val="20"/>
                <w:szCs w:val="20"/>
                <w:color w:val="auto"/>
              </w:rPr>
            </w:pPr>
            <w:r>
              <w:rPr>
                <w:rFonts w:ascii="Arial" w:cs="Arial" w:eastAsia="Arial" w:hAnsi="Arial"/>
                <w:sz w:val="13"/>
                <w:szCs w:val="13"/>
                <w:color w:val="auto"/>
              </w:rPr>
              <w:t>Loans</w:t>
            </w:r>
          </w:p>
        </w:tc>
        <w:tc>
          <w:tcPr>
            <w:tcW w:w="2220" w:type="dxa"/>
            <w:vAlign w:val="bottom"/>
            <w:tcBorders>
              <w:right w:val="single" w:sz="8" w:color="auto"/>
            </w:tcBorders>
            <w:gridSpan w:val="3"/>
          </w:tcPr>
          <w:p>
            <w:pPr>
              <w:jc w:val="right"/>
              <w:spacing w:after="0" w:line="131" w:lineRule="exact"/>
              <w:rPr>
                <w:sz w:val="20"/>
                <w:szCs w:val="20"/>
                <w:color w:val="auto"/>
              </w:rPr>
            </w:pPr>
            <w:r>
              <w:rPr>
                <w:rFonts w:ascii="Arial" w:cs="Arial" w:eastAsia="Arial" w:hAnsi="Arial"/>
                <w:sz w:val="13"/>
                <w:szCs w:val="13"/>
                <w:color w:val="auto"/>
              </w:rPr>
              <w:t>143,091,752144,621,513150,370,184</w:t>
            </w:r>
          </w:p>
        </w:tc>
        <w:tc>
          <w:tcPr>
            <w:tcW w:w="620" w:type="dxa"/>
            <w:vAlign w:val="bottom"/>
          </w:tcPr>
          <w:p>
            <w:pPr>
              <w:jc w:val="center"/>
              <w:spacing w:after="0" w:line="131" w:lineRule="exact"/>
              <w:rPr>
                <w:sz w:val="20"/>
                <w:szCs w:val="20"/>
                <w:color w:val="auto"/>
              </w:rPr>
            </w:pPr>
            <w:r>
              <w:rPr>
                <w:rFonts w:ascii="Arial" w:cs="Arial" w:eastAsia="Arial" w:hAnsi="Arial"/>
                <w:sz w:val="13"/>
                <w:szCs w:val="13"/>
                <w:color w:val="auto"/>
                <w:w w:val="94"/>
              </w:rPr>
              <w:t>4.0%</w:t>
            </w:r>
          </w:p>
        </w:tc>
        <w:tc>
          <w:tcPr>
            <w:tcW w:w="6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5.1%</w:t>
            </w:r>
          </w:p>
        </w:tc>
        <w:tc>
          <w:tcPr>
            <w:tcW w:w="1460" w:type="dxa"/>
            <w:vAlign w:val="bottom"/>
            <w:tcBorders>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w w:val="98"/>
              </w:rPr>
              <w:t>143,091,752150,370,184</w:t>
            </w:r>
          </w:p>
        </w:tc>
        <w:tc>
          <w:tcPr>
            <w:tcW w:w="9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5.1%</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Deposits and obligations</w:t>
            </w:r>
          </w:p>
        </w:tc>
        <w:tc>
          <w:tcPr>
            <w:tcW w:w="2220" w:type="dxa"/>
            <w:vAlign w:val="bottom"/>
            <w:tcBorders>
              <w:right w:val="single" w:sz="8" w:color="auto"/>
            </w:tcBorders>
            <w:gridSpan w:val="3"/>
          </w:tcPr>
          <w:p>
            <w:pPr>
              <w:jc w:val="right"/>
              <w:spacing w:after="0" w:line="146" w:lineRule="exact"/>
              <w:rPr>
                <w:sz w:val="20"/>
                <w:szCs w:val="20"/>
                <w:color w:val="auto"/>
              </w:rPr>
            </w:pPr>
            <w:r>
              <w:rPr>
                <w:rFonts w:ascii="Arial" w:cs="Arial" w:eastAsia="Arial" w:hAnsi="Arial"/>
                <w:sz w:val="13"/>
                <w:szCs w:val="13"/>
                <w:color w:val="auto"/>
              </w:rPr>
              <w:t>149,161,803147,915,964147,440,575</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-0.3%</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-1.2%</w:t>
            </w:r>
          </w:p>
        </w:tc>
        <w:tc>
          <w:tcPr>
            <w:tcW w:w="1460" w:type="dxa"/>
            <w:vAlign w:val="bottom"/>
            <w:tcBorders>
              <w:right w:val="single" w:sz="8" w:color="auto"/>
            </w:tcBorders>
            <w:gridSpan w:val="2"/>
          </w:tcPr>
          <w:p>
            <w:pPr>
              <w:jc w:val="right"/>
              <w:spacing w:after="0" w:line="146" w:lineRule="exact"/>
              <w:rPr>
                <w:sz w:val="20"/>
                <w:szCs w:val="20"/>
                <w:color w:val="auto"/>
              </w:rPr>
            </w:pPr>
            <w:r>
              <w:rPr>
                <w:rFonts w:ascii="Arial" w:cs="Arial" w:eastAsia="Arial" w:hAnsi="Arial"/>
                <w:sz w:val="13"/>
                <w:szCs w:val="13"/>
                <w:color w:val="auto"/>
                <w:w w:val="98"/>
              </w:rPr>
              <w:t>149,161,803147,440,575</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-1.2%</w:t>
            </w:r>
          </w:p>
        </w:tc>
      </w:tr>
      <w:tr>
        <w:trPr>
          <w:trHeight w:val="154"/>
        </w:trPr>
        <w:tc>
          <w:tcPr>
            <w:tcW w:w="5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Net equity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25,073,706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26,872,626</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26,175,222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-2.6%</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25,073,706</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26,175,222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4.4%</w:t>
            </w:r>
          </w:p>
        </w:tc>
      </w:tr>
      <w:tr>
        <w:trPr>
          <w:trHeight w:val="155"/>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Profitability</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Net interest margin</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4.01%</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4.44%</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4.90%</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46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89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3.90%</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4.65%</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75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Risk-adjusted Net interest margin</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3.38%</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3.99%</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4.25%</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26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87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3.09%</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4.10%</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101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Funding cost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1.18%</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1.33%</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1.59%</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26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41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1.31%</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1.45%</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14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ROAE</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11.3%</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17.0%</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16.9%</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-10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560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10.9%</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17.2%</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630 bps</w:t>
            </w:r>
          </w:p>
        </w:tc>
      </w:tr>
      <w:tr>
        <w:trPr>
          <w:trHeight w:val="154"/>
        </w:trPr>
        <w:tc>
          <w:tcPr>
            <w:tcW w:w="5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ROAA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 bps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80 bps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80 bps</w:t>
            </w:r>
          </w:p>
        </w:tc>
      </w:tr>
      <w:tr>
        <w:trPr>
          <w:trHeight w:val="140"/>
        </w:trPr>
        <w:tc>
          <w:tcPr>
            <w:tcW w:w="5320" w:type="dxa"/>
            <w:vAlign w:val="bottom"/>
            <w:tcBorders>
              <w:left w:val="single" w:sz="8" w:color="auto"/>
              <w:right w:val="single" w:sz="8" w:color="auto"/>
            </w:tcBorders>
          </w:tcPr>
          <w:p>
            <w:pPr>
              <w:spacing w:after="0" w:line="140" w:lineRule="exact"/>
              <w:rPr>
                <w:sz w:val="20"/>
                <w:szCs w:val="20"/>
                <w:color w:val="auto"/>
              </w:rPr>
            </w:pPr>
            <w:r>
              <w:rPr>
                <w:rFonts w:ascii="Arial" w:cs="Arial" w:eastAsia="Arial" w:hAnsi="Arial"/>
                <w:sz w:val="13"/>
                <w:szCs w:val="13"/>
                <w:b w:val="1"/>
                <w:bCs w:val="1"/>
                <w:color w:val="auto"/>
              </w:rPr>
              <w:t>Loan portfolio quality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61"/>
        </w:trPr>
        <w:tc>
          <w:tcPr>
            <w:tcW w:w="5320" w:type="dxa"/>
            <w:vAlign w:val="bottom"/>
            <w:tcBorders>
              <w:left w:val="single" w:sz="8" w:color="auto"/>
              <w:right w:val="single" w:sz="8" w:color="auto"/>
            </w:tcBorders>
          </w:tcPr>
          <w:p>
            <w:pPr>
              <w:spacing w:after="0" w:line="161" w:lineRule="exact"/>
              <w:rPr>
                <w:sz w:val="20"/>
                <w:szCs w:val="20"/>
                <w:color w:val="auto"/>
              </w:rPr>
            </w:pPr>
            <w:r>
              <w:rPr>
                <w:rFonts w:ascii="Arial" w:cs="Arial" w:eastAsia="Arial" w:hAnsi="Arial"/>
                <w:sz w:val="11"/>
                <w:szCs w:val="11"/>
                <w:color w:val="auto"/>
              </w:rPr>
              <w:t xml:space="preserve">Internal overdue ratio </w:t>
            </w:r>
            <w:r>
              <w:rPr>
                <w:rFonts w:ascii="Arial" w:cs="Arial" w:eastAsia="Arial" w:hAnsi="Arial"/>
                <w:sz w:val="18"/>
                <w:szCs w:val="18"/>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3"/>
                <w:szCs w:val="13"/>
                <w:color w:val="auto"/>
              </w:rPr>
              <w:t>3.53%</w:t>
            </w:r>
          </w:p>
        </w:tc>
        <w:tc>
          <w:tcPr>
            <w:tcW w:w="740" w:type="dxa"/>
            <w:vAlign w:val="bottom"/>
          </w:tcPr>
          <w:p>
            <w:pPr>
              <w:jc w:val="right"/>
              <w:spacing w:after="0"/>
              <w:rPr>
                <w:sz w:val="20"/>
                <w:szCs w:val="20"/>
                <w:color w:val="auto"/>
              </w:rPr>
            </w:pPr>
            <w:r>
              <w:rPr>
                <w:rFonts w:ascii="Arial" w:cs="Arial" w:eastAsia="Arial" w:hAnsi="Arial"/>
                <w:sz w:val="13"/>
                <w:szCs w:val="13"/>
                <w:color w:val="auto"/>
              </w:rPr>
              <w:t>4.06%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620" w:type="dxa"/>
            <w:vAlign w:val="bottom"/>
          </w:tcPr>
          <w:p>
            <w:pPr>
              <w:jc w:val="center"/>
              <w:spacing w:after="0"/>
              <w:rPr>
                <w:sz w:val="20"/>
                <w:szCs w:val="20"/>
                <w:color w:val="auto"/>
              </w:rPr>
            </w:pPr>
            <w:r>
              <w:rPr>
                <w:rFonts w:ascii="Arial" w:cs="Arial" w:eastAsia="Arial" w:hAnsi="Arial"/>
                <w:sz w:val="13"/>
                <w:szCs w:val="13"/>
                <w:color w:val="auto"/>
              </w:rPr>
              <w:t>0 bps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53 bps</w:t>
            </w:r>
          </w:p>
        </w:tc>
        <w:tc>
          <w:tcPr>
            <w:tcW w:w="760" w:type="dxa"/>
            <w:vAlign w:val="bottom"/>
          </w:tcPr>
          <w:p>
            <w:pPr>
              <w:jc w:val="right"/>
              <w:spacing w:after="0"/>
              <w:rPr>
                <w:sz w:val="20"/>
                <w:szCs w:val="20"/>
                <w:color w:val="auto"/>
              </w:rPr>
            </w:pPr>
            <w:r>
              <w:rPr>
                <w:rFonts w:ascii="Arial" w:cs="Arial" w:eastAsia="Arial" w:hAnsi="Arial"/>
                <w:sz w:val="13"/>
                <w:szCs w:val="13"/>
                <w:color w:val="auto"/>
              </w:rPr>
              <w:t>3.53%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53 bps</w:t>
            </w:r>
          </w:p>
        </w:tc>
      </w:tr>
      <w:tr>
        <w:trPr>
          <w:trHeight w:val="131"/>
        </w:trPr>
        <w:tc>
          <w:tcPr>
            <w:tcW w:w="5320" w:type="dxa"/>
            <w:vAlign w:val="bottom"/>
            <w:tcBorders>
              <w:left w:val="single" w:sz="8" w:color="auto"/>
              <w:right w:val="single" w:sz="8" w:color="auto"/>
            </w:tcBorders>
          </w:tcPr>
          <w:p>
            <w:pPr>
              <w:spacing w:after="0" w:line="131" w:lineRule="exact"/>
              <w:rPr>
                <w:sz w:val="20"/>
                <w:szCs w:val="20"/>
                <w:color w:val="auto"/>
              </w:rPr>
            </w:pPr>
            <w:r>
              <w:rPr>
                <w:rFonts w:ascii="Arial" w:cs="Arial" w:eastAsia="Arial" w:hAnsi="Arial"/>
                <w:sz w:val="13"/>
                <w:szCs w:val="13"/>
                <w:color w:val="auto"/>
              </w:rPr>
              <w:t>Internal overdue ratio over 90 days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3.53%</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4.06%</w:t>
            </w:r>
          </w:p>
        </w:tc>
        <w:tc>
          <w:tcPr>
            <w:tcW w:w="7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color w:val="auto"/>
              </w:rPr>
              <w:t>4.06%</w:t>
            </w:r>
          </w:p>
        </w:tc>
        <w:tc>
          <w:tcPr>
            <w:tcW w:w="620" w:type="dxa"/>
            <w:vAlign w:val="bottom"/>
          </w:tcPr>
          <w:p>
            <w:pPr>
              <w:jc w:val="center"/>
              <w:spacing w:after="0" w:line="131" w:lineRule="exact"/>
              <w:rPr>
                <w:sz w:val="20"/>
                <w:szCs w:val="20"/>
                <w:color w:val="auto"/>
              </w:rPr>
            </w:pPr>
            <w:r>
              <w:rPr>
                <w:rFonts w:ascii="Arial" w:cs="Arial" w:eastAsia="Arial" w:hAnsi="Arial"/>
                <w:sz w:val="13"/>
                <w:szCs w:val="13"/>
                <w:color w:val="auto"/>
              </w:rPr>
              <w:t>0 bps</w:t>
            </w:r>
          </w:p>
        </w:tc>
        <w:tc>
          <w:tcPr>
            <w:tcW w:w="6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53 bps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3.53%</w:t>
            </w:r>
          </w:p>
        </w:tc>
        <w:tc>
          <w:tcPr>
            <w:tcW w:w="7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color w:val="auto"/>
              </w:rPr>
              <w:t>4.06%</w:t>
            </w:r>
          </w:p>
        </w:tc>
        <w:tc>
          <w:tcPr>
            <w:tcW w:w="9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53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NPL ratio </w:t>
            </w:r>
            <w:r>
              <w:rPr>
                <w:rFonts w:ascii="Arial" w:cs="Arial" w:eastAsia="Arial" w:hAnsi="Arial"/>
                <w:sz w:val="16"/>
                <w:szCs w:val="16"/>
                <w:color w:val="auto"/>
                <w:vertAlign w:val="superscript"/>
              </w:rPr>
              <w:t>(2)</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4.79%</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5.25%</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5.18%</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-7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39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4.79%</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5.18%</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39 bps</w:t>
            </w:r>
          </w:p>
        </w:tc>
      </w:tr>
      <w:tr>
        <w:trPr>
          <w:trHeight w:val="161"/>
        </w:trPr>
        <w:tc>
          <w:tcPr>
            <w:tcW w:w="5320" w:type="dxa"/>
            <w:vAlign w:val="bottom"/>
            <w:tcBorders>
              <w:left w:val="single" w:sz="8" w:color="auto"/>
              <w:right w:val="single" w:sz="8" w:color="auto"/>
            </w:tcBorders>
          </w:tcPr>
          <w:p>
            <w:pPr>
              <w:spacing w:after="0" w:line="161" w:lineRule="exact"/>
              <w:rPr>
                <w:sz w:val="20"/>
                <w:szCs w:val="20"/>
                <w:color w:val="auto"/>
              </w:rPr>
            </w:pPr>
            <w:r>
              <w:rPr>
                <w:rFonts w:ascii="Arial" w:cs="Arial" w:eastAsia="Arial" w:hAnsi="Arial"/>
                <w:sz w:val="11"/>
                <w:szCs w:val="11"/>
                <w:color w:val="auto"/>
              </w:rPr>
              <w:t xml:space="preserve">Cost of risk </w:t>
            </w:r>
            <w:r>
              <w:rPr>
                <w:rFonts w:ascii="Arial" w:cs="Arial" w:eastAsia="Arial" w:hAnsi="Arial"/>
                <w:sz w:val="18"/>
                <w:szCs w:val="18"/>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3"/>
                <w:szCs w:val="13"/>
                <w:color w:val="auto"/>
              </w:rPr>
              <w:t>1.02%</w:t>
            </w:r>
          </w:p>
        </w:tc>
        <w:tc>
          <w:tcPr>
            <w:tcW w:w="740" w:type="dxa"/>
            <w:vAlign w:val="bottom"/>
          </w:tcPr>
          <w:p>
            <w:pPr>
              <w:jc w:val="right"/>
              <w:spacing w:after="0"/>
              <w:rPr>
                <w:sz w:val="20"/>
                <w:szCs w:val="20"/>
                <w:color w:val="auto"/>
              </w:rPr>
            </w:pPr>
            <w:r>
              <w:rPr>
                <w:rFonts w:ascii="Arial" w:cs="Arial" w:eastAsia="Arial" w:hAnsi="Arial"/>
                <w:sz w:val="13"/>
                <w:szCs w:val="13"/>
                <w:color w:val="auto"/>
              </w:rPr>
              <w:t>0.71%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0.97%</w:t>
            </w:r>
          </w:p>
        </w:tc>
        <w:tc>
          <w:tcPr>
            <w:tcW w:w="620" w:type="dxa"/>
            <w:vAlign w:val="bottom"/>
          </w:tcPr>
          <w:p>
            <w:pPr>
              <w:jc w:val="center"/>
              <w:spacing w:after="0"/>
              <w:rPr>
                <w:sz w:val="20"/>
                <w:szCs w:val="20"/>
                <w:color w:val="auto"/>
              </w:rPr>
            </w:pPr>
            <w:r>
              <w:rPr>
                <w:rFonts w:ascii="Arial" w:cs="Arial" w:eastAsia="Arial" w:hAnsi="Arial"/>
                <w:sz w:val="13"/>
                <w:szCs w:val="13"/>
                <w:color w:val="auto"/>
              </w:rPr>
              <w:t>26 bps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-5 bps</w:t>
            </w:r>
          </w:p>
        </w:tc>
        <w:tc>
          <w:tcPr>
            <w:tcW w:w="760" w:type="dxa"/>
            <w:vAlign w:val="bottom"/>
          </w:tcPr>
          <w:p>
            <w:pPr>
              <w:jc w:val="right"/>
              <w:spacing w:after="0"/>
              <w:rPr>
                <w:sz w:val="20"/>
                <w:szCs w:val="20"/>
                <w:color w:val="auto"/>
              </w:rPr>
            </w:pPr>
            <w:r>
              <w:rPr>
                <w:rFonts w:ascii="Arial" w:cs="Arial" w:eastAsia="Arial" w:hAnsi="Arial"/>
                <w:sz w:val="13"/>
                <w:szCs w:val="13"/>
                <w:color w:val="auto"/>
              </w:rPr>
              <w:t>1.29%</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0.83%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-46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Coverage ratio of IOLs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185.8%</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140.7%</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136.1%</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-460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-4970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185.8%</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136.1%</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-4970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Coverage ratio of NPLs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137.0%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108.9%</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106.6%</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-230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-3040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137.0%</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106.6%</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-3040 bps</w:t>
            </w:r>
          </w:p>
        </w:tc>
      </w:tr>
      <w:tr>
        <w:trPr>
          <w:trHeight w:val="156"/>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Operating efficiency</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r>
      <w:tr>
        <w:trPr>
          <w:trHeight w:val="161"/>
        </w:trPr>
        <w:tc>
          <w:tcPr>
            <w:tcW w:w="5320" w:type="dxa"/>
            <w:vAlign w:val="bottom"/>
            <w:tcBorders>
              <w:left w:val="single" w:sz="8" w:color="auto"/>
              <w:right w:val="single" w:sz="8" w:color="auto"/>
            </w:tcBorders>
          </w:tcPr>
          <w:p>
            <w:pPr>
              <w:spacing w:after="0" w:line="161" w:lineRule="exact"/>
              <w:rPr>
                <w:sz w:val="20"/>
                <w:szCs w:val="20"/>
                <w:color w:val="auto"/>
              </w:rPr>
            </w:pPr>
            <w:r>
              <w:rPr>
                <w:rFonts w:ascii="Arial" w:cs="Arial" w:eastAsia="Arial" w:hAnsi="Arial"/>
                <w:sz w:val="11"/>
                <w:szCs w:val="11"/>
                <w:color w:val="auto"/>
              </w:rPr>
              <w:t xml:space="preserve">Efficiency ratio </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3"/>
                <w:szCs w:val="13"/>
                <w:color w:val="auto"/>
              </w:rPr>
              <w:t>43.7%</w:t>
            </w:r>
          </w:p>
        </w:tc>
        <w:tc>
          <w:tcPr>
            <w:tcW w:w="740" w:type="dxa"/>
            <w:vAlign w:val="bottom"/>
          </w:tcPr>
          <w:p>
            <w:pPr>
              <w:jc w:val="right"/>
              <w:spacing w:after="0"/>
              <w:rPr>
                <w:sz w:val="20"/>
                <w:szCs w:val="20"/>
                <w:color w:val="auto"/>
              </w:rPr>
            </w:pPr>
            <w:r>
              <w:rPr>
                <w:rFonts w:ascii="Arial" w:cs="Arial" w:eastAsia="Arial" w:hAnsi="Arial"/>
                <w:sz w:val="13"/>
                <w:szCs w:val="13"/>
                <w:color w:val="auto"/>
              </w:rPr>
              <w:t>44.5%</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44.6%</w:t>
            </w:r>
          </w:p>
        </w:tc>
        <w:tc>
          <w:tcPr>
            <w:tcW w:w="620" w:type="dxa"/>
            <w:vAlign w:val="bottom"/>
          </w:tcPr>
          <w:p>
            <w:pPr>
              <w:jc w:val="center"/>
              <w:spacing w:after="0"/>
              <w:rPr>
                <w:sz w:val="20"/>
                <w:szCs w:val="20"/>
                <w:color w:val="auto"/>
              </w:rPr>
            </w:pPr>
            <w:r>
              <w:rPr>
                <w:rFonts w:ascii="Arial" w:cs="Arial" w:eastAsia="Arial" w:hAnsi="Arial"/>
                <w:sz w:val="13"/>
                <w:szCs w:val="13"/>
                <w:color w:val="auto"/>
              </w:rPr>
              <w:t>10 bps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90 bps</w:t>
            </w:r>
          </w:p>
        </w:tc>
        <w:tc>
          <w:tcPr>
            <w:tcW w:w="760" w:type="dxa"/>
            <w:vAlign w:val="bottom"/>
          </w:tcPr>
          <w:p>
            <w:pPr>
              <w:jc w:val="right"/>
              <w:spacing w:after="0"/>
              <w:rPr>
                <w:sz w:val="20"/>
                <w:szCs w:val="20"/>
                <w:color w:val="auto"/>
              </w:rPr>
            </w:pPr>
            <w:r>
              <w:rPr>
                <w:rFonts w:ascii="Arial" w:cs="Arial" w:eastAsia="Arial" w:hAnsi="Arial"/>
                <w:sz w:val="13"/>
                <w:szCs w:val="13"/>
                <w:color w:val="auto"/>
              </w:rPr>
              <w:t>43.9%</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60 bps</w:t>
            </w:r>
          </w:p>
        </w:tc>
      </w:tr>
      <w:tr>
        <w:trPr>
          <w:trHeight w:val="154"/>
        </w:trPr>
        <w:tc>
          <w:tcPr>
            <w:tcW w:w="5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Operating expenses / Total average assets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26 bps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53 bps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3.34%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40 bps</w:t>
            </w:r>
          </w:p>
        </w:tc>
      </w:tr>
      <w:tr>
        <w:trPr>
          <w:trHeight w:val="140"/>
        </w:trPr>
        <w:tc>
          <w:tcPr>
            <w:tcW w:w="5320" w:type="dxa"/>
            <w:vAlign w:val="bottom"/>
            <w:tcBorders>
              <w:left w:val="single" w:sz="8" w:color="auto"/>
              <w:right w:val="single" w:sz="8" w:color="auto"/>
            </w:tcBorders>
          </w:tcPr>
          <w:p>
            <w:pPr>
              <w:spacing w:after="0" w:line="140" w:lineRule="exact"/>
              <w:rPr>
                <w:sz w:val="20"/>
                <w:szCs w:val="20"/>
                <w:color w:val="auto"/>
              </w:rPr>
            </w:pPr>
            <w:r>
              <w:rPr>
                <w:rFonts w:ascii="Arial" w:cs="Arial" w:eastAsia="Arial" w:hAnsi="Arial"/>
                <w:sz w:val="13"/>
                <w:szCs w:val="13"/>
                <w:b w:val="1"/>
                <w:bCs w:val="1"/>
                <w:color w:val="auto"/>
              </w:rPr>
              <w:t>Insurance ratios</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Combined ratio of P&amp;C </w:t>
            </w:r>
            <w:r>
              <w:rPr>
                <w:rFonts w:ascii="Arial" w:cs="Arial" w:eastAsia="Arial" w:hAnsi="Arial"/>
                <w:sz w:val="16"/>
                <w:szCs w:val="16"/>
                <w:color w:val="auto"/>
                <w:vertAlign w:val="superscript"/>
              </w:rPr>
              <w:t>(5) (6)</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88.9%</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94.4%</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89.9%</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-450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100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88.9%</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89.9%</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100 bps</w:t>
            </w:r>
          </w:p>
        </w:tc>
      </w:tr>
      <w:tr>
        <w:trPr>
          <w:trHeight w:val="169"/>
        </w:trPr>
        <w:tc>
          <w:tcPr>
            <w:tcW w:w="5320" w:type="dxa"/>
            <w:vAlign w:val="bottom"/>
            <w:tcBorders>
              <w:left w:val="single" w:sz="8" w:color="auto"/>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 xml:space="preserve">Loss ratio </w:t>
            </w:r>
            <w:r>
              <w:rPr>
                <w:rFonts w:ascii="Arial" w:cs="Arial" w:eastAsia="Arial" w:hAnsi="Arial"/>
                <w:sz w:val="19"/>
                <w:szCs w:val="19"/>
                <w:color w:val="auto"/>
                <w:vertAlign w:val="superscript"/>
              </w:rPr>
              <w:t>(6)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70.5%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140 bps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-3690 bps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93.1%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2460 bps</w:t>
            </w:r>
          </w:p>
        </w:tc>
      </w:tr>
      <w:tr>
        <w:trPr>
          <w:trHeight w:val="140"/>
        </w:trPr>
        <w:tc>
          <w:tcPr>
            <w:tcW w:w="5320" w:type="dxa"/>
            <w:vAlign w:val="bottom"/>
            <w:tcBorders>
              <w:left w:val="single" w:sz="8" w:color="auto"/>
              <w:right w:val="single" w:sz="8" w:color="auto"/>
            </w:tcBorders>
          </w:tcPr>
          <w:p>
            <w:pPr>
              <w:spacing w:after="0" w:line="140" w:lineRule="exact"/>
              <w:rPr>
                <w:sz w:val="20"/>
                <w:szCs w:val="20"/>
                <w:color w:val="auto"/>
              </w:rPr>
            </w:pPr>
            <w:r>
              <w:rPr>
                <w:rFonts w:ascii="Arial" w:cs="Arial" w:eastAsia="Arial" w:hAnsi="Arial"/>
                <w:sz w:val="10"/>
                <w:szCs w:val="10"/>
                <w:b w:val="1"/>
                <w:bCs w:val="1"/>
                <w:color w:val="auto"/>
              </w:rPr>
              <w:t xml:space="preserve">Capital adequacy - BCP Stand-alone </w:t>
            </w:r>
            <w:r>
              <w:rPr>
                <w:rFonts w:ascii="Arial" w:cs="Arial" w:eastAsia="Arial" w:hAnsi="Arial"/>
                <w:sz w:val="16"/>
                <w:szCs w:val="16"/>
                <w:b w:val="1"/>
                <w:bCs w:val="1"/>
                <w:color w:val="auto"/>
                <w:vertAlign w:val="superscript"/>
              </w:rPr>
              <w:t>(7)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6"/>
                <w:szCs w:val="16"/>
                <w:color w:val="auto"/>
                <w:vertAlign w:val="superscript"/>
              </w:rPr>
              <w:t>(8)</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15.34%</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15.79%</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15.23%</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-56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-11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15.34%</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15.23%</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-11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Tier 1 ratio </w:t>
            </w:r>
            <w:r>
              <w:rPr>
                <w:rFonts w:ascii="Arial" w:cs="Arial" w:eastAsia="Arial" w:hAnsi="Arial"/>
                <w:sz w:val="16"/>
                <w:szCs w:val="16"/>
                <w:color w:val="auto"/>
                <w:vertAlign w:val="superscript"/>
              </w:rPr>
              <w:t>(9)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10.31%</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10.74%</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10.25%</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-49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10.31%</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10.25%</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 bps</w:t>
            </w:r>
          </w:p>
        </w:tc>
      </w:tr>
      <w:tr>
        <w:trPr>
          <w:trHeight w:val="169"/>
        </w:trPr>
        <w:tc>
          <w:tcPr>
            <w:tcW w:w="5320" w:type="dxa"/>
            <w:vAlign w:val="bottom"/>
            <w:tcBorders>
              <w:left w:val="single" w:sz="8" w:color="auto"/>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9"/>
                <w:szCs w:val="19"/>
                <w:color w:val="auto"/>
                <w:vertAlign w:val="superscript"/>
              </w:rPr>
              <w:t>(10) (12)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-6 bps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36 bps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11.57%</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36 bps</w:t>
            </w:r>
          </w:p>
        </w:tc>
      </w:tr>
      <w:tr>
        <w:trPr>
          <w:trHeight w:val="140"/>
        </w:trPr>
        <w:tc>
          <w:tcPr>
            <w:tcW w:w="5320" w:type="dxa"/>
            <w:vAlign w:val="bottom"/>
            <w:tcBorders>
              <w:left w:val="single" w:sz="8" w:color="auto"/>
              <w:right w:val="single" w:sz="8" w:color="auto"/>
            </w:tcBorders>
          </w:tcPr>
          <w:p>
            <w:pPr>
              <w:spacing w:after="0" w:line="140" w:lineRule="exact"/>
              <w:rPr>
                <w:sz w:val="20"/>
                <w:szCs w:val="20"/>
                <w:color w:val="auto"/>
              </w:rPr>
            </w:pPr>
            <w:r>
              <w:rPr>
                <w:rFonts w:ascii="Arial" w:cs="Arial" w:eastAsia="Arial" w:hAnsi="Arial"/>
                <w:sz w:val="10"/>
                <w:szCs w:val="10"/>
                <w:b w:val="1"/>
                <w:bCs w:val="1"/>
                <w:color w:val="auto"/>
              </w:rPr>
              <w:t xml:space="preserve">Capital adequacy - Mibanco </w:t>
            </w:r>
            <w:r>
              <w:rPr>
                <w:rFonts w:ascii="Arial" w:cs="Arial" w:eastAsia="Arial" w:hAnsi="Arial"/>
                <w:sz w:val="16"/>
                <w:szCs w:val="16"/>
                <w:b w:val="1"/>
                <w:bCs w:val="1"/>
                <w:color w:val="auto"/>
                <w:vertAlign w:val="superscript"/>
              </w:rPr>
              <w:t>(7)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6"/>
                <w:szCs w:val="16"/>
                <w:color w:val="auto"/>
                <w:vertAlign w:val="superscript"/>
              </w:rPr>
              <w:t>(8)</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17.25%</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15.61%</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14.81%</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-80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-244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17.25%</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14.81%</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-244 bps</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0"/>
                <w:szCs w:val="10"/>
                <w:color w:val="auto"/>
              </w:rPr>
              <w:t xml:space="preserve">Tier 1 ratio </w:t>
            </w:r>
            <w:r>
              <w:rPr>
                <w:rFonts w:ascii="Arial" w:cs="Arial" w:eastAsia="Arial" w:hAnsi="Arial"/>
                <w:sz w:val="16"/>
                <w:szCs w:val="16"/>
                <w:color w:val="auto"/>
                <w:vertAlign w:val="superscript"/>
              </w:rPr>
              <w:t>(9)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14.69%</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13.24%</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12.55%</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rPr>
              <w:t>-69 bps</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-214 bps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14.69%</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12.55%</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-214 bps</w:t>
            </w:r>
          </w:p>
        </w:tc>
      </w:tr>
      <w:tr>
        <w:trPr>
          <w:trHeight w:val="169"/>
        </w:trPr>
        <w:tc>
          <w:tcPr>
            <w:tcW w:w="5320" w:type="dxa"/>
            <w:vAlign w:val="bottom"/>
            <w:tcBorders>
              <w:left w:val="single" w:sz="8" w:color="auto"/>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9"/>
                <w:szCs w:val="19"/>
                <w:color w:val="auto"/>
                <w:vertAlign w:val="superscript"/>
              </w:rPr>
              <w:t>(10) (12)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15.21%</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 bps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 bps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 bps</w:t>
            </w:r>
          </w:p>
        </w:tc>
      </w:tr>
      <w:tr>
        <w:trPr>
          <w:trHeight w:val="138"/>
        </w:trPr>
        <w:tc>
          <w:tcPr>
            <w:tcW w:w="5320" w:type="dxa"/>
            <w:vAlign w:val="bottom"/>
            <w:tcBorders>
              <w:left w:val="single" w:sz="8" w:color="auto"/>
              <w:bottom w:val="single" w:sz="8" w:color="auto"/>
              <w:right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Employees</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35,776</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36,198</w:t>
            </w:r>
          </w:p>
        </w:tc>
        <w:tc>
          <w:tcPr>
            <w:tcW w:w="7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34,398</w:t>
            </w:r>
          </w:p>
        </w:tc>
        <w:tc>
          <w:tcPr>
            <w:tcW w:w="6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-5.0%</w:t>
            </w:r>
          </w:p>
        </w:tc>
        <w:tc>
          <w:tcPr>
            <w:tcW w:w="6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-3.9%</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36,806</w:t>
            </w:r>
          </w:p>
        </w:tc>
        <w:tc>
          <w:tcPr>
            <w:tcW w:w="7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36,358</w:t>
            </w:r>
          </w:p>
        </w:tc>
        <w:tc>
          <w:tcPr>
            <w:tcW w:w="9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-1.2%</w:t>
            </w:r>
          </w:p>
        </w:tc>
      </w:tr>
      <w:tr>
        <w:trPr>
          <w:trHeight w:val="155"/>
        </w:trPr>
        <w:tc>
          <w:tcPr>
            <w:tcW w:w="53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Share Information</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Issued Shares</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94,382</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94,382</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94,382</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4"/>
              </w:rPr>
              <w:t>0.0%</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0.0%</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94,382</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94,382</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0.0%</w:t>
            </w:r>
          </w:p>
        </w:tc>
      </w:tr>
      <w:tr>
        <w:trPr>
          <w:trHeight w:val="146"/>
        </w:trPr>
        <w:tc>
          <w:tcPr>
            <w:tcW w:w="532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9"/>
                <w:szCs w:val="9"/>
                <w:color w:val="auto"/>
              </w:rPr>
              <w:t>(11)</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14,866</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14,862</w:t>
            </w:r>
          </w:p>
        </w:tc>
        <w:tc>
          <w:tcPr>
            <w:tcW w:w="7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14,849</w:t>
            </w:r>
          </w:p>
        </w:tc>
        <w:tc>
          <w:tcPr>
            <w:tcW w:w="620" w:type="dxa"/>
            <w:vAlign w:val="bottom"/>
          </w:tcPr>
          <w:p>
            <w:pPr>
              <w:jc w:val="center"/>
              <w:spacing w:after="0" w:line="146" w:lineRule="exact"/>
              <w:rPr>
                <w:sz w:val="20"/>
                <w:szCs w:val="20"/>
                <w:color w:val="auto"/>
              </w:rPr>
            </w:pPr>
            <w:r>
              <w:rPr>
                <w:rFonts w:ascii="Arial" w:cs="Arial" w:eastAsia="Arial" w:hAnsi="Arial"/>
                <w:sz w:val="13"/>
                <w:szCs w:val="13"/>
                <w:color w:val="auto"/>
                <w:w w:val="99"/>
              </w:rPr>
              <w:t>-0.1%</w:t>
            </w:r>
          </w:p>
        </w:tc>
        <w:tc>
          <w:tcPr>
            <w:tcW w:w="6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-0.1%</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14,915</w:t>
            </w:r>
          </w:p>
        </w:tc>
        <w:tc>
          <w:tcPr>
            <w:tcW w:w="7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14,866</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-0.3%</w:t>
            </w:r>
          </w:p>
        </w:tc>
      </w:tr>
      <w:tr>
        <w:trPr>
          <w:trHeight w:val="154"/>
        </w:trPr>
        <w:tc>
          <w:tcPr>
            <w:tcW w:w="5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Outstanding Shares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79,520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79,533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79,467</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79,516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0.1%</w:t>
            </w:r>
          </w:p>
        </w:tc>
      </w:tr>
    </w:tbl>
    <w:p>
      <w:pPr>
        <w:ind w:left="143" w:hanging="143"/>
        <w:spacing w:after="0" w:line="237"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Internal overdue loans includes overdue loans and loans under legal collection, according to our internal policy for overdue loans. Internal Overdue ratio: Internal overdue loans / Total loans.</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Non-performing loans (NPL): Internal overdue loans + Refinanced loans. NPL ratio: NPL / Total loans.</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Cost of risk: Annualized provision for loan losses, net of recoveries / Total loans.</w:t>
      </w:r>
    </w:p>
    <w:p>
      <w:pPr>
        <w:ind w:left="3" w:right="500" w:hanging="3"/>
        <w:spacing w:after="0" w:line="231" w:lineRule="auto"/>
        <w:tabs>
          <w:tab w:leader="none" w:pos="152"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Combined ratio = (Net claims / Net earned premiums) + [(Acquisition cost + Operating expenses) / Net earned premiums]. Does not include Life insurance business.</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Considers Grupo Pacifico's figures before eliminations for consolidation to Credicorp.</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Capital ratios for BCP Stand-alone and Mibanco are based on Peru GAAP.</w:t>
      </w:r>
    </w:p>
    <w:p>
      <w:pPr>
        <w:ind w:left="143" w:hanging="143"/>
        <w:spacing w:after="0" w:line="231" w:lineRule="auto"/>
        <w:tabs>
          <w:tab w:leader="none" w:pos="14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Regulatory Capital / Risk-weighted assets (legal minimum = 10% since July 2011).</w:t>
      </w:r>
    </w:p>
    <w:p>
      <w:pPr>
        <w:ind w:left="3" w:right="120" w:hanging="3"/>
        <w:spacing w:after="0" w:line="231" w:lineRule="auto"/>
        <w:tabs>
          <w:tab w:leader="none" w:pos="152"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03" w:hanging="203"/>
        <w:spacing w:after="0" w:line="231" w:lineRule="auto"/>
        <w:tabs>
          <w:tab w:leader="none" w:pos="20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I = Capital + Reserves – 100% of applicable deductions (investment in subsidiaries, goodwill, intangibles and net deferred taxes that rely on future profitability) + retained earnings + unrealized gains.</w:t>
      </w:r>
    </w:p>
    <w:p>
      <w:pPr>
        <w:ind w:left="3" w:right="260"/>
        <w:spacing w:after="0" w:line="231" w:lineRule="auto"/>
        <w:rPr>
          <w:sz w:val="20"/>
          <w:szCs w:val="20"/>
          <w:color w:val="auto"/>
        </w:rPr>
      </w:pPr>
      <w:r>
        <w:rPr>
          <w:rFonts w:ascii="Times New Roman" w:cs="Times New Roman" w:eastAsia="Times New Roman" w:hAnsi="Times New Roman"/>
          <w:sz w:val="11"/>
          <w:szCs w:val="11"/>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03" w:hanging="203"/>
        <w:spacing w:after="0" w:line="231" w:lineRule="auto"/>
        <w:tabs>
          <w:tab w:leader="none" w:pos="20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Consider shares held by Atlantic Security Holding Corporation (ASHC) and stock awards.</w:t>
      </w:r>
    </w:p>
    <w:p>
      <w:pPr>
        <w:ind w:left="203" w:hanging="203"/>
        <w:spacing w:after="0"/>
        <w:tabs>
          <w:tab w:leader="none" w:pos="20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I calculated based on IFRS Accounting.</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400" w:right="319" w:bottom="1440" w:gutter="0" w:footer="0" w:header="0"/>
        </w:sectPr>
      </w:pPr>
    </w:p>
    <w:bookmarkStart w:id="13" w:name="page14"/>
    <w:bookmarkEnd w:id="13"/>
    <w:p>
      <w:pPr>
        <w:ind w:left="3403"/>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9"/>
          <w:szCs w:val="29"/>
          <w:color w:val="E93CAC"/>
        </w:rPr>
        <w:t>Credicorp Strategy</w:t>
      </w:r>
    </w:p>
    <w:p>
      <w:pPr>
        <w:spacing w:after="0" w:line="149"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Credicorp remains resilient as it continues to register profitability levels in the high teens. In the current context, Credicorp differentiates itself through its solid management performance; adequate capitalization levels; efforts to develop technological capacities; and attraction and retention of the best talent through a comprehensive value proposition.</w:t>
      </w:r>
    </w:p>
    <w:p>
      <w:pPr>
        <w:spacing w:after="0" w:line="83"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Credicorp continues to strengthen and consolidate its core business, while developing its own disruptors. The Company is continuously reviewing its business portfolio with a long-term view. The aim is to strengthen its leadership position and continue operating as a top player in the markets where it operates.</w:t>
      </w:r>
    </w:p>
    <w:p>
      <w:pPr>
        <w:spacing w:after="0" w:line="82"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In terms of its digital strategy, Credicorp made progress in 2Q22 in defining its appetite for investment in innovation at the Group level. Additionally, Credicorp has determined which domains will be allocated resources to secure a competitive position.</w:t>
      </w:r>
    </w:p>
    <w:p>
      <w:pPr>
        <w:spacing w:after="0" w:line="82"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In 2022, investment in disruption is expected to impact ROE by 150pbs (ROE is expected to stand around 17.5% in 2022) and efforts will focus primarily on fortifying the domains that strengthen Credicorp’s leadership in its core businesses. The domains that have been targeted in the first horizon include the digital businesses for Payments, Digital Financing, Neobanks model, Acquiring and Services for SMEs.</w:t>
      </w:r>
    </w:p>
    <w:p>
      <w:pPr>
        <w:spacing w:after="0" w:line="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Mai KPIs of Credicorp’s Strategy</w:t>
      </w:r>
    </w:p>
    <w:p>
      <w:pPr>
        <w:spacing w:after="0" w:line="159" w:lineRule="exact"/>
        <w:rPr>
          <w:sz w:val="20"/>
          <w:szCs w:val="20"/>
          <w:color w:val="auto"/>
        </w:rPr>
      </w:pPr>
    </w:p>
    <w:tbl>
      <w:tblPr>
        <w:tblLayout w:type="fixed"/>
        <w:tblInd w:w="13" w:type="dxa"/>
        <w:tblCellMar>
          <w:top w:w="0" w:type="dxa"/>
          <w:left w:w="0" w:type="dxa"/>
          <w:bottom w:w="0" w:type="dxa"/>
          <w:right w:w="0" w:type="dxa"/>
        </w:tblCellMar>
      </w:tblPr>
      <w:tr>
        <w:trPr>
          <w:trHeight w:val="297"/>
        </w:trPr>
        <w:tc>
          <w:tcPr>
            <w:tcW w:w="120" w:type="dxa"/>
            <w:vAlign w:val="bottom"/>
            <w:tcBorders>
              <w:left w:val="single" w:sz="8" w:color="2AD2C9"/>
            </w:tcBorders>
            <w:shd w:val="clear" w:color="auto" w:fill="2AD2C9"/>
          </w:tcPr>
          <w:p>
            <w:pPr>
              <w:spacing w:after="0"/>
              <w:rPr>
                <w:sz w:val="24"/>
                <w:szCs w:val="24"/>
                <w:color w:val="auto"/>
              </w:rPr>
            </w:pPr>
          </w:p>
        </w:tc>
        <w:tc>
          <w:tcPr>
            <w:tcW w:w="4100" w:type="dxa"/>
            <w:vAlign w:val="bottom"/>
            <w:shd w:val="clear" w:color="auto" w:fill="2AD2C9"/>
          </w:tcPr>
          <w:p>
            <w:pPr>
              <w:spacing w:after="0"/>
              <w:rPr>
                <w:sz w:val="20"/>
                <w:szCs w:val="20"/>
                <w:color w:val="auto"/>
              </w:rPr>
            </w:pPr>
            <w:r>
              <w:rPr>
                <w:rFonts w:ascii="Arial" w:cs="Arial" w:eastAsia="Arial" w:hAnsi="Arial"/>
                <w:sz w:val="18"/>
                <w:szCs w:val="18"/>
                <w:b w:val="1"/>
                <w:bCs w:val="1"/>
                <w:color w:val="FFFFFF"/>
              </w:rPr>
              <w:t>Experience</w:t>
            </w:r>
          </w:p>
        </w:tc>
        <w:tc>
          <w:tcPr>
            <w:tcW w:w="3000" w:type="dxa"/>
            <w:vAlign w:val="bottom"/>
            <w:tcBorders>
              <w:right w:val="single" w:sz="8" w:color="2AD2C9"/>
            </w:tcBorders>
            <w:gridSpan w:val="2"/>
            <w:shd w:val="clear" w:color="auto" w:fill="2AD2C9"/>
          </w:tcPr>
          <w:p>
            <w:pPr>
              <w:ind w:left="400"/>
              <w:spacing w:after="0"/>
              <w:rPr>
                <w:sz w:val="20"/>
                <w:szCs w:val="20"/>
                <w:color w:val="auto"/>
              </w:rPr>
            </w:pPr>
            <w:r>
              <w:rPr>
                <w:rFonts w:ascii="Arial" w:cs="Arial" w:eastAsia="Arial" w:hAnsi="Arial"/>
                <w:sz w:val="18"/>
                <w:szCs w:val="18"/>
                <w:b w:val="1"/>
                <w:bCs w:val="1"/>
                <w:color w:val="FFFFFF"/>
              </w:rPr>
              <w:t>Efficiency</w:t>
            </w:r>
          </w:p>
        </w:tc>
        <w:tc>
          <w:tcPr>
            <w:tcW w:w="1060" w:type="dxa"/>
            <w:vAlign w:val="bottom"/>
            <w:shd w:val="clear" w:color="auto" w:fill="2AD2C9"/>
          </w:tcPr>
          <w:p>
            <w:pPr>
              <w:spacing w:after="0"/>
              <w:rPr>
                <w:sz w:val="24"/>
                <w:szCs w:val="24"/>
                <w:color w:val="auto"/>
              </w:rPr>
            </w:pPr>
          </w:p>
        </w:tc>
        <w:tc>
          <w:tcPr>
            <w:tcW w:w="1640" w:type="dxa"/>
            <w:vAlign w:val="bottom"/>
            <w:shd w:val="clear" w:color="auto" w:fill="2AD2C9"/>
          </w:tcPr>
          <w:p>
            <w:pPr>
              <w:ind w:left="160"/>
              <w:spacing w:after="0"/>
              <w:rPr>
                <w:sz w:val="20"/>
                <w:szCs w:val="20"/>
                <w:color w:val="auto"/>
              </w:rPr>
            </w:pPr>
            <w:r>
              <w:rPr>
                <w:rFonts w:ascii="Arial" w:cs="Arial" w:eastAsia="Arial" w:hAnsi="Arial"/>
                <w:sz w:val="18"/>
                <w:szCs w:val="18"/>
                <w:b w:val="1"/>
                <w:bCs w:val="1"/>
                <w:color w:val="FFFFFF"/>
              </w:rPr>
              <w:t>Growth</w:t>
            </w:r>
          </w:p>
        </w:tc>
        <w:tc>
          <w:tcPr>
            <w:tcW w:w="1340" w:type="dxa"/>
            <w:vAlign w:val="bottom"/>
            <w:tcBorders>
              <w:right w:val="single" w:sz="8" w:color="2AD2C9"/>
            </w:tcBorders>
            <w:shd w:val="clear" w:color="auto" w:fill="2AD2C9"/>
          </w:tcPr>
          <w:p>
            <w:pPr>
              <w:spacing w:after="0"/>
              <w:rPr>
                <w:sz w:val="24"/>
                <w:szCs w:val="24"/>
                <w:color w:val="auto"/>
              </w:rPr>
            </w:pPr>
          </w:p>
        </w:tc>
      </w:tr>
      <w:tr>
        <w:trPr>
          <w:trHeight w:val="105"/>
        </w:trPr>
        <w:tc>
          <w:tcPr>
            <w:tcW w:w="120" w:type="dxa"/>
            <w:vAlign w:val="bottom"/>
            <w:tcBorders>
              <w:left w:val="single" w:sz="8" w:color="2AD2C9"/>
            </w:tcBorders>
            <w:shd w:val="clear" w:color="auto" w:fill="2AD2C9"/>
          </w:tcPr>
          <w:p>
            <w:pPr>
              <w:spacing w:after="0"/>
              <w:rPr>
                <w:sz w:val="9"/>
                <w:szCs w:val="9"/>
                <w:color w:val="auto"/>
              </w:rPr>
            </w:pPr>
          </w:p>
        </w:tc>
        <w:tc>
          <w:tcPr>
            <w:tcW w:w="4100" w:type="dxa"/>
            <w:vAlign w:val="bottom"/>
            <w:shd w:val="clear" w:color="auto" w:fill="2AD2C9"/>
          </w:tcPr>
          <w:p>
            <w:pPr>
              <w:spacing w:after="0"/>
              <w:rPr>
                <w:sz w:val="9"/>
                <w:szCs w:val="9"/>
                <w:color w:val="auto"/>
              </w:rPr>
            </w:pPr>
          </w:p>
        </w:tc>
        <w:tc>
          <w:tcPr>
            <w:tcW w:w="1420" w:type="dxa"/>
            <w:vAlign w:val="bottom"/>
            <w:tcBorders>
              <w:right w:val="single" w:sz="8" w:color="2AD2C9"/>
            </w:tcBorders>
            <w:shd w:val="clear" w:color="auto" w:fill="2AD2C9"/>
          </w:tcPr>
          <w:p>
            <w:pPr>
              <w:spacing w:after="0"/>
              <w:rPr>
                <w:sz w:val="9"/>
                <w:szCs w:val="9"/>
                <w:color w:val="auto"/>
              </w:rPr>
            </w:pPr>
          </w:p>
        </w:tc>
        <w:tc>
          <w:tcPr>
            <w:tcW w:w="1580" w:type="dxa"/>
            <w:vAlign w:val="bottom"/>
            <w:tcBorders>
              <w:right w:val="single" w:sz="8" w:color="2AD2C9"/>
            </w:tcBorders>
            <w:shd w:val="clear" w:color="auto" w:fill="2AD2C9"/>
          </w:tcPr>
          <w:p>
            <w:pPr>
              <w:spacing w:after="0"/>
              <w:rPr>
                <w:sz w:val="9"/>
                <w:szCs w:val="9"/>
                <w:color w:val="auto"/>
              </w:rPr>
            </w:pPr>
          </w:p>
        </w:tc>
        <w:tc>
          <w:tcPr>
            <w:tcW w:w="1060" w:type="dxa"/>
            <w:vAlign w:val="bottom"/>
            <w:shd w:val="clear" w:color="auto" w:fill="2AD2C9"/>
          </w:tcPr>
          <w:p>
            <w:pPr>
              <w:spacing w:after="0"/>
              <w:rPr>
                <w:sz w:val="9"/>
                <w:szCs w:val="9"/>
                <w:color w:val="auto"/>
              </w:rPr>
            </w:pPr>
          </w:p>
        </w:tc>
        <w:tc>
          <w:tcPr>
            <w:tcW w:w="1640" w:type="dxa"/>
            <w:vAlign w:val="bottom"/>
            <w:shd w:val="clear" w:color="auto" w:fill="2AD2C9"/>
          </w:tcPr>
          <w:p>
            <w:pPr>
              <w:spacing w:after="0"/>
              <w:rPr>
                <w:sz w:val="9"/>
                <w:szCs w:val="9"/>
                <w:color w:val="auto"/>
              </w:rPr>
            </w:pPr>
          </w:p>
        </w:tc>
        <w:tc>
          <w:tcPr>
            <w:tcW w:w="1340" w:type="dxa"/>
            <w:vAlign w:val="bottom"/>
            <w:tcBorders>
              <w:right w:val="single" w:sz="8" w:color="2AD2C9"/>
            </w:tcBorders>
            <w:shd w:val="clear" w:color="auto" w:fill="2AD2C9"/>
          </w:tcPr>
          <w:p>
            <w:pPr>
              <w:spacing w:after="0"/>
              <w:rPr>
                <w:sz w:val="9"/>
                <w:szCs w:val="9"/>
                <w:color w:val="auto"/>
              </w:rPr>
            </w:pPr>
          </w:p>
        </w:tc>
      </w:tr>
      <w:tr>
        <w:trPr>
          <w:trHeight w:val="219"/>
        </w:trPr>
        <w:tc>
          <w:tcPr>
            <w:tcW w:w="1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87"/>
        </w:trPr>
        <w:tc>
          <w:tcPr>
            <w:tcW w:w="120" w:type="dxa"/>
            <w:vAlign w:val="bottom"/>
            <w:tcBorders>
              <w:left w:val="single" w:sz="8" w:color="auto"/>
            </w:tcBorders>
            <w:shd w:val="clear" w:color="auto" w:fill="2AD2C9"/>
          </w:tcPr>
          <w:p>
            <w:pPr>
              <w:spacing w:after="0"/>
              <w:rPr>
                <w:sz w:val="16"/>
                <w:szCs w:val="16"/>
                <w:color w:val="auto"/>
              </w:rPr>
            </w:pPr>
          </w:p>
        </w:tc>
        <w:tc>
          <w:tcPr>
            <w:tcW w:w="4100" w:type="dxa"/>
            <w:vAlign w:val="bottom"/>
            <w:shd w:val="clear" w:color="auto" w:fill="2AD2C9"/>
          </w:tcPr>
          <w:p>
            <w:pPr>
              <w:spacing w:after="0" w:line="187" w:lineRule="exact"/>
              <w:rPr>
                <w:sz w:val="20"/>
                <w:szCs w:val="20"/>
                <w:color w:val="auto"/>
              </w:rPr>
            </w:pPr>
            <w:r>
              <w:rPr>
                <w:rFonts w:ascii="Arial" w:cs="Arial" w:eastAsia="Arial" w:hAnsi="Arial"/>
                <w:sz w:val="14"/>
                <w:szCs w:val="14"/>
                <w:b w:val="1"/>
                <w:bCs w:val="1"/>
                <w:i w:val="1"/>
                <w:iCs w:val="1"/>
                <w:color w:val="auto"/>
              </w:rPr>
              <w:t xml:space="preserve">Traditional Business Transformation </w:t>
            </w:r>
            <w:r>
              <w:rPr>
                <w:rFonts w:ascii="Arial" w:cs="Arial" w:eastAsia="Arial" w:hAnsi="Arial"/>
                <w:sz w:val="21"/>
                <w:szCs w:val="21"/>
                <w:b w:val="1"/>
                <w:bCs w:val="1"/>
                <w:i w:val="1"/>
                <w:iCs w:val="1"/>
                <w:color w:val="auto"/>
                <w:vertAlign w:val="superscript"/>
              </w:rPr>
              <w:t>(1)</w:t>
            </w:r>
          </w:p>
        </w:tc>
        <w:tc>
          <w:tcPr>
            <w:tcW w:w="1420" w:type="dxa"/>
            <w:vAlign w:val="bottom"/>
            <w:tcBorders>
              <w:right w:val="single" w:sz="8" w:color="auto"/>
            </w:tcBorders>
            <w:shd w:val="clear" w:color="auto" w:fill="2AD2C9"/>
          </w:tcPr>
          <w:p>
            <w:pPr>
              <w:spacing w:after="0"/>
              <w:rPr>
                <w:sz w:val="16"/>
                <w:szCs w:val="16"/>
                <w:color w:val="auto"/>
              </w:rPr>
            </w:pPr>
          </w:p>
        </w:tc>
        <w:tc>
          <w:tcPr>
            <w:tcW w:w="1580" w:type="dxa"/>
            <w:vAlign w:val="bottom"/>
            <w:tcBorders>
              <w:right w:val="single" w:sz="8" w:color="auto"/>
            </w:tcBorders>
            <w:shd w:val="clear" w:color="auto" w:fill="2AD2C9"/>
          </w:tcPr>
          <w:p>
            <w:pPr>
              <w:spacing w:after="0" w:line="187" w:lineRule="exact"/>
              <w:rPr>
                <w:sz w:val="20"/>
                <w:szCs w:val="20"/>
                <w:color w:val="auto"/>
              </w:rPr>
            </w:pPr>
            <w:r>
              <w:rPr>
                <w:rFonts w:ascii="Arial" w:cs="Arial" w:eastAsia="Arial" w:hAnsi="Arial"/>
                <w:sz w:val="18"/>
                <w:szCs w:val="18"/>
                <w:b w:val="1"/>
                <w:bCs w:val="1"/>
                <w:i w:val="1"/>
                <w:iCs w:val="1"/>
                <w:color w:val="auto"/>
              </w:rPr>
              <w:t>Subsidiary</w:t>
            </w:r>
          </w:p>
        </w:tc>
        <w:tc>
          <w:tcPr>
            <w:tcW w:w="1060" w:type="dxa"/>
            <w:vAlign w:val="bottom"/>
            <w:shd w:val="clear" w:color="auto" w:fill="2AD2C9"/>
          </w:tcPr>
          <w:p>
            <w:pPr>
              <w:jc w:val="center"/>
              <w:ind w:left="211"/>
              <w:spacing w:after="0" w:line="187" w:lineRule="exact"/>
              <w:rPr>
                <w:sz w:val="20"/>
                <w:szCs w:val="20"/>
                <w:color w:val="auto"/>
              </w:rPr>
            </w:pPr>
            <w:r>
              <w:rPr>
                <w:rFonts w:ascii="Arial" w:cs="Arial" w:eastAsia="Arial" w:hAnsi="Arial"/>
                <w:sz w:val="18"/>
                <w:szCs w:val="18"/>
                <w:b w:val="1"/>
                <w:bCs w:val="1"/>
                <w:i w:val="1"/>
                <w:iCs w:val="1"/>
                <w:color w:val="auto"/>
                <w:w w:val="99"/>
              </w:rPr>
              <w:t>2Q19</w:t>
            </w:r>
          </w:p>
        </w:tc>
        <w:tc>
          <w:tcPr>
            <w:tcW w:w="1640" w:type="dxa"/>
            <w:vAlign w:val="bottom"/>
            <w:shd w:val="clear" w:color="auto" w:fill="2AD2C9"/>
          </w:tcPr>
          <w:p>
            <w:pPr>
              <w:jc w:val="center"/>
              <w:ind w:left="231"/>
              <w:spacing w:after="0" w:line="187" w:lineRule="exact"/>
              <w:rPr>
                <w:sz w:val="20"/>
                <w:szCs w:val="20"/>
                <w:color w:val="auto"/>
              </w:rPr>
            </w:pPr>
            <w:r>
              <w:rPr>
                <w:rFonts w:ascii="Arial" w:cs="Arial" w:eastAsia="Arial" w:hAnsi="Arial"/>
                <w:sz w:val="18"/>
                <w:szCs w:val="18"/>
                <w:b w:val="1"/>
                <w:bCs w:val="1"/>
                <w:i w:val="1"/>
                <w:iCs w:val="1"/>
                <w:color w:val="auto"/>
                <w:w w:val="99"/>
              </w:rPr>
              <w:t>2Q21</w:t>
            </w:r>
          </w:p>
        </w:tc>
        <w:tc>
          <w:tcPr>
            <w:tcW w:w="1340" w:type="dxa"/>
            <w:vAlign w:val="bottom"/>
            <w:tcBorders>
              <w:right w:val="single" w:sz="8" w:color="auto"/>
            </w:tcBorders>
            <w:shd w:val="clear" w:color="auto" w:fill="2AD2C9"/>
          </w:tcPr>
          <w:p>
            <w:pPr>
              <w:jc w:val="center"/>
              <w:spacing w:after="0" w:line="187" w:lineRule="exact"/>
              <w:rPr>
                <w:sz w:val="20"/>
                <w:szCs w:val="20"/>
                <w:color w:val="auto"/>
              </w:rPr>
            </w:pPr>
            <w:r>
              <w:rPr>
                <w:rFonts w:ascii="Arial" w:cs="Arial" w:eastAsia="Arial" w:hAnsi="Arial"/>
                <w:sz w:val="18"/>
                <w:szCs w:val="18"/>
                <w:b w:val="1"/>
                <w:bCs w:val="1"/>
                <w:i w:val="1"/>
                <w:iCs w:val="1"/>
                <w:color w:val="auto"/>
                <w:w w:val="99"/>
              </w:rPr>
              <w:t>2Q22</w:t>
            </w:r>
          </w:p>
        </w:tc>
      </w:tr>
      <w:tr>
        <w:trPr>
          <w:trHeight w:val="180"/>
        </w:trPr>
        <w:tc>
          <w:tcPr>
            <w:tcW w:w="120" w:type="dxa"/>
            <w:vAlign w:val="bottom"/>
            <w:tcBorders>
              <w:left w:val="single" w:sz="8" w:color="auto"/>
            </w:tcBorders>
          </w:tcPr>
          <w:p>
            <w:pPr>
              <w:spacing w:after="0"/>
              <w:rPr>
                <w:sz w:val="15"/>
                <w:szCs w:val="15"/>
                <w:color w:val="auto"/>
              </w:rPr>
            </w:pPr>
          </w:p>
        </w:tc>
        <w:tc>
          <w:tcPr>
            <w:tcW w:w="4100" w:type="dxa"/>
            <w:vAlign w:val="bottom"/>
          </w:tcPr>
          <w:p>
            <w:pPr>
              <w:spacing w:after="0" w:line="180" w:lineRule="exact"/>
              <w:rPr>
                <w:sz w:val="20"/>
                <w:szCs w:val="20"/>
                <w:color w:val="auto"/>
              </w:rPr>
            </w:pPr>
            <w:r>
              <w:rPr>
                <w:rFonts w:ascii="Arial" w:cs="Arial" w:eastAsia="Arial" w:hAnsi="Arial"/>
                <w:sz w:val="18"/>
                <w:szCs w:val="18"/>
                <w:b w:val="1"/>
                <w:bCs w:val="1"/>
                <w:i w:val="1"/>
                <w:iCs w:val="1"/>
                <w:color w:val="auto"/>
              </w:rPr>
              <w:t>Day to Day</w:t>
            </w:r>
          </w:p>
        </w:tc>
        <w:tc>
          <w:tcPr>
            <w:tcW w:w="142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07"/>
        </w:trPr>
        <w:tc>
          <w:tcPr>
            <w:tcW w:w="120" w:type="dxa"/>
            <w:vAlign w:val="bottom"/>
            <w:tcBorders>
              <w:left w:val="single" w:sz="8" w:color="auto"/>
            </w:tcBorders>
          </w:tcPr>
          <w:p>
            <w:pPr>
              <w:spacing w:after="0"/>
              <w:rPr>
                <w:sz w:val="18"/>
                <w:szCs w:val="18"/>
                <w:color w:val="auto"/>
              </w:rPr>
            </w:pPr>
          </w:p>
        </w:tc>
        <w:tc>
          <w:tcPr>
            <w:tcW w:w="4100" w:type="dxa"/>
            <w:vAlign w:val="bottom"/>
          </w:tcPr>
          <w:p>
            <w:pPr>
              <w:spacing w:after="0" w:line="207" w:lineRule="exact"/>
              <w:rPr>
                <w:sz w:val="20"/>
                <w:szCs w:val="20"/>
                <w:color w:val="auto"/>
              </w:rPr>
            </w:pPr>
            <w:r>
              <w:rPr>
                <w:rFonts w:ascii="Arial" w:cs="Arial" w:eastAsia="Arial" w:hAnsi="Arial"/>
                <w:sz w:val="15"/>
                <w:szCs w:val="15"/>
                <w:color w:val="auto"/>
              </w:rPr>
              <w:t xml:space="preserve">Digital clients </w:t>
            </w:r>
            <w:r>
              <w:rPr>
                <w:rFonts w:ascii="Arial" w:cs="Arial" w:eastAsia="Arial" w:hAnsi="Arial"/>
                <w:sz w:val="24"/>
                <w:szCs w:val="24"/>
                <w:color w:val="auto"/>
                <w:vertAlign w:val="superscript"/>
              </w:rPr>
              <w:t>(2)</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BCP</w:t>
            </w:r>
          </w:p>
        </w:tc>
        <w:tc>
          <w:tcPr>
            <w:tcW w:w="1060" w:type="dxa"/>
            <w:vAlign w:val="bottom"/>
          </w:tcPr>
          <w:p>
            <w:pPr>
              <w:jc w:val="center"/>
              <w:ind w:left="211"/>
              <w:spacing w:after="0"/>
              <w:rPr>
                <w:sz w:val="20"/>
                <w:szCs w:val="20"/>
                <w:color w:val="auto"/>
              </w:rPr>
            </w:pPr>
            <w:r>
              <w:rPr>
                <w:rFonts w:ascii="Arial" w:cs="Arial" w:eastAsia="Arial" w:hAnsi="Arial"/>
                <w:sz w:val="18"/>
                <w:szCs w:val="18"/>
                <w:color w:val="auto"/>
                <w:w w:val="99"/>
              </w:rPr>
              <w:t>34%</w:t>
            </w:r>
          </w:p>
        </w:tc>
        <w:tc>
          <w:tcPr>
            <w:tcW w:w="1640" w:type="dxa"/>
            <w:vAlign w:val="bottom"/>
          </w:tcPr>
          <w:p>
            <w:pPr>
              <w:jc w:val="center"/>
              <w:ind w:left="231"/>
              <w:spacing w:after="0"/>
              <w:rPr>
                <w:sz w:val="20"/>
                <w:szCs w:val="20"/>
                <w:color w:val="auto"/>
              </w:rPr>
            </w:pPr>
            <w:r>
              <w:rPr>
                <w:rFonts w:ascii="Arial" w:cs="Arial" w:eastAsia="Arial" w:hAnsi="Arial"/>
                <w:sz w:val="18"/>
                <w:szCs w:val="18"/>
                <w:color w:val="auto"/>
                <w:w w:val="99"/>
              </w:rPr>
              <w:t>56%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r>
      <w:tr>
        <w:trPr>
          <w:trHeight w:val="213"/>
        </w:trPr>
        <w:tc>
          <w:tcPr>
            <w:tcW w:w="120" w:type="dxa"/>
            <w:vAlign w:val="bottom"/>
            <w:tcBorders>
              <w:left w:val="single" w:sz="8" w:color="auto"/>
            </w:tcBorders>
          </w:tcPr>
          <w:p>
            <w:pPr>
              <w:spacing w:after="0"/>
              <w:rPr>
                <w:sz w:val="18"/>
                <w:szCs w:val="18"/>
                <w:color w:val="auto"/>
              </w:rPr>
            </w:pPr>
          </w:p>
        </w:tc>
        <w:tc>
          <w:tcPr>
            <w:tcW w:w="4100" w:type="dxa"/>
            <w:vAlign w:val="bottom"/>
          </w:tcPr>
          <w:p>
            <w:pPr>
              <w:spacing w:after="0" w:line="212" w:lineRule="exact"/>
              <w:rPr>
                <w:sz w:val="20"/>
                <w:szCs w:val="20"/>
                <w:color w:val="auto"/>
              </w:rPr>
            </w:pPr>
            <w:r>
              <w:rPr>
                <w:rFonts w:ascii="Arial" w:cs="Arial" w:eastAsia="Arial" w:hAnsi="Arial"/>
                <w:sz w:val="15"/>
                <w:szCs w:val="15"/>
                <w:color w:val="auto"/>
              </w:rPr>
              <w:t xml:space="preserve">Digital monetary transactions </w:t>
            </w:r>
            <w:r>
              <w:rPr>
                <w:rFonts w:ascii="Arial" w:cs="Arial" w:eastAsia="Arial" w:hAnsi="Arial"/>
                <w:sz w:val="24"/>
                <w:szCs w:val="24"/>
                <w:color w:val="auto"/>
                <w:vertAlign w:val="superscript"/>
              </w:rPr>
              <w:t>(3)</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BCP</w:t>
            </w:r>
          </w:p>
        </w:tc>
        <w:tc>
          <w:tcPr>
            <w:tcW w:w="1060" w:type="dxa"/>
            <w:vAlign w:val="bottom"/>
          </w:tcPr>
          <w:p>
            <w:pPr>
              <w:jc w:val="center"/>
              <w:ind w:left="211"/>
              <w:spacing w:after="0"/>
              <w:rPr>
                <w:sz w:val="20"/>
                <w:szCs w:val="20"/>
                <w:color w:val="auto"/>
              </w:rPr>
            </w:pPr>
            <w:r>
              <w:rPr>
                <w:rFonts w:ascii="Arial" w:cs="Arial" w:eastAsia="Arial" w:hAnsi="Arial"/>
                <w:sz w:val="18"/>
                <w:szCs w:val="18"/>
                <w:color w:val="auto"/>
                <w:w w:val="99"/>
              </w:rPr>
              <w:t>23%</w:t>
            </w:r>
          </w:p>
        </w:tc>
        <w:tc>
          <w:tcPr>
            <w:tcW w:w="1640" w:type="dxa"/>
            <w:vAlign w:val="bottom"/>
          </w:tcPr>
          <w:p>
            <w:pPr>
              <w:jc w:val="center"/>
              <w:ind w:left="231"/>
              <w:spacing w:after="0"/>
              <w:rPr>
                <w:sz w:val="20"/>
                <w:szCs w:val="20"/>
                <w:color w:val="auto"/>
              </w:rPr>
            </w:pPr>
            <w:r>
              <w:rPr>
                <w:rFonts w:ascii="Arial" w:cs="Arial" w:eastAsia="Arial" w:hAnsi="Arial"/>
                <w:sz w:val="18"/>
                <w:szCs w:val="18"/>
                <w:color w:val="auto"/>
                <w:w w:val="99"/>
              </w:rPr>
              <w:t>48%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r>
      <w:tr>
        <w:trPr>
          <w:trHeight w:val="201"/>
        </w:trPr>
        <w:tc>
          <w:tcPr>
            <w:tcW w:w="120" w:type="dxa"/>
            <w:vAlign w:val="bottom"/>
            <w:tcBorders>
              <w:left w:val="single" w:sz="8" w:color="auto"/>
            </w:tcBorders>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Transactional cost by unit</w:t>
            </w:r>
          </w:p>
        </w:tc>
        <w:tc>
          <w:tcPr>
            <w:tcW w:w="14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BCP</w:t>
            </w:r>
          </w:p>
        </w:tc>
        <w:tc>
          <w:tcPr>
            <w:tcW w:w="1060" w:type="dxa"/>
            <w:vAlign w:val="bottom"/>
          </w:tcPr>
          <w:p>
            <w:pPr>
              <w:jc w:val="center"/>
              <w:ind w:left="191"/>
              <w:spacing w:after="0" w:line="201" w:lineRule="exact"/>
              <w:rPr>
                <w:sz w:val="20"/>
                <w:szCs w:val="20"/>
                <w:color w:val="auto"/>
              </w:rPr>
            </w:pPr>
            <w:r>
              <w:rPr>
                <w:rFonts w:ascii="Arial" w:cs="Arial" w:eastAsia="Arial" w:hAnsi="Arial"/>
                <w:sz w:val="18"/>
                <w:szCs w:val="18"/>
                <w:color w:val="auto"/>
                <w:w w:val="96"/>
              </w:rPr>
              <w:t>0.42</w:t>
            </w:r>
          </w:p>
        </w:tc>
        <w:tc>
          <w:tcPr>
            <w:tcW w:w="1640" w:type="dxa"/>
            <w:vAlign w:val="bottom"/>
          </w:tcPr>
          <w:p>
            <w:pPr>
              <w:jc w:val="center"/>
              <w:ind w:left="211"/>
              <w:spacing w:after="0" w:line="201" w:lineRule="exact"/>
              <w:rPr>
                <w:sz w:val="20"/>
                <w:szCs w:val="20"/>
                <w:color w:val="auto"/>
              </w:rPr>
            </w:pPr>
            <w:r>
              <w:rPr>
                <w:rFonts w:ascii="Arial" w:cs="Arial" w:eastAsia="Arial" w:hAnsi="Arial"/>
                <w:sz w:val="18"/>
                <w:szCs w:val="18"/>
                <w:color w:val="auto"/>
                <w:w w:val="96"/>
              </w:rPr>
              <w:t>0.20</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0.11</w:t>
            </w:r>
          </w:p>
        </w:tc>
      </w:tr>
      <w:tr>
        <w:trPr>
          <w:trHeight w:val="207"/>
        </w:trPr>
        <w:tc>
          <w:tcPr>
            <w:tcW w:w="120" w:type="dxa"/>
            <w:vAlign w:val="bottom"/>
            <w:tcBorders>
              <w:left w:val="single" w:sz="8" w:color="auto"/>
            </w:tcBorders>
          </w:tcPr>
          <w:p>
            <w:pPr>
              <w:spacing w:after="0"/>
              <w:rPr>
                <w:sz w:val="18"/>
                <w:szCs w:val="18"/>
                <w:color w:val="auto"/>
              </w:rPr>
            </w:pPr>
          </w:p>
        </w:tc>
        <w:tc>
          <w:tcPr>
            <w:tcW w:w="4100" w:type="dxa"/>
            <w:vAlign w:val="bottom"/>
          </w:tcPr>
          <w:p>
            <w:pPr>
              <w:spacing w:after="0" w:line="207" w:lineRule="exact"/>
              <w:rPr>
                <w:sz w:val="20"/>
                <w:szCs w:val="20"/>
                <w:color w:val="auto"/>
              </w:rPr>
            </w:pPr>
            <w:r>
              <w:rPr>
                <w:rFonts w:ascii="Arial" w:cs="Arial" w:eastAsia="Arial" w:hAnsi="Arial"/>
                <w:sz w:val="15"/>
                <w:szCs w:val="15"/>
                <w:color w:val="auto"/>
              </w:rPr>
              <w:t xml:space="preserve">Disbursements through leads </w:t>
            </w:r>
            <w:r>
              <w:rPr>
                <w:rFonts w:ascii="Arial" w:cs="Arial" w:eastAsia="Arial" w:hAnsi="Arial"/>
                <w:sz w:val="24"/>
                <w:szCs w:val="24"/>
                <w:color w:val="auto"/>
                <w:vertAlign w:val="superscript"/>
              </w:rPr>
              <w:t>(4)</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Mibanco</w:t>
            </w:r>
          </w:p>
        </w:tc>
        <w:tc>
          <w:tcPr>
            <w:tcW w:w="1060" w:type="dxa"/>
            <w:vAlign w:val="bottom"/>
          </w:tcPr>
          <w:p>
            <w:pPr>
              <w:ind w:left="520"/>
              <w:spacing w:after="0"/>
              <w:rPr>
                <w:sz w:val="20"/>
                <w:szCs w:val="20"/>
                <w:color w:val="auto"/>
              </w:rPr>
            </w:pPr>
            <w:r>
              <w:rPr>
                <w:rFonts w:ascii="Arial" w:cs="Arial" w:eastAsia="Arial" w:hAnsi="Arial"/>
                <w:sz w:val="18"/>
                <w:szCs w:val="18"/>
                <w:color w:val="auto"/>
              </w:rPr>
              <w:t>ND.</w:t>
            </w:r>
          </w:p>
        </w:tc>
        <w:tc>
          <w:tcPr>
            <w:tcW w:w="1640" w:type="dxa"/>
            <w:vAlign w:val="bottom"/>
          </w:tcPr>
          <w:p>
            <w:pPr>
              <w:jc w:val="center"/>
              <w:ind w:left="231"/>
              <w:spacing w:after="0"/>
              <w:rPr>
                <w:sz w:val="20"/>
                <w:szCs w:val="20"/>
                <w:color w:val="auto"/>
              </w:rPr>
            </w:pPr>
            <w:r>
              <w:rPr>
                <w:rFonts w:ascii="Arial" w:cs="Arial" w:eastAsia="Arial" w:hAnsi="Arial"/>
                <w:sz w:val="18"/>
                <w:szCs w:val="18"/>
                <w:color w:val="auto"/>
                <w:w w:val="99"/>
              </w:rPr>
              <w:t>68%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77%</w:t>
            </w:r>
          </w:p>
        </w:tc>
      </w:tr>
      <w:tr>
        <w:trPr>
          <w:trHeight w:val="207"/>
        </w:trPr>
        <w:tc>
          <w:tcPr>
            <w:tcW w:w="120" w:type="dxa"/>
            <w:vAlign w:val="bottom"/>
            <w:tcBorders>
              <w:left w:val="single" w:sz="8" w:color="auto"/>
            </w:tcBorders>
          </w:tcPr>
          <w:p>
            <w:pPr>
              <w:spacing w:after="0"/>
              <w:rPr>
                <w:sz w:val="18"/>
                <w:szCs w:val="18"/>
                <w:color w:val="auto"/>
              </w:rPr>
            </w:pPr>
          </w:p>
        </w:tc>
        <w:tc>
          <w:tcPr>
            <w:tcW w:w="4100" w:type="dxa"/>
            <w:vAlign w:val="bottom"/>
          </w:tcPr>
          <w:p>
            <w:pPr>
              <w:spacing w:after="0" w:line="207" w:lineRule="exact"/>
              <w:rPr>
                <w:sz w:val="20"/>
                <w:szCs w:val="20"/>
                <w:color w:val="auto"/>
              </w:rPr>
            </w:pPr>
            <w:r>
              <w:rPr>
                <w:rFonts w:ascii="Arial" w:cs="Arial" w:eastAsia="Arial" w:hAnsi="Arial"/>
                <w:sz w:val="15"/>
                <w:szCs w:val="15"/>
                <w:color w:val="auto"/>
              </w:rPr>
              <w:t xml:space="preserve">Disbursements through alternative channels </w:t>
            </w:r>
            <w:r>
              <w:rPr>
                <w:rFonts w:ascii="Arial" w:cs="Arial" w:eastAsia="Arial" w:hAnsi="Arial"/>
                <w:sz w:val="24"/>
                <w:szCs w:val="24"/>
                <w:color w:val="auto"/>
                <w:vertAlign w:val="superscript"/>
              </w:rPr>
              <w:t>(5)</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Mibanco</w:t>
            </w:r>
          </w:p>
        </w:tc>
        <w:tc>
          <w:tcPr>
            <w:tcW w:w="1060" w:type="dxa"/>
            <w:vAlign w:val="bottom"/>
          </w:tcPr>
          <w:p>
            <w:pPr>
              <w:jc w:val="center"/>
              <w:ind w:left="211"/>
              <w:spacing w:after="0"/>
              <w:rPr>
                <w:sz w:val="20"/>
                <w:szCs w:val="20"/>
                <w:color w:val="auto"/>
              </w:rPr>
            </w:pPr>
            <w:r>
              <w:rPr>
                <w:rFonts w:ascii="Arial" w:cs="Arial" w:eastAsia="Arial" w:hAnsi="Arial"/>
                <w:sz w:val="18"/>
                <w:szCs w:val="18"/>
                <w:color w:val="auto"/>
                <w:w w:val="99"/>
              </w:rPr>
              <w:t>13%</w:t>
            </w:r>
          </w:p>
        </w:tc>
        <w:tc>
          <w:tcPr>
            <w:tcW w:w="1640" w:type="dxa"/>
            <w:vAlign w:val="bottom"/>
          </w:tcPr>
          <w:p>
            <w:pPr>
              <w:jc w:val="center"/>
              <w:ind w:left="231"/>
              <w:spacing w:after="0"/>
              <w:rPr>
                <w:sz w:val="20"/>
                <w:szCs w:val="20"/>
                <w:color w:val="auto"/>
              </w:rPr>
            </w:pPr>
            <w:r>
              <w:rPr>
                <w:rFonts w:ascii="Arial" w:cs="Arial" w:eastAsia="Arial" w:hAnsi="Arial"/>
                <w:sz w:val="18"/>
                <w:szCs w:val="18"/>
                <w:color w:val="auto"/>
                <w:w w:val="99"/>
              </w:rPr>
              <w:t>33%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49%</w:t>
            </w:r>
          </w:p>
        </w:tc>
      </w:tr>
      <w:tr>
        <w:trPr>
          <w:trHeight w:val="222"/>
        </w:trPr>
        <w:tc>
          <w:tcPr>
            <w:tcW w:w="120" w:type="dxa"/>
            <w:vAlign w:val="bottom"/>
            <w:tcBorders>
              <w:left w:val="single" w:sz="8" w:color="auto"/>
            </w:tcBorders>
          </w:tcPr>
          <w:p>
            <w:pPr>
              <w:spacing w:after="0"/>
              <w:rPr>
                <w:sz w:val="19"/>
                <w:szCs w:val="19"/>
                <w:color w:val="auto"/>
              </w:rPr>
            </w:pPr>
          </w:p>
        </w:tc>
        <w:tc>
          <w:tcPr>
            <w:tcW w:w="4100" w:type="dxa"/>
            <w:vAlign w:val="bottom"/>
            <w:tcBorders>
              <w:bottom w:val="single" w:sz="8" w:color="auto"/>
            </w:tcBorders>
          </w:tcPr>
          <w:p>
            <w:pPr>
              <w:spacing w:after="0" w:line="222" w:lineRule="exact"/>
              <w:rPr>
                <w:sz w:val="20"/>
                <w:szCs w:val="20"/>
                <w:color w:val="auto"/>
              </w:rPr>
            </w:pPr>
            <w:r>
              <w:rPr>
                <w:rFonts w:ascii="Arial" w:cs="Arial" w:eastAsia="Arial" w:hAnsi="Arial"/>
                <w:sz w:val="16"/>
                <w:szCs w:val="16"/>
                <w:color w:val="auto"/>
              </w:rPr>
              <w:t xml:space="preserve">Mibanco Productivity </w:t>
            </w:r>
            <w:r>
              <w:rPr>
                <w:rFonts w:ascii="Arial" w:cs="Arial" w:eastAsia="Arial" w:hAnsi="Arial"/>
                <w:sz w:val="25"/>
                <w:szCs w:val="25"/>
                <w:color w:val="auto"/>
                <w:vertAlign w:val="superscript"/>
              </w:rPr>
              <w:t>(6)</w:t>
            </w:r>
          </w:p>
        </w:tc>
        <w:tc>
          <w:tcPr>
            <w:tcW w:w="14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Mibanco</w:t>
            </w:r>
          </w:p>
        </w:tc>
        <w:tc>
          <w:tcPr>
            <w:tcW w:w="1060" w:type="dxa"/>
            <w:vAlign w:val="bottom"/>
            <w:tcBorders>
              <w:bottom w:val="single" w:sz="8" w:color="auto"/>
            </w:tcBorders>
          </w:tcPr>
          <w:p>
            <w:pPr>
              <w:jc w:val="center"/>
              <w:ind w:left="191"/>
              <w:spacing w:after="0"/>
              <w:rPr>
                <w:sz w:val="20"/>
                <w:szCs w:val="20"/>
                <w:color w:val="auto"/>
              </w:rPr>
            </w:pPr>
            <w:r>
              <w:rPr>
                <w:rFonts w:ascii="Arial" w:cs="Arial" w:eastAsia="Arial" w:hAnsi="Arial"/>
                <w:sz w:val="18"/>
                <w:szCs w:val="18"/>
                <w:color w:val="auto"/>
                <w:w w:val="96"/>
              </w:rPr>
              <w:t>20.9</w:t>
            </w:r>
          </w:p>
        </w:tc>
        <w:tc>
          <w:tcPr>
            <w:tcW w:w="164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96"/>
              </w:rPr>
              <w:t>18.7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24.1</w:t>
            </w:r>
          </w:p>
        </w:tc>
      </w:tr>
      <w:tr>
        <w:trPr>
          <w:trHeight w:val="172"/>
        </w:trPr>
        <w:tc>
          <w:tcPr>
            <w:tcW w:w="120" w:type="dxa"/>
            <w:vAlign w:val="bottom"/>
            <w:tcBorders>
              <w:left w:val="single" w:sz="8" w:color="auto"/>
            </w:tcBorders>
          </w:tcPr>
          <w:p>
            <w:pPr>
              <w:spacing w:after="0"/>
              <w:rPr>
                <w:sz w:val="14"/>
                <w:szCs w:val="14"/>
                <w:color w:val="auto"/>
              </w:rPr>
            </w:pPr>
          </w:p>
        </w:tc>
        <w:tc>
          <w:tcPr>
            <w:tcW w:w="4100" w:type="dxa"/>
            <w:vAlign w:val="bottom"/>
          </w:tcPr>
          <w:p>
            <w:pPr>
              <w:spacing w:after="0" w:line="172" w:lineRule="exact"/>
              <w:rPr>
                <w:sz w:val="20"/>
                <w:szCs w:val="20"/>
                <w:color w:val="auto"/>
              </w:rPr>
            </w:pPr>
            <w:r>
              <w:rPr>
                <w:rFonts w:ascii="Arial" w:cs="Arial" w:eastAsia="Arial" w:hAnsi="Arial"/>
                <w:sz w:val="18"/>
                <w:szCs w:val="18"/>
                <w:b w:val="1"/>
                <w:bCs w:val="1"/>
                <w:i w:val="1"/>
                <w:iCs w:val="1"/>
                <w:color w:val="auto"/>
              </w:rPr>
              <w:t>Cashless</w:t>
            </w:r>
          </w:p>
        </w:tc>
        <w:tc>
          <w:tcPr>
            <w:tcW w:w="142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201"/>
        </w:trPr>
        <w:tc>
          <w:tcPr>
            <w:tcW w:w="120" w:type="dxa"/>
            <w:vAlign w:val="bottom"/>
            <w:tcBorders>
              <w:left w:val="single" w:sz="8" w:color="auto"/>
            </w:tcBorders>
          </w:tcPr>
          <w:p>
            <w:pPr>
              <w:spacing w:after="0"/>
              <w:rPr>
                <w:sz w:val="17"/>
                <w:szCs w:val="17"/>
                <w:color w:val="auto"/>
              </w:rPr>
            </w:pPr>
          </w:p>
        </w:tc>
        <w:tc>
          <w:tcPr>
            <w:tcW w:w="4100" w:type="dxa"/>
            <w:vAlign w:val="bottom"/>
          </w:tcPr>
          <w:p>
            <w:pPr>
              <w:spacing w:after="0" w:line="200" w:lineRule="exact"/>
              <w:rPr>
                <w:sz w:val="20"/>
                <w:szCs w:val="20"/>
                <w:color w:val="auto"/>
              </w:rPr>
            </w:pPr>
            <w:r>
              <w:rPr>
                <w:rFonts w:ascii="Arial" w:cs="Arial" w:eastAsia="Arial" w:hAnsi="Arial"/>
                <w:sz w:val="15"/>
                <w:szCs w:val="15"/>
                <w:color w:val="auto"/>
              </w:rPr>
              <w:t xml:space="preserve">Cashless transactions </w:t>
            </w:r>
            <w:r>
              <w:rPr>
                <w:rFonts w:ascii="Arial" w:cs="Arial" w:eastAsia="Arial" w:hAnsi="Arial"/>
                <w:sz w:val="23"/>
                <w:szCs w:val="23"/>
                <w:color w:val="auto"/>
                <w:vertAlign w:val="superscript"/>
              </w:rPr>
              <w:t>(7)</w:t>
            </w:r>
          </w:p>
        </w:tc>
        <w:tc>
          <w:tcPr>
            <w:tcW w:w="14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BCP</w:t>
            </w:r>
          </w:p>
        </w:tc>
        <w:tc>
          <w:tcPr>
            <w:tcW w:w="1060" w:type="dxa"/>
            <w:vAlign w:val="bottom"/>
          </w:tcPr>
          <w:p>
            <w:pPr>
              <w:jc w:val="center"/>
              <w:ind w:left="211"/>
              <w:spacing w:after="0" w:line="201" w:lineRule="exact"/>
              <w:rPr>
                <w:sz w:val="20"/>
                <w:szCs w:val="20"/>
                <w:color w:val="auto"/>
              </w:rPr>
            </w:pPr>
            <w:r>
              <w:rPr>
                <w:rFonts w:ascii="Arial" w:cs="Arial" w:eastAsia="Arial" w:hAnsi="Arial"/>
                <w:sz w:val="18"/>
                <w:szCs w:val="18"/>
                <w:color w:val="auto"/>
                <w:w w:val="99"/>
              </w:rPr>
              <w:t>20%</w:t>
            </w:r>
          </w:p>
        </w:tc>
        <w:tc>
          <w:tcPr>
            <w:tcW w:w="1640" w:type="dxa"/>
            <w:vAlign w:val="bottom"/>
          </w:tcPr>
          <w:p>
            <w:pPr>
              <w:jc w:val="center"/>
              <w:ind w:left="231"/>
              <w:spacing w:after="0" w:line="201" w:lineRule="exact"/>
              <w:rPr>
                <w:sz w:val="20"/>
                <w:szCs w:val="20"/>
                <w:color w:val="auto"/>
              </w:rPr>
            </w:pPr>
            <w:r>
              <w:rPr>
                <w:rFonts w:ascii="Arial" w:cs="Arial" w:eastAsia="Arial" w:hAnsi="Arial"/>
                <w:sz w:val="18"/>
                <w:szCs w:val="18"/>
                <w:color w:val="auto"/>
                <w:w w:val="99"/>
              </w:rPr>
              <w:t>40%</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43%</w:t>
            </w:r>
          </w:p>
        </w:tc>
      </w:tr>
      <w:tr>
        <w:trPr>
          <w:trHeight w:val="195"/>
        </w:trPr>
        <w:tc>
          <w:tcPr>
            <w:tcW w:w="120" w:type="dxa"/>
            <w:vAlign w:val="bottom"/>
            <w:tcBorders>
              <w:left w:val="single" w:sz="8" w:color="auto"/>
            </w:tcBorders>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Mobile Banking rating Apple</w:t>
            </w:r>
          </w:p>
        </w:tc>
        <w:tc>
          <w:tcPr>
            <w:tcW w:w="14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BCP</w:t>
            </w:r>
          </w:p>
        </w:tc>
        <w:tc>
          <w:tcPr>
            <w:tcW w:w="1060" w:type="dxa"/>
            <w:vAlign w:val="bottom"/>
          </w:tcPr>
          <w:p>
            <w:pPr>
              <w:ind w:left="520"/>
              <w:spacing w:after="0" w:line="195" w:lineRule="exact"/>
              <w:rPr>
                <w:sz w:val="20"/>
                <w:szCs w:val="20"/>
                <w:color w:val="auto"/>
              </w:rPr>
            </w:pPr>
            <w:r>
              <w:rPr>
                <w:rFonts w:ascii="Arial" w:cs="Arial" w:eastAsia="Arial" w:hAnsi="Arial"/>
                <w:sz w:val="18"/>
                <w:szCs w:val="18"/>
                <w:color w:val="auto"/>
              </w:rPr>
              <w:t>ND.</w:t>
            </w:r>
          </w:p>
        </w:tc>
        <w:tc>
          <w:tcPr>
            <w:tcW w:w="1640" w:type="dxa"/>
            <w:vAlign w:val="bottom"/>
          </w:tcPr>
          <w:p>
            <w:pPr>
              <w:jc w:val="center"/>
              <w:ind w:left="211"/>
              <w:spacing w:after="0" w:line="195" w:lineRule="exact"/>
              <w:rPr>
                <w:sz w:val="20"/>
                <w:szCs w:val="20"/>
                <w:color w:val="auto"/>
              </w:rPr>
            </w:pPr>
            <w:r>
              <w:rPr>
                <w:rFonts w:ascii="Arial" w:cs="Arial" w:eastAsia="Arial" w:hAnsi="Arial"/>
                <w:sz w:val="18"/>
                <w:szCs w:val="18"/>
                <w:color w:val="auto"/>
              </w:rPr>
              <w:t>2.2</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4.7</w:t>
            </w:r>
          </w:p>
        </w:tc>
      </w:tr>
      <w:tr>
        <w:trPr>
          <w:trHeight w:val="216"/>
        </w:trPr>
        <w:tc>
          <w:tcPr>
            <w:tcW w:w="120" w:type="dxa"/>
            <w:vAlign w:val="bottom"/>
            <w:tcBorders>
              <w:left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Mobile Banking rating Android</w:t>
            </w:r>
          </w:p>
        </w:tc>
        <w:tc>
          <w:tcPr>
            <w:tcW w:w="14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BCP</w:t>
            </w:r>
          </w:p>
        </w:tc>
        <w:tc>
          <w:tcPr>
            <w:tcW w:w="106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95"/>
              </w:rPr>
              <w:t>3.7</w:t>
            </w:r>
          </w:p>
        </w:tc>
        <w:tc>
          <w:tcPr>
            <w:tcW w:w="164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rPr>
              <w:t>3.3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4.2</w:t>
            </w:r>
          </w:p>
        </w:tc>
      </w:tr>
      <w:tr>
        <w:trPr>
          <w:trHeight w:val="172"/>
        </w:trPr>
        <w:tc>
          <w:tcPr>
            <w:tcW w:w="120" w:type="dxa"/>
            <w:vAlign w:val="bottom"/>
            <w:tcBorders>
              <w:left w:val="single" w:sz="8" w:color="auto"/>
            </w:tcBorders>
          </w:tcPr>
          <w:p>
            <w:pPr>
              <w:spacing w:after="0"/>
              <w:rPr>
                <w:sz w:val="14"/>
                <w:szCs w:val="14"/>
                <w:color w:val="auto"/>
              </w:rPr>
            </w:pPr>
          </w:p>
        </w:tc>
        <w:tc>
          <w:tcPr>
            <w:tcW w:w="4100" w:type="dxa"/>
            <w:vAlign w:val="bottom"/>
          </w:tcPr>
          <w:p>
            <w:pPr>
              <w:spacing w:after="0" w:line="172" w:lineRule="exact"/>
              <w:rPr>
                <w:sz w:val="20"/>
                <w:szCs w:val="20"/>
                <w:color w:val="auto"/>
              </w:rPr>
            </w:pPr>
            <w:r>
              <w:rPr>
                <w:rFonts w:ascii="Arial" w:cs="Arial" w:eastAsia="Arial" w:hAnsi="Arial"/>
                <w:sz w:val="18"/>
                <w:szCs w:val="18"/>
                <w:b w:val="1"/>
                <w:bCs w:val="1"/>
                <w:i w:val="1"/>
                <w:iCs w:val="1"/>
                <w:color w:val="auto"/>
              </w:rPr>
              <w:t>Digital Acquisition</w:t>
            </w:r>
          </w:p>
        </w:tc>
        <w:tc>
          <w:tcPr>
            <w:tcW w:w="142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207"/>
        </w:trPr>
        <w:tc>
          <w:tcPr>
            <w:tcW w:w="120" w:type="dxa"/>
            <w:vAlign w:val="bottom"/>
            <w:tcBorders>
              <w:left w:val="single" w:sz="8" w:color="auto"/>
            </w:tcBorders>
          </w:tcPr>
          <w:p>
            <w:pPr>
              <w:spacing w:after="0"/>
              <w:rPr>
                <w:sz w:val="18"/>
                <w:szCs w:val="18"/>
                <w:color w:val="auto"/>
              </w:rPr>
            </w:pPr>
          </w:p>
        </w:tc>
        <w:tc>
          <w:tcPr>
            <w:tcW w:w="4100" w:type="dxa"/>
            <w:vAlign w:val="bottom"/>
          </w:tcPr>
          <w:p>
            <w:pPr>
              <w:spacing w:after="0" w:line="207" w:lineRule="exact"/>
              <w:rPr>
                <w:sz w:val="20"/>
                <w:szCs w:val="20"/>
                <w:color w:val="auto"/>
              </w:rPr>
            </w:pPr>
            <w:r>
              <w:rPr>
                <w:rFonts w:ascii="Arial" w:cs="Arial" w:eastAsia="Arial" w:hAnsi="Arial"/>
                <w:sz w:val="15"/>
                <w:szCs w:val="15"/>
                <w:color w:val="auto"/>
              </w:rPr>
              <w:t xml:space="preserve">Digital sales </w:t>
            </w:r>
            <w:r>
              <w:rPr>
                <w:rFonts w:ascii="Arial" w:cs="Arial" w:eastAsia="Arial" w:hAnsi="Arial"/>
                <w:sz w:val="24"/>
                <w:szCs w:val="24"/>
                <w:color w:val="auto"/>
                <w:vertAlign w:val="superscript"/>
              </w:rPr>
              <w:t>(8)</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BCP</w:t>
            </w:r>
          </w:p>
        </w:tc>
        <w:tc>
          <w:tcPr>
            <w:tcW w:w="1060" w:type="dxa"/>
            <w:vAlign w:val="bottom"/>
          </w:tcPr>
          <w:p>
            <w:pPr>
              <w:jc w:val="center"/>
              <w:ind w:left="211"/>
              <w:spacing w:after="0"/>
              <w:rPr>
                <w:sz w:val="20"/>
                <w:szCs w:val="20"/>
                <w:color w:val="auto"/>
              </w:rPr>
            </w:pPr>
            <w:r>
              <w:rPr>
                <w:rFonts w:ascii="Arial" w:cs="Arial" w:eastAsia="Arial" w:hAnsi="Arial"/>
                <w:sz w:val="18"/>
                <w:szCs w:val="18"/>
                <w:color w:val="auto"/>
                <w:w w:val="99"/>
              </w:rPr>
              <w:t>15%</w:t>
            </w:r>
          </w:p>
        </w:tc>
        <w:tc>
          <w:tcPr>
            <w:tcW w:w="1640" w:type="dxa"/>
            <w:vAlign w:val="bottom"/>
          </w:tcPr>
          <w:p>
            <w:pPr>
              <w:jc w:val="center"/>
              <w:ind w:left="231"/>
              <w:spacing w:after="0"/>
              <w:rPr>
                <w:sz w:val="20"/>
                <w:szCs w:val="20"/>
                <w:color w:val="auto"/>
              </w:rPr>
            </w:pPr>
            <w:r>
              <w:rPr>
                <w:rFonts w:ascii="Arial" w:cs="Arial" w:eastAsia="Arial" w:hAnsi="Arial"/>
                <w:sz w:val="18"/>
                <w:szCs w:val="18"/>
                <w:color w:val="auto"/>
                <w:w w:val="99"/>
              </w:rPr>
              <w:t>34%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37%</w:t>
            </w:r>
          </w:p>
        </w:tc>
      </w:tr>
      <w:tr>
        <w:trPr>
          <w:trHeight w:val="222"/>
        </w:trPr>
        <w:tc>
          <w:tcPr>
            <w:tcW w:w="120" w:type="dxa"/>
            <w:vAlign w:val="bottom"/>
            <w:tcBorders>
              <w:left w:val="single" w:sz="8" w:color="auto"/>
              <w:bottom w:val="single" w:sz="8" w:color="auto"/>
            </w:tcBorders>
          </w:tcPr>
          <w:p>
            <w:pPr>
              <w:spacing w:after="0"/>
              <w:rPr>
                <w:sz w:val="19"/>
                <w:szCs w:val="19"/>
                <w:color w:val="auto"/>
              </w:rPr>
            </w:pPr>
          </w:p>
        </w:tc>
        <w:tc>
          <w:tcPr>
            <w:tcW w:w="4100" w:type="dxa"/>
            <w:vAlign w:val="bottom"/>
            <w:tcBorders>
              <w:bottom w:val="single" w:sz="8" w:color="auto"/>
            </w:tcBorders>
          </w:tcPr>
          <w:p>
            <w:pPr>
              <w:spacing w:after="0" w:line="222" w:lineRule="exact"/>
              <w:rPr>
                <w:sz w:val="20"/>
                <w:szCs w:val="20"/>
                <w:color w:val="auto"/>
              </w:rPr>
            </w:pPr>
            <w:r>
              <w:rPr>
                <w:rFonts w:ascii="Arial" w:cs="Arial" w:eastAsia="Arial" w:hAnsi="Arial"/>
                <w:sz w:val="16"/>
                <w:szCs w:val="16"/>
                <w:color w:val="auto"/>
              </w:rPr>
              <w:t xml:space="preserve">Digital loans </w:t>
            </w:r>
            <w:r>
              <w:rPr>
                <w:rFonts w:ascii="Arial" w:cs="Arial" w:eastAsia="Arial" w:hAnsi="Arial"/>
                <w:sz w:val="25"/>
                <w:szCs w:val="25"/>
                <w:color w:val="auto"/>
                <w:vertAlign w:val="superscript"/>
              </w:rPr>
              <w:t>(9)</w:t>
            </w:r>
          </w:p>
        </w:tc>
        <w:tc>
          <w:tcPr>
            <w:tcW w:w="14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BCP</w:t>
            </w:r>
          </w:p>
        </w:tc>
        <w:tc>
          <w:tcPr>
            <w:tcW w:w="106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99"/>
              </w:rPr>
              <w:t>26%</w:t>
            </w:r>
          </w:p>
        </w:tc>
        <w:tc>
          <w:tcPr>
            <w:tcW w:w="164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99"/>
              </w:rPr>
              <w:t>44%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-2350135</wp:posOffset>
            </wp:positionV>
            <wp:extent cx="146685" cy="146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685" cy="14668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-2350135</wp:posOffset>
            </wp:positionV>
            <wp:extent cx="193040" cy="146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040" cy="14668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-2350135</wp:posOffset>
            </wp:positionV>
            <wp:extent cx="131445" cy="146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445" cy="14668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-1700530</wp:posOffset>
            </wp:positionV>
            <wp:extent cx="131445" cy="788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445" cy="78867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-780415</wp:posOffset>
            </wp:positionV>
            <wp:extent cx="131445" cy="379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445" cy="37909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-269875</wp:posOffset>
            </wp:positionV>
            <wp:extent cx="131445" cy="262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445" cy="262890"/>
                    </a:xfrm>
                    <a:prstGeom prst="rect">
                      <a:avLst/>
                    </a:prstGeom>
                    <a:noFill/>
                  </pic:spPr>
                </pic:pic>
              </a:graphicData>
            </a:graphic>
          </wp:anchor>
        </w:drawing>
      </w:r>
    </w:p>
    <w:p>
      <w:pPr>
        <w:ind w:left="143" w:hanging="143"/>
        <w:spacing w:after="0" w:line="237"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Figures for June 2019, 2021, and 2022</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Digital Client: Retail Banking clients that conduct 50% of their monetary transactions through digital channels or have purchased an online in the last 12 months. Digital clients; Total Retail Banking clients.</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Retail Monetary Transactions conducted through Retail Banking, Internet Banking, Yape and Telecredito/Total Retail Monetary Transactions in Retail Banking.</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Disbursements generated through leads/Total disbursements.</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Disbursements conducted through alternative channels/Total disbursements.</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Number of loans disbursed/ Total relationship managers.</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transacted through Mobile Banking, Internet Banking, Yape y POS/ Total amount transacted through Retail Banking.</w:t>
      </w:r>
    </w:p>
    <w:p>
      <w:pPr>
        <w:ind w:left="143" w:hanging="143"/>
        <w:spacing w:after="0" w:line="231" w:lineRule="auto"/>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Units sold by Retail Banking through digital channels/ Total number of units sold by Retail Banking.</w:t>
      </w:r>
    </w:p>
    <w:p>
      <w:pPr>
        <w:ind w:left="143" w:hanging="143"/>
        <w:spacing w:after="0"/>
        <w:tabs>
          <w:tab w:leader="none" w:pos="14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Retail Banking loans disbursed through digital channels/ Total Retail banking loans disbursed.</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400" w:right="319" w:bottom="1440" w:gutter="0" w:footer="0" w:header="0"/>
        </w:sectPr>
      </w:pPr>
    </w:p>
    <w:bookmarkStart w:id="14" w:name="page15"/>
    <w:bookmarkEnd w:id="14"/>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Disruptive Initiatives: Yape</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Yape continues to make progress in its quest to become the main payment venue in Peru. Proof of this is the fact that we hit the 10-million user mark in early July. To bolster the affiliate base and usage levels, Yape has conducted a number of campaigns. Additionally, in 2022, Yape continued efforts to jump-start the application’s use at different establishments, including gas stations, convenience stores, pharmacies and other low-ticket establishments.</w:t>
      </w:r>
    </w:p>
    <w:p>
      <w:pPr>
        <w:spacing w:after="0" w:line="8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This quarter, Yape also focused on boosting the use of mobile phone top-ups. Yape rolled out this new service on November 2021 and at quarter-end, 142 thousand mobile top-ups were registered on a daily basis.</w:t>
      </w:r>
    </w:p>
    <w:p>
      <w:pPr>
        <w:spacing w:after="0" w:line="8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Additionally, in line with its goal to be present in the day-to-day of Yaperos, Yape will launch “Yape ofertas” this quarter. This new functionality will allow Yaperos to access different offers and unique promotions at participating establishments if they use Yape to pay.</w:t>
      </w:r>
    </w:p>
    <w:p>
      <w:pPr>
        <w:spacing w:after="0" w:line="8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Finally, after concluding the pilot run of Friends and Family for Microloans, Yape is about to launch the Microcredit functionality to the public. Microloans are granted through Yape for either S/100 and S/200 and can be paid in 15, 20, 25 and 30 days.</w:t>
      </w:r>
    </w:p>
    <w:p>
      <w:pPr>
        <w:spacing w:after="0" w:line="66" w:lineRule="exact"/>
        <w:rPr>
          <w:sz w:val="20"/>
          <w:szCs w:val="20"/>
          <w:color w:val="auto"/>
        </w:rPr>
      </w:pPr>
    </w:p>
    <w:tbl>
      <w:tblPr>
        <w:tblLayout w:type="fixed"/>
        <w:tblInd w:w="290" w:type="dxa"/>
        <w:tblCellMar>
          <w:top w:w="0" w:type="dxa"/>
          <w:left w:w="0" w:type="dxa"/>
          <w:bottom w:w="0" w:type="dxa"/>
          <w:right w:w="0" w:type="dxa"/>
        </w:tblCellMar>
      </w:tblPr>
      <w:tr>
        <w:trPr>
          <w:trHeight w:val="208"/>
        </w:trPr>
        <w:tc>
          <w:tcPr>
            <w:tcW w:w="5640" w:type="dxa"/>
            <w:vAlign w:val="bottom"/>
            <w:tcBorders>
              <w:top w:val="single" w:sz="8" w:color="auto"/>
              <w:left w:val="single" w:sz="8" w:color="auto"/>
              <w:right w:val="single" w:sz="8" w:color="auto"/>
            </w:tcBorders>
            <w:shd w:val="clear" w:color="auto" w:fill="2AD2C9"/>
          </w:tcPr>
          <w:p>
            <w:pPr>
              <w:ind w:left="20"/>
              <w:spacing w:after="0" w:line="207" w:lineRule="exact"/>
              <w:rPr>
                <w:sz w:val="20"/>
                <w:szCs w:val="20"/>
                <w:color w:val="auto"/>
              </w:rPr>
            </w:pPr>
            <w:r>
              <w:rPr>
                <w:rFonts w:ascii="Arial" w:cs="Arial" w:eastAsia="Arial" w:hAnsi="Arial"/>
                <w:sz w:val="15"/>
                <w:szCs w:val="15"/>
                <w:b w:val="1"/>
                <w:bCs w:val="1"/>
                <w:i w:val="1"/>
                <w:iCs w:val="1"/>
                <w:color w:val="auto"/>
              </w:rPr>
              <w:t xml:space="preserve">Disruptive Initiatives: Yape </w:t>
            </w:r>
            <w:r>
              <w:rPr>
                <w:rFonts w:ascii="Arial" w:cs="Arial" w:eastAsia="Arial" w:hAnsi="Arial"/>
                <w:sz w:val="24"/>
                <w:szCs w:val="24"/>
                <w:b w:val="1"/>
                <w:bCs w:val="1"/>
                <w:i w:val="1"/>
                <w:iCs w:val="1"/>
                <w:color w:val="auto"/>
                <w:vertAlign w:val="superscript"/>
              </w:rPr>
              <w:t>(1)</w:t>
            </w:r>
          </w:p>
        </w:tc>
        <w:tc>
          <w:tcPr>
            <w:tcW w:w="16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2Q19</w:t>
            </w:r>
          </w:p>
        </w:tc>
        <w:tc>
          <w:tcPr>
            <w:tcW w:w="17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2Q21</w:t>
            </w:r>
          </w:p>
        </w:tc>
        <w:tc>
          <w:tcPr>
            <w:tcW w:w="17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2Q22</w:t>
            </w:r>
          </w:p>
        </w:tc>
      </w:tr>
      <w:tr>
        <w:trPr>
          <w:trHeight w:val="180"/>
        </w:trPr>
        <w:tc>
          <w:tcPr>
            <w:tcW w:w="564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18"/>
                <w:szCs w:val="18"/>
                <w:b w:val="1"/>
                <w:bCs w:val="1"/>
                <w:i w:val="1"/>
                <w:iCs w:val="1"/>
                <w:color w:val="auto"/>
              </w:rPr>
              <w:t>Day to Day</w:t>
            </w: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r>
      <w:tr>
        <w:trPr>
          <w:trHeight w:val="213"/>
        </w:trPr>
        <w:tc>
          <w:tcPr>
            <w:tcW w:w="564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15"/>
                <w:szCs w:val="15"/>
                <w:color w:val="auto"/>
              </w:rPr>
              <w:t xml:space="preserve">% Microbusiness users </w:t>
            </w:r>
            <w:r>
              <w:rPr>
                <w:rFonts w:ascii="Arial" w:cs="Arial" w:eastAsia="Arial" w:hAnsi="Arial"/>
                <w:sz w:val="24"/>
                <w:szCs w:val="24"/>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rPr>
              <w:t>0.6%</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16"/>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Mobile phone top-ups (thousands)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2,769</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4,185</w:t>
            </w:r>
          </w:p>
        </w:tc>
      </w:tr>
      <w:tr>
        <w:trPr>
          <w:trHeight w:val="178"/>
        </w:trPr>
        <w:tc>
          <w:tcPr>
            <w:tcW w:w="56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Cashless</w:t>
            </w: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Users (thousands)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rPr>
              <w:t>1,106</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rPr>
              <w:t>6,610</w:t>
            </w:r>
          </w:p>
        </w:tc>
        <w:tc>
          <w:tcPr>
            <w:tcW w:w="17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9,965</w:t>
            </w:r>
          </w:p>
        </w:tc>
      </w:tr>
      <w:tr>
        <w:trPr>
          <w:trHeight w:val="207"/>
        </w:trPr>
        <w:tc>
          <w:tcPr>
            <w:tcW w:w="564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 User’s clients of BCP </w:t>
            </w:r>
            <w:r>
              <w:rPr>
                <w:rFonts w:ascii="Arial" w:cs="Arial" w:eastAsia="Arial" w:hAnsi="Arial"/>
                <w:sz w:val="24"/>
                <w:szCs w:val="24"/>
                <w:color w:val="auto"/>
                <w:vertAlign w:val="superscript"/>
              </w:rPr>
              <w:t>(3)</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59%</w:t>
            </w:r>
          </w:p>
        </w:tc>
      </w:tr>
      <w:tr>
        <w:trPr>
          <w:trHeight w:val="207"/>
        </w:trPr>
        <w:tc>
          <w:tcPr>
            <w:tcW w:w="564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 of Yape Users </w:t>
            </w:r>
            <w:r>
              <w:rPr>
                <w:rFonts w:ascii="Arial" w:cs="Arial" w:eastAsia="Arial" w:hAnsi="Arial"/>
                <w:sz w:val="24"/>
                <w:szCs w:val="24"/>
                <w:color w:val="auto"/>
                <w:vertAlign w:val="superscript"/>
              </w:rPr>
              <w:t>(4)</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37%</w:t>
            </w:r>
          </w:p>
        </w:tc>
      </w:tr>
      <w:tr>
        <w:trPr>
          <w:trHeight w:val="207"/>
        </w:trPr>
        <w:tc>
          <w:tcPr>
            <w:tcW w:w="564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Active users (thousands) </w:t>
            </w:r>
            <w:r>
              <w:rPr>
                <w:rFonts w:ascii="Arial" w:cs="Arial" w:eastAsia="Arial" w:hAnsi="Arial"/>
                <w:sz w:val="24"/>
                <w:szCs w:val="24"/>
                <w:color w:val="auto"/>
                <w:vertAlign w:val="superscript"/>
              </w:rPr>
              <w:t>(5)</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333</w:t>
            </w:r>
          </w:p>
        </w:tc>
        <w:tc>
          <w:tcPr>
            <w:tcW w:w="1700" w:type="dxa"/>
            <w:vAlign w:val="bottom"/>
          </w:tcPr>
          <w:p>
            <w:pPr>
              <w:jc w:val="center"/>
              <w:spacing w:after="0"/>
              <w:rPr>
                <w:sz w:val="20"/>
                <w:szCs w:val="20"/>
                <w:color w:val="auto"/>
              </w:rPr>
            </w:pPr>
            <w:r>
              <w:rPr>
                <w:rFonts w:ascii="Arial" w:cs="Arial" w:eastAsia="Arial" w:hAnsi="Arial"/>
                <w:sz w:val="18"/>
                <w:szCs w:val="18"/>
                <w:color w:val="auto"/>
              </w:rPr>
              <w:t>3,051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5,957</w:t>
            </w:r>
          </w:p>
        </w:tc>
      </w:tr>
      <w:tr>
        <w:trPr>
          <w:trHeight w:val="213"/>
        </w:trPr>
        <w:tc>
          <w:tcPr>
            <w:tcW w:w="564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15"/>
                <w:szCs w:val="15"/>
                <w:color w:val="auto"/>
              </w:rPr>
              <w:t xml:space="preserve">% Active users on a monthly basis </w:t>
            </w:r>
            <w:r>
              <w:rPr>
                <w:rFonts w:ascii="Arial" w:cs="Arial" w:eastAsia="Arial" w:hAnsi="Arial"/>
                <w:sz w:val="24"/>
                <w:szCs w:val="24"/>
                <w:color w:val="auto"/>
                <w:vertAlign w:val="superscript"/>
              </w:rPr>
              <w:t>(6)</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207"/>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of monthly Transactions (thousands)</w:t>
            </w:r>
          </w:p>
        </w:tc>
        <w:tc>
          <w:tcPr>
            <w:tcW w:w="1640" w:type="dxa"/>
            <w:vAlign w:val="bottom"/>
          </w:tcPr>
          <w:p>
            <w:pPr>
              <w:jc w:val="center"/>
              <w:spacing w:after="0"/>
              <w:rPr>
                <w:sz w:val="20"/>
                <w:szCs w:val="20"/>
                <w:color w:val="auto"/>
              </w:rPr>
            </w:pPr>
            <w:r>
              <w:rPr>
                <w:rFonts w:ascii="Arial" w:cs="Arial" w:eastAsia="Arial" w:hAnsi="Arial"/>
                <w:sz w:val="18"/>
                <w:szCs w:val="18"/>
                <w:color w:val="auto"/>
              </w:rPr>
              <w:t>1,262</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27,222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88,950</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Monthly transaction amount (millions, 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9"/>
              </w:rPr>
              <w:t>62</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rPr>
              <w:t>1,735</w:t>
            </w:r>
          </w:p>
        </w:tc>
        <w:tc>
          <w:tcPr>
            <w:tcW w:w="17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4,951</w:t>
            </w:r>
          </w:p>
        </w:tc>
      </w:tr>
      <w:tr>
        <w:trPr>
          <w:trHeight w:val="222"/>
        </w:trPr>
        <w:tc>
          <w:tcPr>
            <w:tcW w:w="5640" w:type="dxa"/>
            <w:vAlign w:val="bottom"/>
            <w:tcBorders>
              <w:left w:val="single" w:sz="8" w:color="auto"/>
              <w:bottom w:val="single" w:sz="8" w:color="auto"/>
              <w:right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Number of monthly transactions by Active Yapero </w:t>
            </w:r>
            <w:r>
              <w:rPr>
                <w:rFonts w:ascii="Arial" w:cs="Arial" w:eastAsia="Arial" w:hAnsi="Arial"/>
                <w:sz w:val="25"/>
                <w:szCs w:val="25"/>
                <w:color w:val="auto"/>
                <w:vertAlign w:val="superscript"/>
              </w:rPr>
              <w:t>(7)</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-1453515</wp:posOffset>
            </wp:positionV>
            <wp:extent cx="131445" cy="262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445" cy="26289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-1058545</wp:posOffset>
            </wp:positionV>
            <wp:extent cx="131445" cy="1051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445" cy="1051560"/>
                    </a:xfrm>
                    <a:prstGeom prst="rect">
                      <a:avLst/>
                    </a:prstGeom>
                    <a:noFill/>
                  </pic:spPr>
                </pic:pic>
              </a:graphicData>
            </a:graphic>
          </wp:anchor>
        </w:drawing>
      </w:r>
    </w:p>
    <w:p>
      <w:pPr>
        <w:ind w:left="440" w:hanging="150"/>
        <w:spacing w:after="0" w:line="237"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Figures for 2019, 2021 and 2022</w:t>
      </w:r>
    </w:p>
    <w:p>
      <w:pPr>
        <w:ind w:left="440" w:hanging="150"/>
        <w:spacing w:after="0" w:line="231"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Yape users that are Microbusinesses/Total Yape users</w:t>
      </w:r>
    </w:p>
    <w:p>
      <w:pPr>
        <w:ind w:left="440" w:hanging="150"/>
        <w:spacing w:after="0" w:line="231"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clients that are Yape users/Total Yape users</w:t>
      </w:r>
    </w:p>
    <w:p>
      <w:pPr>
        <w:ind w:left="440" w:hanging="150"/>
        <w:spacing w:after="0" w:line="231"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Yapecard users / Total Yape users</w:t>
      </w:r>
    </w:p>
    <w:p>
      <w:pPr>
        <w:ind w:left="440" w:hanging="150"/>
        <w:spacing w:after="0" w:line="231"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Yape users that have conducted at least one transaction a month</w:t>
      </w:r>
    </w:p>
    <w:p>
      <w:pPr>
        <w:ind w:left="440" w:hanging="150"/>
        <w:spacing w:after="0" w:line="231" w:lineRule="auto"/>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Yape users that have conducted at least one transaction in the past month/Total Yape Users</w:t>
      </w:r>
    </w:p>
    <w:p>
      <w:pPr>
        <w:ind w:left="440" w:hanging="150"/>
        <w:spacing w:after="0"/>
        <w:tabs>
          <w:tab w:leader="none" w:pos="4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Number of Yape transactions/Active Users</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15" w:name="page16"/>
    <w:bookmarkEnd w:id="15"/>
    <w:p>
      <w:pPr>
        <w:ind w:left="34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440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440690"/>
                    </a:xfrm>
                    <a:prstGeom prst="rect">
                      <a:avLst/>
                    </a:prstGeom>
                    <a:noFill/>
                  </pic:spPr>
                </pic:pic>
              </a:graphicData>
            </a:graphic>
          </wp:anchor>
        </w:drawing>
        <w:t>Earnings Release 2Q /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Integrating Sustainability in our way of doing business</w:t>
      </w:r>
    </w:p>
    <w:p>
      <w:pPr>
        <w:spacing w:after="0" w:line="23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For more information on our sustainability strategy, program and initiatives please review the documents “</w:t>
      </w:r>
      <w:r>
        <w:rPr>
          <w:rFonts w:ascii="Times New Roman" w:cs="Times New Roman" w:eastAsia="Times New Roman" w:hAnsi="Times New Roman"/>
          <w:sz w:val="16"/>
          <w:szCs w:val="16"/>
          <w:u w:val="single" w:color="auto"/>
          <w:color w:val="auto"/>
        </w:rPr>
        <w:t>Sustainability Strategy 2020-25</w:t>
      </w:r>
      <w:r>
        <w:rPr>
          <w:rFonts w:ascii="Times New Roman" w:cs="Times New Roman" w:eastAsia="Times New Roman" w:hAnsi="Times New Roman"/>
          <w:sz w:val="16"/>
          <w:szCs w:val="16"/>
          <w:color w:val="auto"/>
        </w:rPr>
        <w:t xml:space="preserve">” and our latest </w:t>
      </w:r>
      <w:r>
        <w:rPr>
          <w:rFonts w:ascii="Times New Roman" w:cs="Times New Roman" w:eastAsia="Times New Roman" w:hAnsi="Times New Roman"/>
          <w:sz w:val="16"/>
          <w:szCs w:val="16"/>
          <w:u w:val="single" w:color="auto"/>
          <w:color w:val="auto"/>
        </w:rPr>
        <w:t>Annual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Sustainability Report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Among the milestones hit in the second quarter of 2022 in the framework for the company’s ESG journey, the following stand out: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 front – New Corporate Sustainability Policies</w:t>
      </w:r>
    </w:p>
    <w:p>
      <w:pPr>
        <w:spacing w:after="0" w:line="13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To ensure that our initiatives are aligned with our purpose, we continue to implement a series of corporate policies that will guide and direct our businesses in the quest to incorporate more sustainable practices. In 2Q22, the following corporate policies were approved and published: (i) </w:t>
      </w:r>
      <w:r>
        <w:rPr>
          <w:rFonts w:ascii="Times New Roman" w:cs="Times New Roman" w:eastAsia="Times New Roman" w:hAnsi="Times New Roman"/>
          <w:sz w:val="16"/>
          <w:szCs w:val="16"/>
          <w:u w:val="single" w:color="auto"/>
          <w:color w:val="auto"/>
        </w:rPr>
        <w:t>Sustainability Policy,</w:t>
      </w:r>
      <w:r>
        <w:rPr>
          <w:rFonts w:ascii="Times New Roman" w:cs="Times New Roman" w:eastAsia="Times New Roman" w:hAnsi="Times New Roman"/>
          <w:sz w:val="16"/>
          <w:szCs w:val="16"/>
          <w:color w:val="auto"/>
        </w:rPr>
        <w:t xml:space="preserve"> (ii) </w:t>
      </w:r>
      <w:r>
        <w:rPr>
          <w:rFonts w:ascii="Times New Roman" w:cs="Times New Roman" w:eastAsia="Times New Roman" w:hAnsi="Times New Roman"/>
          <w:sz w:val="16"/>
          <w:szCs w:val="16"/>
          <w:u w:val="single" w:color="auto"/>
          <w:color w:val="auto"/>
        </w:rPr>
        <w:t>Corporate Human Rights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xml:space="preserve"> and (iii) </w:t>
      </w:r>
      <w:r>
        <w:rPr>
          <w:rFonts w:ascii="Times New Roman" w:cs="Times New Roman" w:eastAsia="Times New Roman" w:hAnsi="Times New Roman"/>
          <w:sz w:val="16"/>
          <w:szCs w:val="16"/>
          <w:u w:val="single" w:color="auto"/>
          <w:color w:val="auto"/>
        </w:rPr>
        <w:t>Corporate Policy for Responsible and Sustainable Investments</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Front – Developing sustainable financial solutions and making progress with the ESG risk management framework</w:t>
      </w:r>
    </w:p>
    <w:p>
      <w:pPr>
        <w:spacing w:after="0" w:line="147" w:lineRule="exact"/>
        <w:rPr>
          <w:sz w:val="20"/>
          <w:szCs w:val="20"/>
          <w:color w:val="auto"/>
        </w:rPr>
      </w:pPr>
    </w:p>
    <w:p>
      <w:pPr>
        <w:ind w:left="580" w:right="20" w:hanging="290"/>
        <w:spacing w:after="0" w:line="278"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BCP launched the Peruvian banking system’s first international green issuance for a total of US$ 30 million. The funds raised will be used to finance projects for eco-friendly production plants.</w:t>
      </w:r>
    </w:p>
    <w:p>
      <w:pPr>
        <w:spacing w:after="0" w:line="60"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BCP granted a certified green loan to Aceros Arequipa, a company in the steel sector, to finance the development of a steel recycling plant.</w:t>
      </w:r>
    </w:p>
    <w:p>
      <w:pPr>
        <w:spacing w:after="0" w:line="132"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BCP granted a certified green loan to Hialpesa, a company in the textile sector, to finance the development of a water treatment plant.</w:t>
      </w:r>
    </w:p>
    <w:p>
      <w:pPr>
        <w:spacing w:after="0" w:line="132"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Credicorp Capital acted as a structuring and placement agent for sustainable commercial papers for Bosques Amazonicos S.A. The company will use the funds for conservation and reforestation projects in the Amazon.</w:t>
      </w:r>
    </w:p>
    <w:p>
      <w:pPr>
        <w:spacing w:after="0" w:line="60" w:lineRule="exact"/>
        <w:rPr>
          <w:rFonts w:ascii="Arial" w:cs="Arial" w:eastAsia="Arial" w:hAnsi="Arial"/>
          <w:sz w:val="16"/>
          <w:szCs w:val="16"/>
          <w:color w:val="auto"/>
        </w:rPr>
      </w:pPr>
    </w:p>
    <w:p>
      <w:pPr>
        <w:jc w:val="both"/>
        <w:ind w:left="580" w:hanging="290"/>
        <w:spacing w:after="0" w:line="25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Within the ESG risk management platform, Credicorp has defined the strategic criteria at the corporate level to determine clients’ eligibility for or exclusion from financing and is working to incorporate these guidelines at the operating level based on each subsidiary’s characteristics and capacities. The Pilot for the Green Taxonomy Program was satisfactorily completed for a portion of the loan portfolio and will eventually be applied to the complete portfolio.</w:t>
      </w:r>
    </w:p>
    <w:p>
      <w:pPr>
        <w:spacing w:after="0" w:line="9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b w:val="1"/>
          <w:bCs w:val="1"/>
          <w:color w:val="auto"/>
        </w:rPr>
        <w:t>Social Front – Expanding financial inclusion and education; helping small businesses grow; and providing solutions to reinsert people with financial problems in the system</w:t>
      </w:r>
    </w:p>
    <w:p>
      <w:pPr>
        <w:spacing w:after="0" w:line="79" w:lineRule="exact"/>
        <w:rPr>
          <w:sz w:val="20"/>
          <w:szCs w:val="20"/>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Yape spurred the financial inclusion of more than 1.9 million people since November 2020 and Mibanco, through its microfinance role, has included over 600 thousand entrepreneurs in the financial system over the past seven years.</w:t>
      </w:r>
    </w:p>
    <w:p>
      <w:pPr>
        <w:spacing w:after="0" w:line="60"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BCP launched Ando ─ a web platform that offers Yape users who have no credit history and are interested in obtaining microloans ─ the opportunity to demonstrate their debt service capacities by successfully completing a series of challenges.</w:t>
      </w:r>
    </w:p>
    <w:p>
      <w:pPr>
        <w:spacing w:after="0" w:line="73"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Yape launched a campaign to create fraud awareness among users and ensure prevention. These initiatives provided affiliates with educational information on fraud as well as advice and tools to prevent cybernetic and organized crime.</w:t>
      </w:r>
    </w:p>
    <w:p>
      <w:pPr>
        <w:spacing w:after="0" w:line="73" w:lineRule="exact"/>
        <w:rPr>
          <w:rFonts w:ascii="Arial" w:cs="Arial" w:eastAsia="Arial" w:hAnsi="Arial"/>
          <w:sz w:val="16"/>
          <w:szCs w:val="16"/>
          <w:color w:val="auto"/>
        </w:rPr>
      </w:pPr>
    </w:p>
    <w:p>
      <w:pPr>
        <w:ind w:left="580" w:hanging="290"/>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Yape implemented a chatbox to reduce response times and efficiently address users’ requests in real time.</w:t>
      </w:r>
    </w:p>
    <w:p>
      <w:pPr>
        <w:spacing w:after="0" w:line="120"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Yape, nearly 65K people have received training on financial matters through workshops and working groups this quarter. At Mibanco, more than 76K clients have benefitted from different financial and business advisory services.</w:t>
      </w:r>
    </w:p>
    <w:p>
      <w:pPr>
        <w:spacing w:after="0" w:line="73" w:lineRule="exact"/>
        <w:rPr>
          <w:rFonts w:ascii="Arial" w:cs="Arial" w:eastAsia="Arial" w:hAnsi="Arial"/>
          <w:sz w:val="16"/>
          <w:szCs w:val="16"/>
          <w:color w:val="auto"/>
        </w:rPr>
      </w:pPr>
    </w:p>
    <w:p>
      <w:pPr>
        <w:ind w:left="580" w:hanging="290"/>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BCP and Prima AFP launched new chapters of the financial education programs “El Depa” and “5to piso”.</w:t>
      </w:r>
    </w:p>
    <w:p>
      <w:pPr>
        <w:spacing w:after="0" w:line="132"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Mibanco’s Yevo, which is an online ecosystem for entrepreneurs, hit the 100 thousand-affiliate mark and launched 7 online courses for financial education and digital tools.</w:t>
      </w:r>
    </w:p>
    <w:p>
      <w:pPr>
        <w:spacing w:after="0" w:line="60" w:lineRule="exact"/>
        <w:rPr>
          <w:rFonts w:ascii="Arial" w:cs="Arial" w:eastAsia="Arial" w:hAnsi="Arial"/>
          <w:sz w:val="16"/>
          <w:szCs w:val="16"/>
          <w:color w:val="auto"/>
        </w:rPr>
      </w:pPr>
    </w:p>
    <w:p>
      <w:pPr>
        <w:ind w:left="580" w:right="20" w:hanging="290"/>
        <w:spacing w:after="0" w:line="27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Mibanco granted its first loan “A-morosos”; this program seeks to reinsert delinquent clients in the financial system. The program has registered 400+ payment agreements with delinquent clients.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16" w:name="page17"/>
    <w:bookmarkEnd w:id="1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01 </w:t>
      </w:r>
      <w:r>
        <w:rPr>
          <w:rFonts w:ascii="Times New Roman" w:cs="Times New Roman" w:eastAsia="Times New Roman" w:hAnsi="Times New Roman"/>
          <w:sz w:val="29"/>
          <w:szCs w:val="29"/>
          <w:b w:val="1"/>
          <w:bCs w:val="1"/>
          <w:color w:val="E93C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904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904875"/>
                    </a:xfrm>
                    <a:prstGeom prst="rect">
                      <a:avLst/>
                    </a:prstGeom>
                    <a:noFill/>
                  </pic:spPr>
                </pic:pic>
              </a:graphicData>
            </a:graphic>
          </wp:anchor>
        </w:drawing>
      </w:r>
    </w:p>
    <w:p>
      <w:pPr>
        <w:spacing w:after="0" w:line="318" w:lineRule="exact"/>
        <w:rPr>
          <w:sz w:val="20"/>
          <w:szCs w:val="20"/>
          <w:color w:val="auto"/>
        </w:rPr>
      </w:pPr>
    </w:p>
    <w:p>
      <w:pPr>
        <w:jc w:val="both"/>
        <w:ind w:left="123" w:right="120"/>
        <w:spacing w:after="0" w:line="278" w:lineRule="auto"/>
        <w:rPr>
          <w:sz w:val="20"/>
          <w:szCs w:val="20"/>
          <w:color w:val="auto"/>
        </w:rPr>
      </w:pPr>
      <w:r>
        <w:rPr>
          <w:rFonts w:ascii="Arial" w:cs="Arial" w:eastAsia="Arial" w:hAnsi="Arial"/>
          <w:sz w:val="16"/>
          <w:szCs w:val="16"/>
          <w:color w:val="FFFFFF"/>
        </w:rPr>
        <w:t>Structural loans increased QoQ and YoY. This evolution was mainly driven by an uptick in growth at the subsidiaries in Peru, spurred by higher demand for financing in a context of economic reactivation and boosted by sales through digital or alternative channels.</w:t>
      </w:r>
    </w:p>
    <w:p>
      <w:pPr>
        <w:spacing w:after="0" w:line="110" w:lineRule="exact"/>
        <w:rPr>
          <w:sz w:val="20"/>
          <w:szCs w:val="20"/>
          <w:color w:val="auto"/>
        </w:rPr>
      </w:pPr>
    </w:p>
    <w:p>
      <w:pPr>
        <w:jc w:val="both"/>
        <w:ind w:left="123" w:right="120"/>
        <w:spacing w:after="0" w:line="258" w:lineRule="auto"/>
        <w:rPr>
          <w:sz w:val="20"/>
          <w:szCs w:val="20"/>
          <w:color w:val="auto"/>
        </w:rPr>
      </w:pPr>
      <w:r>
        <w:rPr>
          <w:rFonts w:ascii="Arial" w:cs="Arial" w:eastAsia="Arial" w:hAnsi="Arial"/>
          <w:sz w:val="16"/>
          <w:szCs w:val="16"/>
          <w:color w:val="FFFFFF"/>
        </w:rPr>
        <w:t>Structural NPL portfolio grew QoQ and YoY mostly attributable to BCP Stand-alone, driven by an increase in early delinquency from clients who also hold Reactiva loans in SME-Pyme and to specific clients who were impacted by the pandemic in Wholesale Banking at BCP Stand-alone. Nevertheless, the structural NPL ratios improved QoQ and YoY, fueled by an increase in structural loans and a reduction in the refinanced portfolio.</w:t>
      </w:r>
    </w:p>
    <w:p>
      <w:pPr>
        <w:spacing w:after="0" w:line="3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1.1. Loans</w:t>
      </w:r>
    </w:p>
    <w:p>
      <w:pPr>
        <w:spacing w:after="0" w:line="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 xml:space="preserve">Structural Loans (in Average Daily Balances) </w:t>
      </w:r>
      <w:r>
        <w:rPr>
          <w:rFonts w:ascii="Times New Roman" w:cs="Times New Roman" w:eastAsia="Times New Roman" w:hAnsi="Times New Roman"/>
          <w:sz w:val="27"/>
          <w:szCs w:val="27"/>
          <w:b w:val="1"/>
          <w:bCs w:val="1"/>
          <w:color w:val="auto"/>
          <w:vertAlign w:val="superscript"/>
        </w:rPr>
        <w:t>(1)(2)(3)</w:t>
      </w:r>
    </w:p>
    <w:p>
      <w:pPr>
        <w:spacing w:after="0" w:line="31" w:lineRule="exact"/>
        <w:rPr>
          <w:sz w:val="20"/>
          <w:szCs w:val="20"/>
          <w:color w:val="auto"/>
        </w:rPr>
      </w:pPr>
    </w:p>
    <w:tbl>
      <w:tblPr>
        <w:tblLayout w:type="fixed"/>
        <w:tblInd w:w="573" w:type="dxa"/>
        <w:tblCellMar>
          <w:top w:w="0" w:type="dxa"/>
          <w:left w:w="0" w:type="dxa"/>
          <w:bottom w:w="0" w:type="dxa"/>
          <w:right w:w="0" w:type="dxa"/>
        </w:tblCellMar>
      </w:tblPr>
      <w:tr>
        <w:trPr>
          <w:trHeight w:val="176"/>
        </w:trPr>
        <w:tc>
          <w:tcPr>
            <w:tcW w:w="2280" w:type="dxa"/>
            <w:vAlign w:val="bottom"/>
            <w:tcBorders>
              <w:top w:val="single" w:sz="8" w:color="auto"/>
              <w:left w:val="single" w:sz="8" w:color="auto"/>
              <w:right w:val="single" w:sz="8" w:color="auto"/>
            </w:tcBorders>
            <w:shd w:val="clear" w:color="auto" w:fill="33CCCC"/>
          </w:tcPr>
          <w:p>
            <w:pPr>
              <w:ind w:left="20"/>
              <w:spacing w:after="0" w:line="176" w:lineRule="exact"/>
              <w:rPr>
                <w:sz w:val="20"/>
                <w:szCs w:val="20"/>
                <w:color w:val="auto"/>
              </w:rPr>
            </w:pPr>
            <w:r>
              <w:rPr>
                <w:rFonts w:ascii="Arial" w:cs="Arial" w:eastAsia="Arial" w:hAnsi="Arial"/>
                <w:sz w:val="18"/>
                <w:szCs w:val="18"/>
                <w:b w:val="1"/>
                <w:bCs w:val="1"/>
                <w:color w:val="FFFFFF"/>
              </w:rPr>
              <w:t>Structural Loans</w:t>
            </w:r>
          </w:p>
        </w:tc>
        <w:tc>
          <w:tcPr>
            <w:tcW w:w="760" w:type="dxa"/>
            <w:vAlign w:val="bottom"/>
            <w:tcBorders>
              <w:top w:val="single" w:sz="8" w:color="auto"/>
            </w:tcBorders>
            <w:shd w:val="clear" w:color="auto" w:fill="33CCCC"/>
          </w:tcPr>
          <w:p>
            <w:pPr>
              <w:spacing w:after="0"/>
              <w:rPr>
                <w:sz w:val="15"/>
                <w:szCs w:val="15"/>
                <w:color w:val="auto"/>
              </w:rPr>
            </w:pPr>
          </w:p>
        </w:tc>
        <w:tc>
          <w:tcPr>
            <w:tcW w:w="760" w:type="dxa"/>
            <w:vAlign w:val="bottom"/>
            <w:tcBorders>
              <w:top w:val="single" w:sz="8" w:color="auto"/>
            </w:tcBorders>
            <w:shd w:val="clear" w:color="auto" w:fill="33CCCC"/>
          </w:tcPr>
          <w:p>
            <w:pPr>
              <w:jc w:val="center"/>
              <w:spacing w:after="0" w:line="176" w:lineRule="exact"/>
              <w:rPr>
                <w:sz w:val="20"/>
                <w:szCs w:val="20"/>
                <w:color w:val="auto"/>
              </w:rPr>
            </w:pPr>
            <w:r>
              <w:rPr>
                <w:rFonts w:ascii="Arial" w:cs="Arial" w:eastAsia="Arial" w:hAnsi="Arial"/>
                <w:sz w:val="18"/>
                <w:szCs w:val="18"/>
                <w:b w:val="1"/>
                <w:bCs w:val="1"/>
                <w:color w:val="FFFFFF"/>
                <w:w w:val="97"/>
              </w:rPr>
              <w:t>As of</w:t>
            </w:r>
          </w:p>
        </w:tc>
        <w:tc>
          <w:tcPr>
            <w:tcW w:w="800" w:type="dxa"/>
            <w:vAlign w:val="bottom"/>
            <w:tcBorders>
              <w:top w:val="single" w:sz="8" w:color="auto"/>
              <w:right w:val="single" w:sz="8" w:color="auto"/>
            </w:tcBorders>
            <w:shd w:val="clear" w:color="auto" w:fill="33CCCC"/>
          </w:tcPr>
          <w:p>
            <w:pPr>
              <w:spacing w:after="0"/>
              <w:rPr>
                <w:sz w:val="15"/>
                <w:szCs w:val="15"/>
                <w:color w:val="auto"/>
              </w:rPr>
            </w:pPr>
          </w:p>
        </w:tc>
        <w:tc>
          <w:tcPr>
            <w:tcW w:w="1580" w:type="dxa"/>
            <w:vAlign w:val="bottom"/>
            <w:tcBorders>
              <w:top w:val="single" w:sz="8" w:color="auto"/>
              <w:right w:val="single" w:sz="8" w:color="auto"/>
            </w:tcBorders>
            <w:gridSpan w:val="2"/>
            <w:shd w:val="clear" w:color="auto" w:fill="33CCCC"/>
          </w:tcPr>
          <w:p>
            <w:pPr>
              <w:ind w:left="120"/>
              <w:spacing w:after="0" w:line="176" w:lineRule="exact"/>
              <w:rPr>
                <w:sz w:val="20"/>
                <w:szCs w:val="20"/>
                <w:color w:val="auto"/>
              </w:rPr>
            </w:pPr>
            <w:r>
              <w:rPr>
                <w:rFonts w:ascii="Arial" w:cs="Arial" w:eastAsia="Arial" w:hAnsi="Arial"/>
                <w:sz w:val="18"/>
                <w:szCs w:val="18"/>
                <w:b w:val="1"/>
                <w:bCs w:val="1"/>
                <w:color w:val="FFFFFF"/>
              </w:rPr>
              <w:t>Volume change</w:t>
            </w:r>
          </w:p>
        </w:tc>
        <w:tc>
          <w:tcPr>
            <w:tcW w:w="1580" w:type="dxa"/>
            <w:vAlign w:val="bottom"/>
            <w:tcBorders>
              <w:top w:val="single" w:sz="8" w:color="auto"/>
              <w:right w:val="single" w:sz="8" w:color="auto"/>
            </w:tcBorders>
            <w:gridSpan w:val="2"/>
            <w:shd w:val="clear" w:color="auto" w:fill="33CCCC"/>
          </w:tcPr>
          <w:p>
            <w:pPr>
              <w:ind w:left="360"/>
              <w:spacing w:after="0" w:line="176" w:lineRule="exact"/>
              <w:rPr>
                <w:sz w:val="20"/>
                <w:szCs w:val="20"/>
                <w:color w:val="auto"/>
              </w:rPr>
            </w:pPr>
            <w:r>
              <w:rPr>
                <w:rFonts w:ascii="Arial" w:cs="Arial" w:eastAsia="Arial" w:hAnsi="Arial"/>
                <w:sz w:val="18"/>
                <w:szCs w:val="18"/>
                <w:b w:val="1"/>
                <w:bCs w:val="1"/>
                <w:color w:val="FFFFFF"/>
              </w:rPr>
              <w:t>% change</w:t>
            </w:r>
          </w:p>
        </w:tc>
        <w:tc>
          <w:tcPr>
            <w:tcW w:w="2380" w:type="dxa"/>
            <w:vAlign w:val="bottom"/>
            <w:tcBorders>
              <w:top w:val="single" w:sz="8" w:color="auto"/>
              <w:right w:val="single" w:sz="8" w:color="auto"/>
            </w:tcBorders>
            <w:gridSpan w:val="3"/>
            <w:shd w:val="clear" w:color="auto" w:fill="33CCCC"/>
          </w:tcPr>
          <w:p>
            <w:pPr>
              <w:jc w:val="center"/>
              <w:spacing w:after="0" w:line="176" w:lineRule="exact"/>
              <w:rPr>
                <w:sz w:val="20"/>
                <w:szCs w:val="20"/>
                <w:color w:val="auto"/>
              </w:rPr>
            </w:pPr>
            <w:r>
              <w:rPr>
                <w:rFonts w:ascii="Arial" w:cs="Arial" w:eastAsia="Arial" w:hAnsi="Arial"/>
                <w:sz w:val="18"/>
                <w:szCs w:val="18"/>
                <w:b w:val="1"/>
                <w:bCs w:val="1"/>
                <w:color w:val="FFFFFF"/>
                <w:w w:val="98"/>
              </w:rPr>
              <w:t>% Part. in total structural</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8"/>
                <w:szCs w:val="18"/>
                <w:color w:val="FFFFFF"/>
              </w:rPr>
              <w:t>(S/ millions)</w:t>
            </w:r>
          </w:p>
        </w:tc>
        <w:tc>
          <w:tcPr>
            <w:tcW w:w="760" w:type="dxa"/>
            <w:vAlign w:val="bottom"/>
            <w:tcBorders>
              <w:bottom w:val="single" w:sz="8" w:color="auto"/>
            </w:tcBorders>
            <w:shd w:val="clear" w:color="auto" w:fill="33CCCC"/>
          </w:tcPr>
          <w:p>
            <w:pPr>
              <w:spacing w:after="0"/>
              <w:rPr>
                <w:sz w:val="18"/>
                <w:szCs w:val="18"/>
                <w:color w:val="auto"/>
              </w:rPr>
            </w:pPr>
          </w:p>
        </w:tc>
        <w:tc>
          <w:tcPr>
            <w:tcW w:w="760" w:type="dxa"/>
            <w:vAlign w:val="bottom"/>
            <w:tcBorders>
              <w:bottom w:val="single" w:sz="8" w:color="auto"/>
            </w:tcBorders>
            <w:shd w:val="clear" w:color="auto" w:fill="33CCCC"/>
          </w:tcPr>
          <w:p>
            <w:pPr>
              <w:spacing w:after="0"/>
              <w:rPr>
                <w:sz w:val="18"/>
                <w:szCs w:val="18"/>
                <w:color w:val="auto"/>
              </w:rPr>
            </w:pPr>
          </w:p>
        </w:tc>
        <w:tc>
          <w:tcPr>
            <w:tcW w:w="800" w:type="dxa"/>
            <w:vAlign w:val="bottom"/>
            <w:tcBorders>
              <w:bottom w:val="single" w:sz="8" w:color="auto"/>
              <w:right w:val="single" w:sz="8" w:color="auto"/>
            </w:tcBorders>
            <w:shd w:val="clear" w:color="auto" w:fill="33CCCC"/>
          </w:tcPr>
          <w:p>
            <w:pPr>
              <w:spacing w:after="0"/>
              <w:rPr>
                <w:sz w:val="18"/>
                <w:szCs w:val="18"/>
                <w:color w:val="auto"/>
              </w:rPr>
            </w:pPr>
          </w:p>
        </w:tc>
        <w:tc>
          <w:tcPr>
            <w:tcW w:w="760" w:type="dxa"/>
            <w:vAlign w:val="bottom"/>
            <w:tcBorders>
              <w:bottom w:val="single" w:sz="8" w:color="auto"/>
            </w:tcBorders>
            <w:shd w:val="clear" w:color="auto" w:fill="33CCCC"/>
          </w:tcPr>
          <w:p>
            <w:pPr>
              <w:spacing w:after="0"/>
              <w:rPr>
                <w:sz w:val="18"/>
                <w:szCs w:val="18"/>
                <w:color w:val="auto"/>
              </w:rPr>
            </w:pPr>
          </w:p>
        </w:tc>
        <w:tc>
          <w:tcPr>
            <w:tcW w:w="820" w:type="dxa"/>
            <w:vAlign w:val="bottom"/>
            <w:tcBorders>
              <w:bottom w:val="single" w:sz="8" w:color="auto"/>
              <w:right w:val="single" w:sz="8" w:color="auto"/>
            </w:tcBorders>
            <w:shd w:val="clear" w:color="auto" w:fill="33CCCC"/>
          </w:tcPr>
          <w:p>
            <w:pPr>
              <w:spacing w:after="0"/>
              <w:rPr>
                <w:sz w:val="18"/>
                <w:szCs w:val="18"/>
                <w:color w:val="auto"/>
              </w:rPr>
            </w:pPr>
          </w:p>
        </w:tc>
        <w:tc>
          <w:tcPr>
            <w:tcW w:w="760" w:type="dxa"/>
            <w:vAlign w:val="bottom"/>
            <w:tcBorders>
              <w:bottom w:val="single" w:sz="8" w:color="auto"/>
            </w:tcBorders>
            <w:shd w:val="clear" w:color="auto" w:fill="33CCCC"/>
          </w:tcPr>
          <w:p>
            <w:pPr>
              <w:spacing w:after="0"/>
              <w:rPr>
                <w:sz w:val="18"/>
                <w:szCs w:val="18"/>
                <w:color w:val="auto"/>
              </w:rPr>
            </w:pPr>
          </w:p>
        </w:tc>
        <w:tc>
          <w:tcPr>
            <w:tcW w:w="820" w:type="dxa"/>
            <w:vAlign w:val="bottom"/>
            <w:tcBorders>
              <w:bottom w:val="single" w:sz="8" w:color="auto"/>
              <w:right w:val="single" w:sz="8" w:color="auto"/>
            </w:tcBorders>
            <w:shd w:val="clear" w:color="auto" w:fill="33CCCC"/>
          </w:tcPr>
          <w:p>
            <w:pPr>
              <w:spacing w:after="0"/>
              <w:rPr>
                <w:sz w:val="18"/>
                <w:szCs w:val="18"/>
                <w:color w:val="auto"/>
              </w:rPr>
            </w:pPr>
          </w:p>
        </w:tc>
        <w:tc>
          <w:tcPr>
            <w:tcW w:w="780" w:type="dxa"/>
            <w:vAlign w:val="bottom"/>
            <w:tcBorders>
              <w:bottom w:val="single" w:sz="8" w:color="auto"/>
            </w:tcBorders>
            <w:shd w:val="clear" w:color="auto" w:fill="33CCCC"/>
          </w:tcPr>
          <w:p>
            <w:pPr>
              <w:spacing w:after="0"/>
              <w:rPr>
                <w:sz w:val="18"/>
                <w:szCs w:val="18"/>
                <w:color w:val="auto"/>
              </w:rPr>
            </w:pPr>
          </w:p>
        </w:tc>
        <w:tc>
          <w:tcPr>
            <w:tcW w:w="7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7"/>
              </w:rPr>
              <w:t>loans</w:t>
            </w:r>
          </w:p>
        </w:tc>
        <w:tc>
          <w:tcPr>
            <w:tcW w:w="820" w:type="dxa"/>
            <w:vAlign w:val="bottom"/>
            <w:tcBorders>
              <w:bottom w:val="single" w:sz="8" w:color="auto"/>
              <w:right w:val="single" w:sz="8" w:color="auto"/>
            </w:tcBorders>
            <w:shd w:val="clear" w:color="auto" w:fill="33CCC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280" w:type="dxa"/>
            <w:vAlign w:val="bottom"/>
            <w:tcBorders>
              <w:left w:val="single" w:sz="8" w:color="auto"/>
              <w:right w:val="single" w:sz="8" w:color="auto"/>
            </w:tcBorders>
            <w:shd w:val="clear" w:color="auto" w:fill="33CCCC"/>
          </w:tcPr>
          <w:p>
            <w:pPr>
              <w:spacing w:after="0"/>
              <w:rPr>
                <w:sz w:val="24"/>
                <w:szCs w:val="24"/>
                <w:color w:val="auto"/>
              </w:rPr>
            </w:pPr>
          </w:p>
        </w:tc>
        <w:tc>
          <w:tcPr>
            <w:tcW w:w="760" w:type="dxa"/>
            <w:vAlign w:val="bottom"/>
            <w:shd w:val="clear" w:color="auto" w:fill="33CCCC"/>
          </w:tcPr>
          <w:p>
            <w:pPr>
              <w:ind w:left="80"/>
              <w:spacing w:after="0"/>
              <w:rPr>
                <w:sz w:val="20"/>
                <w:szCs w:val="20"/>
                <w:color w:val="auto"/>
              </w:rPr>
            </w:pPr>
            <w:r>
              <w:rPr>
                <w:rFonts w:ascii="Arial" w:cs="Arial" w:eastAsia="Arial" w:hAnsi="Arial"/>
                <w:sz w:val="18"/>
                <w:szCs w:val="18"/>
                <w:b w:val="1"/>
                <w:bCs w:val="1"/>
                <w:color w:val="FFFFFF"/>
              </w:rPr>
              <w:t>Jun 21</w:t>
            </w:r>
          </w:p>
        </w:tc>
        <w:tc>
          <w:tcPr>
            <w:tcW w:w="760" w:type="dxa"/>
            <w:vAlign w:val="bottom"/>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Mar 22</w:t>
            </w:r>
          </w:p>
        </w:tc>
        <w:tc>
          <w:tcPr>
            <w:tcW w:w="800" w:type="dxa"/>
            <w:vAlign w:val="bottom"/>
            <w:tcBorders>
              <w:right w:val="single" w:sz="8" w:color="auto"/>
            </w:tcBorders>
            <w:shd w:val="clear" w:color="auto" w:fill="33CCCC"/>
          </w:tcPr>
          <w:p>
            <w:pPr>
              <w:ind w:left="120"/>
              <w:spacing w:after="0"/>
              <w:rPr>
                <w:sz w:val="20"/>
                <w:szCs w:val="20"/>
                <w:color w:val="auto"/>
              </w:rPr>
            </w:pPr>
            <w:r>
              <w:rPr>
                <w:rFonts w:ascii="Arial" w:cs="Arial" w:eastAsia="Arial" w:hAnsi="Arial"/>
                <w:sz w:val="18"/>
                <w:szCs w:val="18"/>
                <w:b w:val="1"/>
                <w:bCs w:val="1"/>
                <w:color w:val="FFFFFF"/>
              </w:rPr>
              <w:t>Jun 22</w:t>
            </w:r>
          </w:p>
        </w:tc>
        <w:tc>
          <w:tcPr>
            <w:tcW w:w="760" w:type="dxa"/>
            <w:vAlign w:val="bottom"/>
            <w:shd w:val="clear" w:color="auto" w:fill="33CCCC"/>
          </w:tcPr>
          <w:p>
            <w:pPr>
              <w:ind w:left="180"/>
              <w:spacing w:after="0"/>
              <w:rPr>
                <w:sz w:val="20"/>
                <w:szCs w:val="20"/>
                <w:color w:val="auto"/>
              </w:rPr>
            </w:pPr>
            <w:r>
              <w:rPr>
                <w:rFonts w:ascii="Arial" w:cs="Arial" w:eastAsia="Arial" w:hAnsi="Arial"/>
                <w:sz w:val="18"/>
                <w:szCs w:val="18"/>
                <w:b w:val="1"/>
                <w:bCs w:val="1"/>
                <w:color w:val="FFFFFF"/>
              </w:rPr>
              <w:t>QoQ</w:t>
            </w:r>
          </w:p>
        </w:tc>
        <w:tc>
          <w:tcPr>
            <w:tcW w:w="820" w:type="dxa"/>
            <w:vAlign w:val="bottom"/>
            <w:tcBorders>
              <w:right w:val="single" w:sz="8" w:color="auto"/>
            </w:tcBorders>
            <w:shd w:val="clear" w:color="auto" w:fill="33CCCC"/>
          </w:tcPr>
          <w:p>
            <w:pPr>
              <w:ind w:left="240"/>
              <w:spacing w:after="0"/>
              <w:rPr>
                <w:sz w:val="20"/>
                <w:szCs w:val="20"/>
                <w:color w:val="auto"/>
              </w:rPr>
            </w:pPr>
            <w:r>
              <w:rPr>
                <w:rFonts w:ascii="Arial" w:cs="Arial" w:eastAsia="Arial" w:hAnsi="Arial"/>
                <w:sz w:val="18"/>
                <w:szCs w:val="18"/>
                <w:b w:val="1"/>
                <w:bCs w:val="1"/>
                <w:color w:val="FFFFFF"/>
              </w:rPr>
              <w:t>YoY</w:t>
            </w:r>
          </w:p>
        </w:tc>
        <w:tc>
          <w:tcPr>
            <w:tcW w:w="760" w:type="dxa"/>
            <w:vAlign w:val="bottom"/>
            <w:shd w:val="clear" w:color="auto" w:fill="33CCCC"/>
          </w:tcPr>
          <w:p>
            <w:pPr>
              <w:ind w:left="180"/>
              <w:spacing w:after="0"/>
              <w:rPr>
                <w:sz w:val="20"/>
                <w:szCs w:val="20"/>
                <w:color w:val="auto"/>
              </w:rPr>
            </w:pPr>
            <w:r>
              <w:rPr>
                <w:rFonts w:ascii="Arial" w:cs="Arial" w:eastAsia="Arial" w:hAnsi="Arial"/>
                <w:sz w:val="18"/>
                <w:szCs w:val="18"/>
                <w:b w:val="1"/>
                <w:bCs w:val="1"/>
                <w:color w:val="FFFFFF"/>
              </w:rPr>
              <w:t>QoQ</w:t>
            </w:r>
          </w:p>
        </w:tc>
        <w:tc>
          <w:tcPr>
            <w:tcW w:w="820" w:type="dxa"/>
            <w:vAlign w:val="bottom"/>
            <w:tcBorders>
              <w:right w:val="single" w:sz="8" w:color="auto"/>
            </w:tcBorders>
            <w:shd w:val="clear" w:color="auto" w:fill="33CCCC"/>
          </w:tcPr>
          <w:p>
            <w:pPr>
              <w:ind w:left="240"/>
              <w:spacing w:after="0"/>
              <w:rPr>
                <w:sz w:val="20"/>
                <w:szCs w:val="20"/>
                <w:color w:val="auto"/>
              </w:rPr>
            </w:pPr>
            <w:r>
              <w:rPr>
                <w:rFonts w:ascii="Arial" w:cs="Arial" w:eastAsia="Arial" w:hAnsi="Arial"/>
                <w:sz w:val="18"/>
                <w:szCs w:val="18"/>
                <w:b w:val="1"/>
                <w:bCs w:val="1"/>
                <w:color w:val="FFFFFF"/>
              </w:rPr>
              <w:t>YoY</w:t>
            </w:r>
          </w:p>
        </w:tc>
        <w:tc>
          <w:tcPr>
            <w:tcW w:w="780" w:type="dxa"/>
            <w:vAlign w:val="bottom"/>
            <w:shd w:val="clear" w:color="auto" w:fill="33CCCC"/>
          </w:tcPr>
          <w:p>
            <w:pPr>
              <w:ind w:left="100"/>
              <w:spacing w:after="0"/>
              <w:rPr>
                <w:sz w:val="20"/>
                <w:szCs w:val="20"/>
                <w:color w:val="auto"/>
              </w:rPr>
            </w:pPr>
            <w:r>
              <w:rPr>
                <w:rFonts w:ascii="Arial" w:cs="Arial" w:eastAsia="Arial" w:hAnsi="Arial"/>
                <w:sz w:val="18"/>
                <w:szCs w:val="18"/>
                <w:b w:val="1"/>
                <w:bCs w:val="1"/>
                <w:color w:val="FFFFFF"/>
              </w:rPr>
              <w:t>Jun 21</w:t>
            </w:r>
          </w:p>
        </w:tc>
        <w:tc>
          <w:tcPr>
            <w:tcW w:w="780" w:type="dxa"/>
            <w:vAlign w:val="bottom"/>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Mar 22</w:t>
            </w:r>
          </w:p>
        </w:tc>
        <w:tc>
          <w:tcPr>
            <w:tcW w:w="820" w:type="dxa"/>
            <w:vAlign w:val="bottom"/>
            <w:tcBorders>
              <w:right w:val="single" w:sz="8" w:color="auto"/>
            </w:tcBorders>
            <w:shd w:val="clear" w:color="auto" w:fill="33CCCC"/>
          </w:tcPr>
          <w:p>
            <w:pPr>
              <w:ind w:left="120"/>
              <w:spacing w:after="0"/>
              <w:rPr>
                <w:sz w:val="20"/>
                <w:szCs w:val="20"/>
                <w:color w:val="auto"/>
              </w:rPr>
            </w:pPr>
            <w:r>
              <w:rPr>
                <w:rFonts w:ascii="Arial" w:cs="Arial" w:eastAsia="Arial" w:hAnsi="Arial"/>
                <w:sz w:val="18"/>
                <w:szCs w:val="18"/>
                <w:b w:val="1"/>
                <w:bCs w:val="1"/>
                <w:color w:val="FFFFFF"/>
              </w:rPr>
              <w:t>Jun 22</w:t>
            </w:r>
          </w:p>
        </w:tc>
        <w:tc>
          <w:tcPr>
            <w:tcW w:w="0" w:type="dxa"/>
            <w:vAlign w:val="bottom"/>
          </w:tcPr>
          <w:p>
            <w:pPr>
              <w:spacing w:after="0"/>
              <w:rPr>
                <w:sz w:val="1"/>
                <w:szCs w:val="1"/>
                <w:color w:val="auto"/>
              </w:rPr>
            </w:pPr>
          </w:p>
        </w:tc>
      </w:tr>
      <w:tr>
        <w:trPr>
          <w:trHeight w:val="174"/>
        </w:trPr>
        <w:tc>
          <w:tcPr>
            <w:tcW w:w="22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b w:val="1"/>
                <w:bCs w:val="1"/>
                <w:color w:val="auto"/>
              </w:rPr>
              <w:t>BCP Stand-alone</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rPr>
              <w:t>93,418</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8"/>
              </w:rPr>
              <w:t>102,936</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8"/>
              </w:rPr>
              <w:t>107,668</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4,732</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rPr>
              <w:t>14,250</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4.6%</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rPr>
              <w:t>15.3%</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rPr>
              <w:t>80.7%</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81.6%</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7"/>
              </w:rPr>
              <w:t>81.7%</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Wholesale Banking</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45,890</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8"/>
              </w:rPr>
              <w:t>52,039</w:t>
            </w: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53,465</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1,426</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7"/>
              </w:rPr>
              <w:t>7,575</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2.7%</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rPr>
              <w:t>16.5%</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39.6%</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41.3%</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7"/>
              </w:rPr>
              <w:t>40.6%</w:t>
            </w: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300"/>
              <w:spacing w:after="0" w:line="195" w:lineRule="exact"/>
              <w:rPr>
                <w:sz w:val="20"/>
                <w:szCs w:val="20"/>
                <w:color w:val="auto"/>
              </w:rPr>
            </w:pPr>
            <w:r>
              <w:rPr>
                <w:rFonts w:ascii="Arial" w:cs="Arial" w:eastAsia="Arial" w:hAnsi="Arial"/>
                <w:sz w:val="18"/>
                <w:szCs w:val="18"/>
                <w:color w:val="auto"/>
              </w:rPr>
              <w:t>Corporate</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28,244</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8"/>
              </w:rPr>
              <w:t>31,234</w:t>
            </w:r>
          </w:p>
        </w:tc>
        <w:tc>
          <w:tcPr>
            <w:tcW w:w="8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8"/>
              </w:rPr>
              <w:t>32,099</w:t>
            </w:r>
          </w:p>
        </w:tc>
        <w:tc>
          <w:tcPr>
            <w:tcW w:w="7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2.8%</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rPr>
              <w:t>13.6%</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24.4%</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24.8%</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7"/>
              </w:rPr>
              <w:t>24.4%</w:t>
            </w:r>
          </w:p>
        </w:tc>
        <w:tc>
          <w:tcPr>
            <w:tcW w:w="0" w:type="dxa"/>
            <w:vAlign w:val="bottom"/>
          </w:tcPr>
          <w:p>
            <w:pPr>
              <w:spacing w:after="0" w:line="20" w:lineRule="exact"/>
              <w:rPr>
                <w:sz w:val="1"/>
                <w:szCs w:val="1"/>
                <w:color w:val="auto"/>
              </w:rPr>
            </w:pPr>
          </w:p>
        </w:tc>
      </w:tr>
      <w:tr>
        <w:trPr>
          <w:trHeight w:val="175"/>
        </w:trPr>
        <w:tc>
          <w:tcPr>
            <w:tcW w:w="2280" w:type="dxa"/>
            <w:vAlign w:val="bottom"/>
            <w:tcBorders>
              <w:left w:val="single" w:sz="8" w:color="auto"/>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9"/>
              </w:rPr>
              <w:t>865</w:t>
            </w:r>
          </w:p>
        </w:tc>
        <w:tc>
          <w:tcPr>
            <w:tcW w:w="820" w:type="dxa"/>
            <w:vAlign w:val="bottom"/>
            <w:tcBorders>
              <w:bottom w:val="single" w:sz="8" w:color="26D07C"/>
              <w:right w:val="single" w:sz="8" w:color="auto"/>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7"/>
              </w:rPr>
              <w:t>3,855</w:t>
            </w:r>
          </w:p>
        </w:tc>
        <w:tc>
          <w:tcPr>
            <w:tcW w:w="76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ind w:left="300"/>
              <w:spacing w:after="0" w:line="174" w:lineRule="exact"/>
              <w:rPr>
                <w:sz w:val="20"/>
                <w:szCs w:val="20"/>
                <w:color w:val="auto"/>
              </w:rPr>
            </w:pPr>
            <w:r>
              <w:rPr>
                <w:rFonts w:ascii="Arial" w:cs="Arial" w:eastAsia="Arial" w:hAnsi="Arial"/>
                <w:sz w:val="18"/>
                <w:szCs w:val="18"/>
                <w:color w:val="auto"/>
              </w:rPr>
              <w:t>Middle - Market</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rPr>
              <w:t>17,646</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8"/>
              </w:rPr>
              <w:t>20,805</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21,366</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562</w:t>
            </w:r>
          </w:p>
        </w:tc>
        <w:tc>
          <w:tcPr>
            <w:tcW w:w="820" w:type="dxa"/>
            <w:vAlign w:val="bottom"/>
            <w:tcBorders>
              <w:bottom w:val="single" w:sz="8" w:color="26D07C"/>
              <w:right w:val="single" w:sz="8" w:color="auto"/>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7"/>
              </w:rPr>
              <w:t>3,720</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2.7%</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rPr>
              <w:t>21.1%</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15.2%</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16.5%</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16.2%</w:t>
            </w:r>
          </w:p>
        </w:tc>
        <w:tc>
          <w:tcPr>
            <w:tcW w:w="0" w:type="dxa"/>
            <w:vAlign w:val="bottom"/>
          </w:tcPr>
          <w:p>
            <w:pPr>
              <w:spacing w:after="0"/>
              <w:rPr>
                <w:sz w:val="1"/>
                <w:szCs w:val="1"/>
                <w:color w:val="auto"/>
              </w:rPr>
            </w:pPr>
          </w:p>
        </w:tc>
      </w:tr>
      <w:tr>
        <w:trPr>
          <w:trHeight w:val="174"/>
        </w:trPr>
        <w:tc>
          <w:tcPr>
            <w:tcW w:w="2280" w:type="dxa"/>
            <w:vAlign w:val="bottom"/>
            <w:tcBorders>
              <w:left w:val="single" w:sz="8" w:color="auto"/>
              <w:right w:val="single" w:sz="8" w:color="auto"/>
            </w:tcBorders>
          </w:tcPr>
          <w:p>
            <w:pPr>
              <w:ind w:left="160"/>
              <w:spacing w:after="0" w:line="174" w:lineRule="exact"/>
              <w:rPr>
                <w:sz w:val="20"/>
                <w:szCs w:val="20"/>
                <w:color w:val="auto"/>
              </w:rPr>
            </w:pPr>
            <w:r>
              <w:rPr>
                <w:rFonts w:ascii="Arial" w:cs="Arial" w:eastAsia="Arial" w:hAnsi="Arial"/>
                <w:sz w:val="18"/>
                <w:szCs w:val="18"/>
                <w:b w:val="1"/>
                <w:bCs w:val="1"/>
                <w:color w:val="auto"/>
              </w:rPr>
              <w:t>Retail Banking</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rPr>
              <w:t>47,528</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8"/>
              </w:rPr>
              <w:t>50,897</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8"/>
              </w:rPr>
              <w:t>54,203</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3,306</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7"/>
              </w:rPr>
              <w:t>6,675</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6.5%</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rPr>
              <w:t>14.0%</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rPr>
              <w:t>41.1%</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40.4%</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7"/>
              </w:rPr>
              <w:t>41.1%</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300"/>
              <w:spacing w:after="0" w:line="195" w:lineRule="exact"/>
              <w:rPr>
                <w:sz w:val="20"/>
                <w:szCs w:val="20"/>
                <w:color w:val="auto"/>
              </w:rPr>
            </w:pPr>
            <w:r>
              <w:rPr>
                <w:rFonts w:ascii="Arial" w:cs="Arial" w:eastAsia="Arial" w:hAnsi="Arial"/>
                <w:sz w:val="18"/>
                <w:szCs w:val="18"/>
                <w:color w:val="auto"/>
              </w:rPr>
              <w:t>SME - Business</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7"/>
              </w:rPr>
              <w:t>4,866</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7"/>
              </w:rPr>
              <w:t>4,858</w:t>
            </w: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5,430</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9"/>
              </w:rPr>
              <w:t>572</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564</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7"/>
              </w:rPr>
              <w:t>11.8%</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11.6%</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7"/>
              </w:rPr>
              <w:t>4.2%</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7"/>
              </w:rPr>
              <w:t>3.9%</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300"/>
              <w:spacing w:after="0" w:line="195" w:lineRule="exact"/>
              <w:rPr>
                <w:sz w:val="20"/>
                <w:szCs w:val="20"/>
                <w:color w:val="auto"/>
              </w:rPr>
            </w:pPr>
            <w:r>
              <w:rPr>
                <w:rFonts w:ascii="Arial" w:cs="Arial" w:eastAsia="Arial" w:hAnsi="Arial"/>
                <w:sz w:val="18"/>
                <w:szCs w:val="18"/>
                <w:color w:val="auto"/>
              </w:rPr>
              <w:t>SME - Pyme</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10,836</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8"/>
              </w:rPr>
              <w:t>12,210</w:t>
            </w:r>
          </w:p>
        </w:tc>
        <w:tc>
          <w:tcPr>
            <w:tcW w:w="8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8"/>
              </w:rPr>
              <w:t>13,190</w:t>
            </w:r>
          </w:p>
        </w:tc>
        <w:tc>
          <w:tcPr>
            <w:tcW w:w="7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8.0%</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rPr>
              <w:t>21.7%</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9.4%</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9.7%</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7"/>
              </w:rPr>
              <w:t>10.0%</w:t>
            </w:r>
          </w:p>
        </w:tc>
        <w:tc>
          <w:tcPr>
            <w:tcW w:w="0" w:type="dxa"/>
            <w:vAlign w:val="bottom"/>
          </w:tcPr>
          <w:p>
            <w:pPr>
              <w:spacing w:after="0" w:line="20" w:lineRule="exact"/>
              <w:rPr>
                <w:sz w:val="1"/>
                <w:szCs w:val="1"/>
                <w:color w:val="auto"/>
              </w:rPr>
            </w:pPr>
          </w:p>
        </w:tc>
      </w:tr>
      <w:tr>
        <w:trPr>
          <w:trHeight w:val="175"/>
        </w:trPr>
        <w:tc>
          <w:tcPr>
            <w:tcW w:w="2280" w:type="dxa"/>
            <w:vAlign w:val="bottom"/>
            <w:tcBorders>
              <w:left w:val="single" w:sz="8" w:color="auto"/>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9"/>
              </w:rPr>
              <w:t>980</w:t>
            </w:r>
          </w:p>
        </w:tc>
        <w:tc>
          <w:tcPr>
            <w:tcW w:w="820" w:type="dxa"/>
            <w:vAlign w:val="bottom"/>
            <w:tcBorders>
              <w:bottom w:val="single" w:sz="8" w:color="26D07C"/>
              <w:right w:val="single" w:sz="8" w:color="auto"/>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7"/>
              </w:rPr>
              <w:t>2,353</w:t>
            </w:r>
          </w:p>
        </w:tc>
        <w:tc>
          <w:tcPr>
            <w:tcW w:w="76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80" w:type="dxa"/>
            <w:vAlign w:val="bottom"/>
            <w:tcBorders>
              <w:left w:val="single" w:sz="8" w:color="auto"/>
              <w:right w:val="single" w:sz="8" w:color="auto"/>
            </w:tcBorders>
          </w:tcPr>
          <w:p>
            <w:pPr>
              <w:ind w:left="300"/>
              <w:spacing w:after="0" w:line="174" w:lineRule="exact"/>
              <w:rPr>
                <w:sz w:val="20"/>
                <w:szCs w:val="20"/>
                <w:color w:val="auto"/>
              </w:rPr>
            </w:pPr>
            <w:r>
              <w:rPr>
                <w:rFonts w:ascii="Arial" w:cs="Arial" w:eastAsia="Arial" w:hAnsi="Arial"/>
                <w:sz w:val="18"/>
                <w:szCs w:val="18"/>
                <w:color w:val="auto"/>
              </w:rPr>
              <w:t>Mortgage</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rPr>
              <w:t>17,884</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8"/>
              </w:rPr>
              <w:t>18,833</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19,301</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468</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1,417</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2.5%</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7.9%</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15.4%</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14.9%</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14.6%</w:t>
            </w: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300"/>
              <w:spacing w:after="0" w:line="195" w:lineRule="exact"/>
              <w:rPr>
                <w:sz w:val="20"/>
                <w:szCs w:val="20"/>
                <w:color w:val="auto"/>
              </w:rPr>
            </w:pPr>
            <w:r>
              <w:rPr>
                <w:rFonts w:ascii="Arial" w:cs="Arial" w:eastAsia="Arial" w:hAnsi="Arial"/>
                <w:sz w:val="18"/>
                <w:szCs w:val="18"/>
                <w:color w:val="auto"/>
              </w:rPr>
              <w:t>Consumer</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10,076</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8"/>
              </w:rPr>
              <w:t>10,974</w:t>
            </w:r>
          </w:p>
        </w:tc>
        <w:tc>
          <w:tcPr>
            <w:tcW w:w="8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8"/>
              </w:rPr>
              <w:t>11,848</w:t>
            </w:r>
          </w:p>
        </w:tc>
        <w:tc>
          <w:tcPr>
            <w:tcW w:w="760" w:type="dxa"/>
            <w:vAlign w:val="bottom"/>
          </w:tcPr>
          <w:p>
            <w:pPr>
              <w:spacing w:after="0" w:line="20" w:lineRule="exact"/>
              <w:rPr>
                <w:sz w:val="1"/>
                <w:szCs w:val="1"/>
                <w:color w:val="auto"/>
              </w:rPr>
            </w:pP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7"/>
              </w:rPr>
              <w:t>1,772</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8.0%</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rPr>
              <w:t>17.6%</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8.7%</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8.7%</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7"/>
              </w:rPr>
              <w:t>9.0%</w:t>
            </w:r>
          </w:p>
        </w:tc>
        <w:tc>
          <w:tcPr>
            <w:tcW w:w="0" w:type="dxa"/>
            <w:vAlign w:val="bottom"/>
          </w:tcPr>
          <w:p>
            <w:pPr>
              <w:spacing w:after="0" w:line="20" w:lineRule="exact"/>
              <w:rPr>
                <w:sz w:val="1"/>
                <w:szCs w:val="1"/>
                <w:color w:val="auto"/>
              </w:rPr>
            </w:pPr>
          </w:p>
        </w:tc>
      </w:tr>
      <w:tr>
        <w:trPr>
          <w:trHeight w:val="175"/>
        </w:trPr>
        <w:tc>
          <w:tcPr>
            <w:tcW w:w="2280" w:type="dxa"/>
            <w:vAlign w:val="bottom"/>
            <w:tcBorders>
              <w:left w:val="single" w:sz="8" w:color="auto"/>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9"/>
              </w:rPr>
              <w:t>874</w:t>
            </w:r>
          </w:p>
        </w:tc>
        <w:tc>
          <w:tcPr>
            <w:tcW w:w="820" w:type="dxa"/>
            <w:vAlign w:val="bottom"/>
            <w:tcBorders>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80" w:type="dxa"/>
            <w:vAlign w:val="bottom"/>
            <w:tcBorders>
              <w:left w:val="single" w:sz="8" w:color="auto"/>
              <w:right w:val="single" w:sz="8" w:color="auto"/>
            </w:tcBorders>
          </w:tcPr>
          <w:p>
            <w:pPr>
              <w:ind w:left="300"/>
              <w:spacing w:after="0" w:line="174" w:lineRule="exact"/>
              <w:rPr>
                <w:sz w:val="20"/>
                <w:szCs w:val="20"/>
                <w:color w:val="auto"/>
              </w:rPr>
            </w:pPr>
            <w:r>
              <w:rPr>
                <w:rFonts w:ascii="Arial" w:cs="Arial" w:eastAsia="Arial" w:hAnsi="Arial"/>
                <w:sz w:val="18"/>
                <w:szCs w:val="18"/>
                <w:color w:val="auto"/>
              </w:rPr>
              <w:t>Credit Card</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3,866</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4,022</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rPr>
              <w:t>4,435</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412</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9"/>
              </w:rPr>
              <w:t>569</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rPr>
              <w:t>14.7%</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3.3%</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3.2%</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20"/>
              <w:spacing w:after="0" w:line="195" w:lineRule="exact"/>
              <w:rPr>
                <w:sz w:val="20"/>
                <w:szCs w:val="20"/>
                <w:color w:val="auto"/>
              </w:rPr>
            </w:pPr>
            <w:r>
              <w:rPr>
                <w:rFonts w:ascii="Arial" w:cs="Arial" w:eastAsia="Arial" w:hAnsi="Arial"/>
                <w:sz w:val="18"/>
                <w:szCs w:val="18"/>
                <w:b w:val="1"/>
                <w:bCs w:val="1"/>
                <w:color w:val="auto"/>
              </w:rPr>
              <w:t>Mibanco</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rPr>
              <w:t>10,232</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4"/>
              </w:rPr>
              <w:t>11,411</w:t>
            </w:r>
          </w:p>
        </w:tc>
        <w:tc>
          <w:tcPr>
            <w:tcW w:w="8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w w:val="98"/>
              </w:rPr>
              <w:t>12,313</w:t>
            </w:r>
          </w:p>
        </w:tc>
        <w:tc>
          <w:tcPr>
            <w:tcW w:w="7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7.9%</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rPr>
              <w:t>20.3%</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8.8%</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9.0%</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9.3%</w:t>
            </w:r>
          </w:p>
        </w:tc>
        <w:tc>
          <w:tcPr>
            <w:tcW w:w="0" w:type="dxa"/>
            <w:vAlign w:val="bottom"/>
          </w:tcPr>
          <w:p>
            <w:pPr>
              <w:spacing w:after="0" w:line="20" w:lineRule="exact"/>
              <w:rPr>
                <w:sz w:val="1"/>
                <w:szCs w:val="1"/>
                <w:color w:val="auto"/>
              </w:rPr>
            </w:pPr>
          </w:p>
        </w:tc>
      </w:tr>
      <w:tr>
        <w:trPr>
          <w:trHeight w:val="175"/>
        </w:trPr>
        <w:tc>
          <w:tcPr>
            <w:tcW w:w="2280" w:type="dxa"/>
            <w:vAlign w:val="bottom"/>
            <w:tcBorders>
              <w:left w:val="single" w:sz="8" w:color="auto"/>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b w:val="1"/>
                <w:bCs w:val="1"/>
                <w:color w:val="auto"/>
                <w:w w:val="99"/>
              </w:rPr>
              <w:t>902</w:t>
            </w:r>
          </w:p>
        </w:tc>
        <w:tc>
          <w:tcPr>
            <w:tcW w:w="820" w:type="dxa"/>
            <w:vAlign w:val="bottom"/>
            <w:tcBorders>
              <w:bottom w:val="single" w:sz="8" w:color="26D07C"/>
              <w:right w:val="single" w:sz="8" w:color="auto"/>
            </w:tcBorders>
            <w:shd w:val="clear" w:color="auto" w:fill="26D07C"/>
          </w:tcPr>
          <w:p>
            <w:pPr>
              <w:jc w:val="center"/>
              <w:spacing w:after="0" w:line="174" w:lineRule="exact"/>
              <w:rPr>
                <w:sz w:val="20"/>
                <w:szCs w:val="20"/>
                <w:color w:val="auto"/>
              </w:rPr>
            </w:pPr>
            <w:r>
              <w:rPr>
                <w:rFonts w:ascii="Arial" w:cs="Arial" w:eastAsia="Arial" w:hAnsi="Arial"/>
                <w:sz w:val="18"/>
                <w:szCs w:val="18"/>
                <w:b w:val="1"/>
                <w:bCs w:val="1"/>
                <w:color w:val="auto"/>
                <w:w w:val="97"/>
              </w:rPr>
              <w:t>2,081</w:t>
            </w:r>
          </w:p>
        </w:tc>
        <w:tc>
          <w:tcPr>
            <w:tcW w:w="76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b w:val="1"/>
                <w:bCs w:val="1"/>
                <w:color w:val="auto"/>
              </w:rPr>
              <w:t>Mibanco Colombia</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3"/>
              </w:rPr>
              <w:t>963</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1,077</w:t>
            </w:r>
          </w:p>
        </w:tc>
        <w:tc>
          <w:tcPr>
            <w:tcW w:w="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rPr>
              <w:t>1,152</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9"/>
              </w:rPr>
              <w:t>74</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9"/>
              </w:rPr>
              <w:t>189</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6.9%</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rPr>
              <w:t>19.7%</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0.8%</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0.9%</w:t>
            </w:r>
          </w:p>
        </w:tc>
        <w:tc>
          <w:tcPr>
            <w:tcW w:w="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7"/>
              </w:rPr>
              <w:t>0.9%</w:t>
            </w: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20"/>
              <w:spacing w:after="0" w:line="195" w:lineRule="exact"/>
              <w:rPr>
                <w:sz w:val="20"/>
                <w:szCs w:val="20"/>
                <w:color w:val="auto"/>
              </w:rPr>
            </w:pPr>
            <w:r>
              <w:rPr>
                <w:rFonts w:ascii="Arial" w:cs="Arial" w:eastAsia="Arial" w:hAnsi="Arial"/>
                <w:sz w:val="18"/>
                <w:szCs w:val="18"/>
                <w:b w:val="1"/>
                <w:bCs w:val="1"/>
                <w:color w:val="auto"/>
              </w:rPr>
              <w:t>Bolivia</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8,747</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8,602</w:t>
            </w:r>
          </w:p>
        </w:tc>
        <w:tc>
          <w:tcPr>
            <w:tcW w:w="8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rPr>
              <w:t>8,622</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9"/>
              </w:rPr>
              <w:t>20</w:t>
            </w:r>
          </w:p>
        </w:tc>
        <w:tc>
          <w:tcPr>
            <w:tcW w:w="820" w:type="dxa"/>
            <w:vAlign w:val="bottom"/>
            <w:tcBorders>
              <w:right w:val="single" w:sz="8" w:color="auto"/>
            </w:tcBorders>
          </w:tcPr>
          <w:p>
            <w:pPr>
              <w:spacing w:after="0" w:line="20" w:lineRule="exact"/>
              <w:rPr>
                <w:sz w:val="1"/>
                <w:szCs w:val="1"/>
                <w:color w:val="auto"/>
              </w:rPr>
            </w:pP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0.2%</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rPr>
              <w:t>-1.4%</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7.6%</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6.8%</w:t>
            </w:r>
          </w:p>
        </w:tc>
        <w:tc>
          <w:tcPr>
            <w:tcW w:w="82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6.5%</w:t>
            </w:r>
          </w:p>
        </w:tc>
        <w:tc>
          <w:tcPr>
            <w:tcW w:w="0" w:type="dxa"/>
            <w:vAlign w:val="bottom"/>
          </w:tcPr>
          <w:p>
            <w:pPr>
              <w:spacing w:after="0" w:line="20" w:lineRule="exact"/>
              <w:rPr>
                <w:sz w:val="1"/>
                <w:szCs w:val="1"/>
                <w:color w:val="auto"/>
              </w:rPr>
            </w:pPr>
          </w:p>
        </w:tc>
      </w:tr>
      <w:tr>
        <w:trPr>
          <w:trHeight w:val="174"/>
        </w:trPr>
        <w:tc>
          <w:tcPr>
            <w:tcW w:w="2280" w:type="dxa"/>
            <w:vAlign w:val="bottom"/>
            <w:tcBorders>
              <w:left w:val="single" w:sz="8" w:color="auto"/>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tcBorders>
              <w:right w:val="single" w:sz="8" w:color="auto"/>
            </w:tcBorders>
            <w:shd w:val="clear" w:color="auto" w:fill="FF00FF"/>
          </w:tcPr>
          <w:p>
            <w:pPr>
              <w:jc w:val="center"/>
              <w:spacing w:after="0" w:line="174" w:lineRule="exact"/>
              <w:rPr>
                <w:sz w:val="20"/>
                <w:szCs w:val="20"/>
                <w:color w:val="auto"/>
              </w:rPr>
            </w:pPr>
            <w:r>
              <w:rPr>
                <w:rFonts w:ascii="Arial" w:cs="Arial" w:eastAsia="Arial" w:hAnsi="Arial"/>
                <w:sz w:val="18"/>
                <w:szCs w:val="18"/>
                <w:b w:val="1"/>
                <w:bCs w:val="1"/>
                <w:color w:val="auto"/>
                <w:w w:val="99"/>
              </w:rPr>
              <w:t>-125</w:t>
            </w:r>
          </w:p>
        </w:tc>
        <w:tc>
          <w:tcPr>
            <w:tcW w:w="76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ASB</w:t>
            </w: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2,402</w:t>
            </w: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2,103</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2,030</w:t>
            </w:r>
          </w:p>
        </w:tc>
        <w:tc>
          <w:tcPr>
            <w:tcW w:w="760" w:type="dxa"/>
            <w:vAlign w:val="bottom"/>
          </w:tcPr>
          <w:p>
            <w:pPr>
              <w:spacing w:after="0" w:line="20" w:lineRule="exact"/>
              <w:rPr>
                <w:sz w:val="1"/>
                <w:szCs w:val="1"/>
                <w:color w:val="auto"/>
              </w:rPr>
            </w:pPr>
          </w:p>
        </w:tc>
        <w:tc>
          <w:tcPr>
            <w:tcW w:w="820" w:type="dxa"/>
            <w:vAlign w:val="bottom"/>
            <w:tcBorders>
              <w:right w:val="single" w:sz="8" w:color="auto"/>
            </w:tcBorders>
            <w:vMerge w:val="restart"/>
            <w:shd w:val="clear" w:color="auto" w:fill="FF00FF"/>
          </w:tcPr>
          <w:p>
            <w:pPr>
              <w:jc w:val="center"/>
              <w:spacing w:after="0"/>
              <w:rPr>
                <w:sz w:val="20"/>
                <w:szCs w:val="20"/>
                <w:color w:val="auto"/>
              </w:rPr>
            </w:pPr>
            <w:r>
              <w:rPr>
                <w:rFonts w:ascii="Arial" w:cs="Arial" w:eastAsia="Arial" w:hAnsi="Arial"/>
                <w:sz w:val="18"/>
                <w:szCs w:val="18"/>
                <w:b w:val="1"/>
                <w:bCs w:val="1"/>
                <w:color w:val="auto"/>
                <w:w w:val="99"/>
              </w:rPr>
              <w:t>-372</w:t>
            </w: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-3.5%</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-15.5%</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2.1%</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1.7%</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1.5%</w:t>
            </w:r>
          </w:p>
        </w:tc>
        <w:tc>
          <w:tcPr>
            <w:tcW w:w="0" w:type="dxa"/>
            <w:vAlign w:val="bottom"/>
          </w:tcPr>
          <w:p>
            <w:pPr>
              <w:spacing w:after="0" w:line="20" w:lineRule="exact"/>
              <w:rPr>
                <w:sz w:val="1"/>
                <w:szCs w:val="1"/>
                <w:color w:val="auto"/>
              </w:rPr>
            </w:pPr>
          </w:p>
        </w:tc>
      </w:tr>
      <w:tr>
        <w:trPr>
          <w:trHeight w:val="195"/>
        </w:trPr>
        <w:tc>
          <w:tcPr>
            <w:tcW w:w="22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tcBorders>
            <w:shd w:val="clear" w:color="auto" w:fill="FF00FF"/>
          </w:tcPr>
          <w:p>
            <w:pPr>
              <w:jc w:val="center"/>
              <w:spacing w:after="0" w:line="195" w:lineRule="exact"/>
              <w:rPr>
                <w:sz w:val="20"/>
                <w:szCs w:val="20"/>
                <w:color w:val="auto"/>
              </w:rPr>
            </w:pPr>
            <w:r>
              <w:rPr>
                <w:rFonts w:ascii="Arial" w:cs="Arial" w:eastAsia="Arial" w:hAnsi="Arial"/>
                <w:sz w:val="18"/>
                <w:szCs w:val="18"/>
                <w:b w:val="1"/>
                <w:bCs w:val="1"/>
                <w:color w:val="auto"/>
                <w:w w:val="99"/>
              </w:rPr>
              <w:t>-73</w:t>
            </w:r>
          </w:p>
        </w:tc>
        <w:tc>
          <w:tcPr>
            <w:tcW w:w="820" w:type="dxa"/>
            <w:vAlign w:val="bottom"/>
            <w:tcBorders>
              <w:bottom w:val="single" w:sz="8" w:color="auto"/>
              <w:right w:val="single" w:sz="8" w:color="auto"/>
            </w:tcBorders>
            <w:vMerge w:val="continue"/>
            <w:shd w:val="clear" w:color="auto" w:fill="FF00FF"/>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bottom w:val="single" w:sz="8" w:color="auto"/>
              <w:right w:val="single" w:sz="8" w:color="auto"/>
            </w:tcBorders>
          </w:tcPr>
          <w:p>
            <w:pPr>
              <w:ind w:left="20"/>
              <w:spacing w:after="0" w:line="187" w:lineRule="exact"/>
              <w:rPr>
                <w:sz w:val="20"/>
                <w:szCs w:val="20"/>
                <w:color w:val="auto"/>
              </w:rPr>
            </w:pPr>
            <w:r>
              <w:rPr>
                <w:rFonts w:ascii="Arial" w:cs="Arial" w:eastAsia="Arial" w:hAnsi="Arial"/>
                <w:sz w:val="18"/>
                <w:szCs w:val="18"/>
                <w:b w:val="1"/>
                <w:bCs w:val="1"/>
                <w:color w:val="auto"/>
              </w:rPr>
              <w:t>BAP's total loans</w:t>
            </w:r>
          </w:p>
        </w:tc>
        <w:tc>
          <w:tcPr>
            <w:tcW w:w="7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115,761</w:t>
            </w:r>
          </w:p>
        </w:tc>
        <w:tc>
          <w:tcPr>
            <w:tcW w:w="7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126,129</w:t>
            </w:r>
          </w:p>
        </w:tc>
        <w:tc>
          <w:tcPr>
            <w:tcW w:w="8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131,785</w:t>
            </w:r>
          </w:p>
        </w:tc>
        <w:tc>
          <w:tcPr>
            <w:tcW w:w="7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7"/>
              </w:rPr>
              <w:t>5,655</w:t>
            </w:r>
          </w:p>
        </w:tc>
        <w:tc>
          <w:tcPr>
            <w:tcW w:w="8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rPr>
              <w:t>16,024</w:t>
            </w:r>
          </w:p>
        </w:tc>
        <w:tc>
          <w:tcPr>
            <w:tcW w:w="7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7"/>
              </w:rPr>
              <w:t>4.5%</w:t>
            </w:r>
          </w:p>
        </w:tc>
        <w:tc>
          <w:tcPr>
            <w:tcW w:w="8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rPr>
              <w:t>13.8%</w:t>
            </w:r>
          </w:p>
        </w:tc>
        <w:tc>
          <w:tcPr>
            <w:tcW w:w="78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100.0%</w:t>
            </w:r>
          </w:p>
        </w:tc>
        <w:tc>
          <w:tcPr>
            <w:tcW w:w="78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100.0%</w:t>
            </w:r>
          </w:p>
        </w:tc>
        <w:tc>
          <w:tcPr>
            <w:tcW w:w="8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100.0%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
        <w:spacing w:after="0"/>
        <w:rPr>
          <w:sz w:val="20"/>
          <w:szCs w:val="20"/>
          <w:color w:val="auto"/>
        </w:rPr>
      </w:pPr>
      <w:r>
        <w:rPr>
          <w:rFonts w:ascii="Arial" w:cs="Arial" w:eastAsia="Arial" w:hAnsi="Arial"/>
          <w:sz w:val="11"/>
          <w:szCs w:val="11"/>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17780</wp:posOffset>
            </wp:positionV>
            <wp:extent cx="1136650" cy="231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36650" cy="231775"/>
                    </a:xfrm>
                    <a:prstGeom prst="rect">
                      <a:avLst/>
                    </a:prstGeom>
                    <a:noFill/>
                  </pic:spPr>
                </pic:pic>
              </a:graphicData>
            </a:graphic>
          </wp:anchor>
        </w:drawing>
      </w:r>
    </w:p>
    <w:p>
      <w:pPr>
        <w:spacing w:after="0" w:line="61" w:lineRule="exact"/>
        <w:rPr>
          <w:sz w:val="20"/>
          <w:szCs w:val="20"/>
          <w:color w:val="auto"/>
        </w:rPr>
      </w:pPr>
    </w:p>
    <w:p>
      <w:pPr>
        <w:ind w:left="163" w:hanging="163"/>
        <w:spacing w:after="0"/>
        <w:tabs>
          <w:tab w:leader="none" w:pos="163"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Work out unit, and other banking. For Quarter-end Balances figures, please refer to “12. Annexes – 12.2 Loan Portfolio Quality”.</w:t>
      </w:r>
    </w:p>
    <w:p>
      <w:pPr>
        <w:spacing w:after="0" w:line="5" w:lineRule="exact"/>
        <w:rPr>
          <w:rFonts w:ascii="Arial" w:cs="Arial" w:eastAsia="Arial" w:hAnsi="Arial"/>
          <w:sz w:val="11"/>
          <w:szCs w:val="11"/>
          <w:color w:val="auto"/>
        </w:rPr>
      </w:pPr>
    </w:p>
    <w:p>
      <w:pPr>
        <w:ind w:left="163" w:hanging="163"/>
        <w:spacing w:after="0"/>
        <w:tabs>
          <w:tab w:leader="none" w:pos="163" w:val="left"/>
        </w:tabs>
        <w:numPr>
          <w:ilvl w:val="0"/>
          <w:numId w:val="9"/>
        </w:numPr>
        <w:rPr>
          <w:rFonts w:ascii="Arial" w:cs="Arial" w:eastAsia="Arial" w:hAnsi="Arial"/>
          <w:sz w:val="11"/>
          <w:szCs w:val="11"/>
          <w:color w:val="auto"/>
        </w:rPr>
      </w:pPr>
      <w:r>
        <w:rPr>
          <w:rFonts w:ascii="Arial" w:cs="Arial" w:eastAsia="Arial" w:hAnsi="Arial"/>
          <w:sz w:val="11"/>
          <w:szCs w:val="11"/>
          <w:color w:val="auto"/>
        </w:rPr>
        <w:t>Structural Portfolio excludes the Loans offered through Reactiva Peru and FAE-Mype Government Programs (GP).</w:t>
      </w:r>
    </w:p>
    <w:p>
      <w:pPr>
        <w:spacing w:after="0" w:line="70" w:lineRule="exact"/>
        <w:rPr>
          <w:rFonts w:ascii="Arial" w:cs="Arial" w:eastAsia="Arial" w:hAnsi="Arial"/>
          <w:sz w:val="11"/>
          <w:szCs w:val="11"/>
          <w:color w:val="auto"/>
        </w:rPr>
      </w:pPr>
    </w:p>
    <w:p>
      <w:pPr>
        <w:ind w:left="163" w:hanging="163"/>
        <w:spacing w:after="0"/>
        <w:tabs>
          <w:tab w:leader="none" w:pos="163" w:val="left"/>
        </w:tabs>
        <w:numPr>
          <w:ilvl w:val="0"/>
          <w:numId w:val="9"/>
        </w:numPr>
        <w:rPr>
          <w:rFonts w:ascii="Arial" w:cs="Arial" w:eastAsia="Arial" w:hAnsi="Arial"/>
          <w:sz w:val="11"/>
          <w:szCs w:val="11"/>
          <w:color w:val="auto"/>
        </w:rPr>
      </w:pPr>
      <w:r>
        <w:rPr>
          <w:rFonts w:ascii="Arial" w:cs="Arial" w:eastAsia="Arial" w:hAnsi="Arial"/>
          <w:sz w:val="11"/>
          <w:szCs w:val="11"/>
          <w:color w:val="auto"/>
        </w:rPr>
        <w:t>Internal Management Figures.</w:t>
      </w:r>
    </w:p>
    <w:p>
      <w:pPr>
        <w:sectPr>
          <w:pgSz w:w="11900" w:h="16838" w:orient="portrait"/>
          <w:cols w:equalWidth="0" w:num="1">
            <w:col w:w="11263"/>
          </w:cols>
          <w:pgMar w:left="317" w:top="313" w:right="319" w:bottom="1440" w:gutter="0" w:footer="0" w:header="0"/>
        </w:sectPr>
      </w:pPr>
    </w:p>
    <w:p>
      <w:pPr>
        <w:spacing w:after="0" w:line="228" w:lineRule="exact"/>
        <w:rPr>
          <w:sz w:val="20"/>
          <w:szCs w:val="20"/>
          <w:color w:val="auto"/>
        </w:rPr>
      </w:pPr>
    </w:p>
    <w:p>
      <w:pPr>
        <w:ind w:left="3"/>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QoQ, </w:t>
      </w:r>
      <w:r>
        <w:rPr>
          <w:rFonts w:ascii="Times New Roman" w:cs="Times New Roman" w:eastAsia="Times New Roman" w:hAnsi="Times New Roman"/>
          <w:sz w:val="16"/>
          <w:szCs w:val="16"/>
          <w:color w:val="auto"/>
        </w:rPr>
        <w:t>structural loans increased 3.6% FX Neutral (excludes the effect from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+3.4% USDPEN FX depreciation). This evolution was mainly driven by:</w:t>
      </w:r>
    </w:p>
    <w:p>
      <w:pPr>
        <w:spacing w:after="0" w:line="164" w:lineRule="exact"/>
        <w:rPr>
          <w:sz w:val="20"/>
          <w:szCs w:val="20"/>
          <w:color w:val="auto"/>
        </w:rPr>
      </w:pPr>
    </w:p>
    <w:p>
      <w:pPr>
        <w:ind w:left="283" w:right="80" w:hanging="283"/>
        <w:spacing w:after="0" w:line="242" w:lineRule="auto"/>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BCP Stand-alone, particularly in the SME, Consumer and Corporate segments. In SME-Pyme, disbursement volumes increased for Working Capital Loans (+17% QoQ). Better performance was focused on Micro and Small Clients with average ticket disbursements of up to S/45K, driven by successful leads and powered by data analytics and digital channels. In the Consumer segment, growth was fueled by a 17% increase in preferential cash loans (S/18k ticket approximately) after improvements were made in the quantity and effectiveness of leads to reach payroll-based employees with medium to high income levels. In Corporate, growth was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concentrated in short-term operations with corporate clients in Foreign Currency (FC), mainly in the energy, hydrocarbons, mining and fishing sectors; and</w:t>
      </w:r>
    </w:p>
    <w:p>
      <w:pPr>
        <w:spacing w:after="0" w:line="70" w:lineRule="exact"/>
        <w:rPr>
          <w:sz w:val="20"/>
          <w:szCs w:val="20"/>
          <w:color w:val="auto"/>
        </w:rPr>
      </w:pPr>
    </w:p>
    <w:p>
      <w:pPr>
        <w:ind w:left="300" w:right="80" w:hanging="291"/>
        <w:spacing w:after="0" w:line="245" w:lineRule="auto"/>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Mibanco, due to an uptick in disbursements generated through leads (disbursements through leads represented 78.2% of total placements in 2Q22 vs 74.5% in 1Q22) and by an increase in the productivity of relationship managers (sales levels rose to 26.6 operations per month in 2Q22 vs 25.2 in 1Q22). It is important to note that Mibanco’s market share for loans has followed an upward trend over the last four months. Growth was also due, albeit to </w:t>
      </w:r>
      <w:r>
        <w:rPr>
          <w:rFonts w:ascii="Arial" w:cs="Arial" w:eastAsia="Arial" w:hAnsi="Arial"/>
          <w:sz w:val="14"/>
          <w:szCs w:val="14"/>
          <w:color w:val="auto"/>
        </w:rPr>
        <w:t>a lesser extent, to debt</w:t>
      </w:r>
      <w:r>
        <w:rPr>
          <w:rFonts w:ascii="Arial" w:cs="Arial" w:eastAsia="Arial" w:hAnsi="Arial"/>
          <w:sz w:val="16"/>
          <w:szCs w:val="16"/>
          <w:color w:val="auto"/>
        </w:rPr>
        <w:t xml:space="preserve"> </w:t>
      </w:r>
      <w:r>
        <w:rPr>
          <w:rFonts w:ascii="Arial" w:cs="Arial" w:eastAsia="Arial" w:hAnsi="Arial"/>
          <w:sz w:val="14"/>
          <w:szCs w:val="14"/>
          <w:color w:val="auto"/>
        </w:rPr>
        <w:t>purchases, mainly in the month of April.</w:t>
      </w:r>
    </w:p>
    <w:p>
      <w:pPr>
        <w:spacing w:after="0" w:line="673" w:lineRule="exact"/>
        <w:rPr>
          <w:sz w:val="20"/>
          <w:szCs w:val="20"/>
          <w:color w:val="auto"/>
        </w:rPr>
      </w:pPr>
    </w:p>
    <w:p>
      <w:pPr>
        <w:sectPr>
          <w:pgSz w:w="11900" w:h="16838" w:orient="portrait"/>
          <w:cols w:equalWidth="0" w:num="2">
            <w:col w:w="5383" w:space="460"/>
            <w:col w:w="5420"/>
          </w:cols>
          <w:pgMar w:left="317" w:top="313" w:right="319" w:bottom="1440" w:gutter="0" w:footer="0" w:header="0"/>
          <w:type w:val="continuous"/>
        </w:sectPr>
      </w:pPr>
    </w:p>
    <w:p>
      <w:pPr>
        <w:spacing w:after="0" w:line="304"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type w:val="continuous"/>
        </w:sectPr>
      </w:pPr>
    </w:p>
    <w:bookmarkStart w:id="17" w:name="page18"/>
    <w:bookmarkEnd w:id="17"/>
    <w:p>
      <w:pPr>
        <w:spacing w:after="0" w:line="21" w:lineRule="exact"/>
        <w:rPr>
          <w:sz w:val="20"/>
          <w:szCs w:val="20"/>
          <w:color w:val="auto"/>
        </w:rPr>
      </w:pPr>
    </w:p>
    <w:p>
      <w:pPr>
        <w:jc w:val="center"/>
        <w:ind w:left="503"/>
        <w:spacing w:after="0"/>
        <w:rPr>
          <w:sz w:val="20"/>
          <w:szCs w:val="20"/>
          <w:color w:val="auto"/>
        </w:rPr>
      </w:pPr>
      <w:r>
        <w:rPr>
          <w:rFonts w:ascii="Arial" w:cs="Arial" w:eastAsia="Arial" w:hAnsi="Arial"/>
          <w:sz w:val="15"/>
          <w:szCs w:val="15"/>
          <w:color w:val="FFFFFF"/>
        </w:rPr>
        <w:t xml:space="preserve">Earnings Release </w:t>
      </w:r>
      <w:r>
        <w:rPr>
          <w:rFonts w:ascii="Arial" w:cs="Arial" w:eastAsia="Arial" w:hAnsi="Arial"/>
          <w:sz w:val="15"/>
          <w:szCs w:val="15"/>
          <w:b w:val="1"/>
          <w:bCs w:val="1"/>
          <w:color w:val="FFFFFF"/>
        </w:rPr>
        <w:t>2Q / 2022</w:t>
      </w:r>
    </w:p>
    <w:p>
      <w:pPr>
        <w:spacing w:after="0" w:line="33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01. Loan Portfolio</w:t>
      </w:r>
    </w:p>
    <w:p>
      <w:pPr>
        <w:spacing w:after="0" w:line="227" w:lineRule="exact"/>
        <w:rPr>
          <w:sz w:val="20"/>
          <w:szCs w:val="20"/>
          <w:color w:val="auto"/>
        </w:rPr>
      </w:pPr>
    </w:p>
    <w:p>
      <w:pPr>
        <w:ind w:left="3"/>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YoY, </w:t>
      </w:r>
      <w:r>
        <w:rPr>
          <w:rFonts w:ascii="Times New Roman" w:cs="Times New Roman" w:eastAsia="Times New Roman" w:hAnsi="Times New Roman"/>
          <w:sz w:val="16"/>
          <w:szCs w:val="16"/>
          <w:color w:val="auto"/>
        </w:rPr>
        <w:t>structural loans grew 14.6% FX Neutral, with all segments reporting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uptick with the exception of ASB Bank Corp. Growth was driven by:</w:t>
      </w:r>
    </w:p>
    <w:p>
      <w:pPr>
        <w:spacing w:after="0" w:line="164" w:lineRule="exact"/>
        <w:rPr>
          <w:sz w:val="20"/>
          <w:szCs w:val="20"/>
          <w:color w:val="auto"/>
        </w:rPr>
      </w:pPr>
    </w:p>
    <w:p>
      <w:pPr>
        <w:ind w:left="283" w:right="40" w:hanging="283"/>
        <w:spacing w:after="0" w:line="245"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Wholesale Banking at BCP Stand-alone, via an increase in short-term loans in the corporate segment reflecting higher financing needs for Working Capital loans and to a decrease in volumes in 2Q21 due to an uptick in prepayments. In this context, Wholesale Banking structural loan’s share of total loans increased 100bps. SME-Pyme and Consumer segments also drove YoY growth in loans. It is important to note that initiatives in the</w:t>
      </w:r>
    </w:p>
    <w:p>
      <w:pPr>
        <w:spacing w:after="0" w:line="3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Government Program Loans (in average Daily Balances – S/ million)</w:t>
      </w:r>
    </w:p>
    <w:p>
      <w:pPr>
        <w:spacing w:after="0" w:line="232"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Government Program (GP) loans decreased 17.1% QoQ and 39.1% YoY, which was primarily due to amortizations of loans in the SMEs segment at BCP Stand-alone. GP loans in quarter-end balances represented 9% of total loans at quarter-end (vs. 11% in March 2022 and 16% in June 2021).</w:t>
      </w:r>
    </w:p>
    <w:p>
      <w:pPr>
        <w:spacing w:after="0" w:line="186"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6"/>
          <w:szCs w:val="16"/>
          <w:color w:val="auto"/>
        </w:rPr>
        <w:t>On average, loan terms in Wholesale Banking, Retail Banking and Mibanco expire in 1.4, 1.8 and 2.9 years respectively.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-241300</wp:posOffset>
            </wp:positionV>
            <wp:extent cx="7145655" cy="371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222250</wp:posOffset>
            </wp:positionV>
            <wp:extent cx="7145655"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Consumer segment alone led to a 0.9% increase in its loans market share (MS); and</w:t>
      </w:r>
    </w:p>
    <w:p>
      <w:pPr>
        <w:spacing w:after="0" w:line="321" w:lineRule="exact"/>
        <w:rPr>
          <w:sz w:val="20"/>
          <w:szCs w:val="20"/>
          <w:color w:val="auto"/>
        </w:rPr>
      </w:pPr>
    </w:p>
    <w:p>
      <w:pPr>
        <w:jc w:val="both"/>
        <w:ind w:left="300" w:right="20" w:hanging="291"/>
        <w:spacing w:after="0" w:line="243"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Mibanco, which garnered the fruits of a hybrid model that incorporates centralized assessment and multiple distribution channels that registered significant improvements in disbursements through alternative channels (ACH). At the end of June 2022, operations through ACH accounted for 49.2% of total disbursements vs 31.7% in June 2021. It is important to note sustained growth in the average loan ticket (S/10.3k in 2Q22 vs S/8.9K in 2Q21), which reflect successful efforts to follow more leads to clients with better risk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2792095" cy="1515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2095" cy="1515745"/>
                    </a:xfrm>
                    <a:prstGeom prst="rect">
                      <a:avLst/>
                    </a:prstGeom>
                    <a:noFill/>
                  </pic:spPr>
                </pic:pic>
              </a:graphicData>
            </a:graphic>
          </wp:anchor>
        </w:drawing>
      </w:r>
    </w:p>
    <w:p>
      <w:pPr>
        <w:spacing w:after="0" w:line="2281" w:lineRule="exact"/>
        <w:rPr>
          <w:sz w:val="20"/>
          <w:szCs w:val="20"/>
          <w:color w:val="auto"/>
        </w:rPr>
      </w:pPr>
    </w:p>
    <w:p>
      <w:pPr>
        <w:sectPr>
          <w:pgSz w:w="11900" w:h="16838" w:orient="portrait"/>
          <w:cols w:equalWidth="0" w:num="2">
            <w:col w:w="5403" w:space="440"/>
            <w:col w:w="5420"/>
          </w:cols>
          <w:pgMar w:left="317" w:top="3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 xml:space="preserve">Total Loans (in Average Daily Balances) </w:t>
      </w:r>
      <w:r>
        <w:rPr>
          <w:rFonts w:ascii="Times New Roman" w:cs="Times New Roman" w:eastAsia="Times New Roman" w:hAnsi="Times New Roman"/>
          <w:sz w:val="27"/>
          <w:szCs w:val="27"/>
          <w:b w:val="1"/>
          <w:bCs w:val="1"/>
          <w:color w:val="auto"/>
          <w:vertAlign w:val="superscript"/>
        </w:rPr>
        <w:t>(1)(2)</w:t>
      </w:r>
    </w:p>
    <w:p>
      <w:pPr>
        <w:spacing w:after="0" w:line="113" w:lineRule="exact"/>
        <w:rPr>
          <w:sz w:val="20"/>
          <w:szCs w:val="20"/>
          <w:color w:val="auto"/>
        </w:rPr>
      </w:pPr>
    </w:p>
    <w:tbl>
      <w:tblPr>
        <w:tblLayout w:type="fixed"/>
        <w:tblInd w:w="573" w:type="dxa"/>
        <w:tblCellMar>
          <w:top w:w="0" w:type="dxa"/>
          <w:left w:w="0" w:type="dxa"/>
          <w:bottom w:w="0" w:type="dxa"/>
          <w:right w:w="0" w:type="dxa"/>
        </w:tblCellMar>
      </w:tblPr>
      <w:tr>
        <w:trPr>
          <w:trHeight w:val="198"/>
        </w:trPr>
        <w:tc>
          <w:tcPr>
            <w:tcW w:w="2260" w:type="dxa"/>
            <w:vAlign w:val="bottom"/>
            <w:tcBorders>
              <w:top w:val="single" w:sz="8" w:color="646464"/>
              <w:left w:val="single" w:sz="8" w:color="646464"/>
              <w:right w:val="single" w:sz="8" w:color="646464"/>
            </w:tcBorders>
            <w:shd w:val="clear" w:color="auto" w:fill="33CCCC"/>
          </w:tcPr>
          <w:p>
            <w:pPr>
              <w:ind w:left="40"/>
              <w:spacing w:after="0" w:line="198" w:lineRule="exact"/>
              <w:rPr>
                <w:sz w:val="20"/>
                <w:szCs w:val="20"/>
                <w:color w:val="auto"/>
              </w:rPr>
            </w:pPr>
            <w:r>
              <w:rPr>
                <w:rFonts w:ascii="Arial" w:cs="Arial" w:eastAsia="Arial" w:hAnsi="Arial"/>
                <w:sz w:val="18"/>
                <w:szCs w:val="18"/>
                <w:b w:val="1"/>
                <w:bCs w:val="1"/>
                <w:color w:val="FFFFFF"/>
              </w:rPr>
              <w:t>Total Loans</w:t>
            </w:r>
          </w:p>
        </w:tc>
        <w:tc>
          <w:tcPr>
            <w:tcW w:w="780" w:type="dxa"/>
            <w:vAlign w:val="bottom"/>
            <w:tcBorders>
              <w:top w:val="single" w:sz="8" w:color="646464"/>
            </w:tcBorders>
            <w:shd w:val="clear" w:color="auto" w:fill="33CCCC"/>
          </w:tcPr>
          <w:p>
            <w:pPr>
              <w:jc w:val="center"/>
              <w:spacing w:after="0" w:line="198" w:lineRule="exact"/>
              <w:rPr>
                <w:sz w:val="20"/>
                <w:szCs w:val="20"/>
                <w:color w:val="auto"/>
              </w:rPr>
            </w:pPr>
            <w:r>
              <w:rPr>
                <w:rFonts w:ascii="Arial" w:cs="Arial" w:eastAsia="Arial" w:hAnsi="Arial"/>
                <w:sz w:val="18"/>
                <w:szCs w:val="18"/>
                <w:b w:val="1"/>
                <w:bCs w:val="1"/>
                <w:color w:val="FFFFFF"/>
                <w:w w:val="97"/>
              </w:rPr>
              <w:t>As of</w:t>
            </w:r>
          </w:p>
        </w:tc>
        <w:tc>
          <w:tcPr>
            <w:tcW w:w="760" w:type="dxa"/>
            <w:vAlign w:val="bottom"/>
            <w:tcBorders>
              <w:top w:val="single" w:sz="8" w:color="646464"/>
            </w:tcBorders>
            <w:shd w:val="clear" w:color="auto" w:fill="33CCCC"/>
          </w:tcPr>
          <w:p>
            <w:pPr>
              <w:spacing w:after="0"/>
              <w:rPr>
                <w:sz w:val="17"/>
                <w:szCs w:val="17"/>
                <w:color w:val="auto"/>
              </w:rPr>
            </w:pPr>
          </w:p>
        </w:tc>
        <w:tc>
          <w:tcPr>
            <w:tcW w:w="800" w:type="dxa"/>
            <w:vAlign w:val="bottom"/>
            <w:tcBorders>
              <w:top w:val="single" w:sz="8" w:color="646464"/>
              <w:right w:val="single" w:sz="8" w:color="646464"/>
            </w:tcBorders>
            <w:shd w:val="clear" w:color="auto" w:fill="33CCCC"/>
          </w:tcPr>
          <w:p>
            <w:pPr>
              <w:spacing w:after="0"/>
              <w:rPr>
                <w:sz w:val="17"/>
                <w:szCs w:val="17"/>
                <w:color w:val="auto"/>
              </w:rPr>
            </w:pPr>
          </w:p>
        </w:tc>
        <w:tc>
          <w:tcPr>
            <w:tcW w:w="1580" w:type="dxa"/>
            <w:vAlign w:val="bottom"/>
            <w:tcBorders>
              <w:top w:val="single" w:sz="8" w:color="646464"/>
              <w:right w:val="single" w:sz="8" w:color="646464"/>
            </w:tcBorders>
            <w:gridSpan w:val="2"/>
            <w:shd w:val="clear" w:color="auto" w:fill="33CCCC"/>
          </w:tcPr>
          <w:p>
            <w:pPr>
              <w:ind w:left="120"/>
              <w:spacing w:after="0" w:line="198" w:lineRule="exact"/>
              <w:rPr>
                <w:sz w:val="20"/>
                <w:szCs w:val="20"/>
                <w:color w:val="auto"/>
              </w:rPr>
            </w:pPr>
            <w:r>
              <w:rPr>
                <w:rFonts w:ascii="Arial" w:cs="Arial" w:eastAsia="Arial" w:hAnsi="Arial"/>
                <w:sz w:val="18"/>
                <w:szCs w:val="18"/>
                <w:b w:val="1"/>
                <w:bCs w:val="1"/>
                <w:color w:val="FFFFFF"/>
              </w:rPr>
              <w:t>Volume change</w:t>
            </w:r>
          </w:p>
        </w:tc>
        <w:tc>
          <w:tcPr>
            <w:tcW w:w="780" w:type="dxa"/>
            <w:vAlign w:val="bottom"/>
            <w:tcBorders>
              <w:top w:val="single" w:sz="8" w:color="646464"/>
            </w:tcBorders>
            <w:shd w:val="clear" w:color="auto" w:fill="33CCCC"/>
          </w:tcPr>
          <w:p>
            <w:pPr>
              <w:jc w:val="center"/>
              <w:spacing w:after="0" w:line="198" w:lineRule="exact"/>
              <w:rPr>
                <w:sz w:val="20"/>
                <w:szCs w:val="20"/>
                <w:color w:val="auto"/>
              </w:rPr>
            </w:pPr>
            <w:r>
              <w:rPr>
                <w:rFonts w:ascii="Arial" w:cs="Arial" w:eastAsia="Arial" w:hAnsi="Arial"/>
                <w:sz w:val="18"/>
                <w:szCs w:val="18"/>
                <w:b w:val="1"/>
                <w:bCs w:val="1"/>
                <w:color w:val="FFFFFF"/>
                <w:w w:val="99"/>
              </w:rPr>
              <w:t>%</w:t>
            </w:r>
          </w:p>
        </w:tc>
        <w:tc>
          <w:tcPr>
            <w:tcW w:w="800" w:type="dxa"/>
            <w:vAlign w:val="bottom"/>
            <w:tcBorders>
              <w:top w:val="single" w:sz="8" w:color="646464"/>
              <w:right w:val="single" w:sz="8" w:color="646464"/>
            </w:tcBorders>
            <w:shd w:val="clear" w:color="auto" w:fill="33CCCC"/>
          </w:tcPr>
          <w:p>
            <w:pPr>
              <w:spacing w:after="0"/>
              <w:rPr>
                <w:sz w:val="17"/>
                <w:szCs w:val="17"/>
                <w:color w:val="auto"/>
              </w:rPr>
            </w:pPr>
          </w:p>
        </w:tc>
        <w:tc>
          <w:tcPr>
            <w:tcW w:w="1560" w:type="dxa"/>
            <w:vAlign w:val="bottom"/>
            <w:tcBorders>
              <w:top w:val="single" w:sz="8" w:color="646464"/>
            </w:tcBorders>
            <w:gridSpan w:val="2"/>
            <w:shd w:val="clear" w:color="auto" w:fill="33CCCC"/>
          </w:tcPr>
          <w:p>
            <w:pPr>
              <w:jc w:val="center"/>
              <w:spacing w:after="0" w:line="198" w:lineRule="exact"/>
              <w:rPr>
                <w:sz w:val="20"/>
                <w:szCs w:val="20"/>
                <w:color w:val="auto"/>
              </w:rPr>
            </w:pPr>
            <w:r>
              <w:rPr>
                <w:rFonts w:ascii="Arial" w:cs="Arial" w:eastAsia="Arial" w:hAnsi="Arial"/>
                <w:sz w:val="18"/>
                <w:szCs w:val="18"/>
                <w:b w:val="1"/>
                <w:bCs w:val="1"/>
                <w:color w:val="FFFFFF"/>
                <w:w w:val="99"/>
              </w:rPr>
              <w:t>% Part. in total</w:t>
            </w:r>
          </w:p>
        </w:tc>
        <w:tc>
          <w:tcPr>
            <w:tcW w:w="820" w:type="dxa"/>
            <w:vAlign w:val="bottom"/>
            <w:tcBorders>
              <w:top w:val="single" w:sz="8" w:color="646464"/>
              <w:right w:val="single" w:sz="8" w:color="646464"/>
            </w:tcBorders>
            <w:shd w:val="clear" w:color="auto" w:fill="33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646464"/>
              <w:right w:val="single" w:sz="8" w:color="646464"/>
            </w:tcBorders>
            <w:shd w:val="clear" w:color="auto" w:fill="33CCCC"/>
          </w:tcPr>
          <w:p>
            <w:pPr>
              <w:ind w:left="40"/>
              <w:spacing w:after="0"/>
              <w:rPr>
                <w:sz w:val="20"/>
                <w:szCs w:val="20"/>
                <w:color w:val="auto"/>
              </w:rPr>
            </w:pPr>
            <w:r>
              <w:rPr>
                <w:rFonts w:ascii="Arial" w:cs="Arial" w:eastAsia="Arial" w:hAnsi="Arial"/>
                <w:sz w:val="18"/>
                <w:szCs w:val="18"/>
                <w:color w:val="FFFFFF"/>
              </w:rPr>
              <w:t>(S/ millions)</w:t>
            </w:r>
          </w:p>
        </w:tc>
        <w:tc>
          <w:tcPr>
            <w:tcW w:w="780" w:type="dxa"/>
            <w:vAlign w:val="bottom"/>
            <w:shd w:val="clear" w:color="auto" w:fill="33CCCC"/>
          </w:tcPr>
          <w:p>
            <w:pPr>
              <w:spacing w:after="0"/>
              <w:rPr>
                <w:sz w:val="18"/>
                <w:szCs w:val="18"/>
                <w:color w:val="auto"/>
              </w:rPr>
            </w:pPr>
          </w:p>
        </w:tc>
        <w:tc>
          <w:tcPr>
            <w:tcW w:w="760" w:type="dxa"/>
            <w:vAlign w:val="bottom"/>
            <w:shd w:val="clear" w:color="auto" w:fill="33CCCC"/>
          </w:tcPr>
          <w:p>
            <w:pPr>
              <w:spacing w:after="0"/>
              <w:rPr>
                <w:sz w:val="18"/>
                <w:szCs w:val="18"/>
                <w:color w:val="auto"/>
              </w:rPr>
            </w:pPr>
          </w:p>
        </w:tc>
        <w:tc>
          <w:tcPr>
            <w:tcW w:w="800" w:type="dxa"/>
            <w:vAlign w:val="bottom"/>
            <w:tcBorders>
              <w:right w:val="single" w:sz="8" w:color="646464"/>
            </w:tcBorders>
            <w:shd w:val="clear" w:color="auto" w:fill="33CCCC"/>
          </w:tcPr>
          <w:p>
            <w:pPr>
              <w:spacing w:after="0"/>
              <w:rPr>
                <w:sz w:val="18"/>
                <w:szCs w:val="18"/>
                <w:color w:val="auto"/>
              </w:rPr>
            </w:pPr>
          </w:p>
        </w:tc>
        <w:tc>
          <w:tcPr>
            <w:tcW w:w="760" w:type="dxa"/>
            <w:vAlign w:val="bottom"/>
            <w:shd w:val="clear" w:color="auto" w:fill="33CCCC"/>
          </w:tcPr>
          <w:p>
            <w:pPr>
              <w:spacing w:after="0"/>
              <w:rPr>
                <w:sz w:val="18"/>
                <w:szCs w:val="18"/>
                <w:color w:val="auto"/>
              </w:rPr>
            </w:pPr>
          </w:p>
        </w:tc>
        <w:tc>
          <w:tcPr>
            <w:tcW w:w="820" w:type="dxa"/>
            <w:vAlign w:val="bottom"/>
            <w:tcBorders>
              <w:right w:val="single" w:sz="8" w:color="646464"/>
            </w:tcBorders>
            <w:shd w:val="clear" w:color="auto" w:fill="33CCCC"/>
          </w:tcPr>
          <w:p>
            <w:pPr>
              <w:spacing w:after="0"/>
              <w:rPr>
                <w:sz w:val="18"/>
                <w:szCs w:val="18"/>
                <w:color w:val="auto"/>
              </w:rPr>
            </w:pPr>
          </w:p>
        </w:tc>
        <w:tc>
          <w:tcPr>
            <w:tcW w:w="780" w:type="dxa"/>
            <w:vAlign w:val="bottom"/>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change</w:t>
            </w:r>
          </w:p>
        </w:tc>
        <w:tc>
          <w:tcPr>
            <w:tcW w:w="800" w:type="dxa"/>
            <w:vAlign w:val="bottom"/>
            <w:tcBorders>
              <w:right w:val="single" w:sz="8" w:color="646464"/>
            </w:tcBorders>
            <w:shd w:val="clear" w:color="auto" w:fill="33CCCC"/>
          </w:tcPr>
          <w:p>
            <w:pPr>
              <w:spacing w:after="0"/>
              <w:rPr>
                <w:sz w:val="18"/>
                <w:szCs w:val="18"/>
                <w:color w:val="auto"/>
              </w:rPr>
            </w:pPr>
          </w:p>
        </w:tc>
        <w:tc>
          <w:tcPr>
            <w:tcW w:w="1560" w:type="dxa"/>
            <w:vAlign w:val="bottom"/>
            <w:gridSpan w:val="2"/>
            <w:shd w:val="clear" w:color="auto" w:fill="33CCCC"/>
          </w:tcPr>
          <w:p>
            <w:pPr>
              <w:jc w:val="center"/>
              <w:spacing w:after="0"/>
              <w:rPr>
                <w:sz w:val="20"/>
                <w:szCs w:val="20"/>
                <w:color w:val="auto"/>
              </w:rPr>
            </w:pPr>
            <w:r>
              <w:rPr>
                <w:rFonts w:ascii="Arial" w:cs="Arial" w:eastAsia="Arial" w:hAnsi="Arial"/>
                <w:sz w:val="18"/>
                <w:szCs w:val="18"/>
                <w:b w:val="1"/>
                <w:bCs w:val="1"/>
                <w:color w:val="FFFFFF"/>
                <w:w w:val="97"/>
              </w:rPr>
              <w:t>loans</w:t>
            </w:r>
          </w:p>
        </w:tc>
        <w:tc>
          <w:tcPr>
            <w:tcW w:w="820" w:type="dxa"/>
            <w:vAlign w:val="bottom"/>
            <w:tcBorders>
              <w:right w:val="single" w:sz="8" w:color="646464"/>
            </w:tcBorders>
            <w:shd w:val="clear" w:color="auto" w:fill="33CCCC"/>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260" w:type="dxa"/>
            <w:vAlign w:val="bottom"/>
            <w:tcBorders>
              <w:left w:val="single" w:sz="8" w:color="646464"/>
              <w:bottom w:val="single" w:sz="8" w:color="646464"/>
              <w:right w:val="single" w:sz="8" w:color="646464"/>
            </w:tcBorders>
            <w:shd w:val="clear" w:color="auto" w:fill="33CCCC"/>
          </w:tcPr>
          <w:p>
            <w:pPr>
              <w:spacing w:after="0"/>
              <w:rPr>
                <w:sz w:val="24"/>
                <w:szCs w:val="24"/>
                <w:color w:val="auto"/>
              </w:rPr>
            </w:pPr>
          </w:p>
        </w:tc>
        <w:tc>
          <w:tcPr>
            <w:tcW w:w="780" w:type="dxa"/>
            <w:vAlign w:val="bottom"/>
            <w:tcBorders>
              <w:bottom w:val="single" w:sz="8" w:color="646464"/>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Jun 21</w:t>
            </w:r>
          </w:p>
        </w:tc>
        <w:tc>
          <w:tcPr>
            <w:tcW w:w="760" w:type="dxa"/>
            <w:vAlign w:val="bottom"/>
            <w:tcBorders>
              <w:bottom w:val="single" w:sz="8" w:color="646464"/>
            </w:tcBorders>
            <w:shd w:val="clear" w:color="auto" w:fill="33CCCC"/>
          </w:tcPr>
          <w:p>
            <w:pPr>
              <w:ind w:left="100"/>
              <w:spacing w:after="0"/>
              <w:rPr>
                <w:sz w:val="20"/>
                <w:szCs w:val="20"/>
                <w:color w:val="auto"/>
              </w:rPr>
            </w:pPr>
            <w:r>
              <w:rPr>
                <w:rFonts w:ascii="Arial" w:cs="Arial" w:eastAsia="Arial" w:hAnsi="Arial"/>
                <w:sz w:val="18"/>
                <w:szCs w:val="18"/>
                <w:b w:val="1"/>
                <w:bCs w:val="1"/>
                <w:color w:val="FFFFFF"/>
              </w:rPr>
              <w:t>Mar 22</w:t>
            </w:r>
          </w:p>
        </w:tc>
        <w:tc>
          <w:tcPr>
            <w:tcW w:w="800" w:type="dxa"/>
            <w:vAlign w:val="bottom"/>
            <w:tcBorders>
              <w:bottom w:val="single" w:sz="8" w:color="646464"/>
              <w:right w:val="single" w:sz="8" w:color="646464"/>
            </w:tcBorders>
            <w:shd w:val="clear" w:color="auto" w:fill="33CCCC"/>
          </w:tcPr>
          <w:p>
            <w:pPr>
              <w:ind w:left="100"/>
              <w:spacing w:after="0"/>
              <w:rPr>
                <w:sz w:val="20"/>
                <w:szCs w:val="20"/>
                <w:color w:val="auto"/>
              </w:rPr>
            </w:pPr>
            <w:r>
              <w:rPr>
                <w:rFonts w:ascii="Arial" w:cs="Arial" w:eastAsia="Arial" w:hAnsi="Arial"/>
                <w:sz w:val="18"/>
                <w:szCs w:val="18"/>
                <w:b w:val="1"/>
                <w:bCs w:val="1"/>
                <w:color w:val="FFFFFF"/>
              </w:rPr>
              <w:t>Jun 22</w:t>
            </w:r>
          </w:p>
        </w:tc>
        <w:tc>
          <w:tcPr>
            <w:tcW w:w="760" w:type="dxa"/>
            <w:vAlign w:val="bottom"/>
            <w:tcBorders>
              <w:bottom w:val="single" w:sz="8" w:color="646464"/>
            </w:tcBorders>
            <w:shd w:val="clear" w:color="auto" w:fill="33CCCC"/>
          </w:tcPr>
          <w:p>
            <w:pPr>
              <w:ind w:left="180"/>
              <w:spacing w:after="0"/>
              <w:rPr>
                <w:sz w:val="20"/>
                <w:szCs w:val="20"/>
                <w:color w:val="auto"/>
              </w:rPr>
            </w:pPr>
            <w:r>
              <w:rPr>
                <w:rFonts w:ascii="Arial" w:cs="Arial" w:eastAsia="Arial" w:hAnsi="Arial"/>
                <w:sz w:val="18"/>
                <w:szCs w:val="18"/>
                <w:b w:val="1"/>
                <w:bCs w:val="1"/>
                <w:color w:val="FFFFFF"/>
              </w:rPr>
              <w:t>QoQ</w:t>
            </w:r>
          </w:p>
        </w:tc>
        <w:tc>
          <w:tcPr>
            <w:tcW w:w="820" w:type="dxa"/>
            <w:vAlign w:val="bottom"/>
            <w:tcBorders>
              <w:bottom w:val="single" w:sz="8" w:color="646464"/>
              <w:right w:val="single" w:sz="8" w:color="646464"/>
            </w:tcBorders>
            <w:shd w:val="clear" w:color="auto" w:fill="33CCCC"/>
          </w:tcPr>
          <w:p>
            <w:pPr>
              <w:ind w:left="220"/>
              <w:spacing w:after="0"/>
              <w:rPr>
                <w:sz w:val="20"/>
                <w:szCs w:val="20"/>
                <w:color w:val="auto"/>
              </w:rPr>
            </w:pPr>
            <w:r>
              <w:rPr>
                <w:rFonts w:ascii="Arial" w:cs="Arial" w:eastAsia="Arial" w:hAnsi="Arial"/>
                <w:sz w:val="18"/>
                <w:szCs w:val="18"/>
                <w:b w:val="1"/>
                <w:bCs w:val="1"/>
                <w:color w:val="FFFFFF"/>
              </w:rPr>
              <w:t>YoY</w:t>
            </w:r>
          </w:p>
        </w:tc>
        <w:tc>
          <w:tcPr>
            <w:tcW w:w="780" w:type="dxa"/>
            <w:vAlign w:val="bottom"/>
            <w:tcBorders>
              <w:bottom w:val="single" w:sz="8" w:color="646464"/>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7"/>
              </w:rPr>
              <w:t>QoQ</w:t>
            </w:r>
          </w:p>
        </w:tc>
        <w:tc>
          <w:tcPr>
            <w:tcW w:w="800" w:type="dxa"/>
            <w:vAlign w:val="bottom"/>
            <w:tcBorders>
              <w:bottom w:val="single" w:sz="8" w:color="646464"/>
              <w:right w:val="single" w:sz="8" w:color="646464"/>
            </w:tcBorders>
            <w:shd w:val="clear" w:color="auto" w:fill="33CCCC"/>
          </w:tcPr>
          <w:p>
            <w:pPr>
              <w:ind w:left="200"/>
              <w:spacing w:after="0"/>
              <w:rPr>
                <w:sz w:val="20"/>
                <w:szCs w:val="20"/>
                <w:color w:val="auto"/>
              </w:rPr>
            </w:pPr>
            <w:r>
              <w:rPr>
                <w:rFonts w:ascii="Arial" w:cs="Arial" w:eastAsia="Arial" w:hAnsi="Arial"/>
                <w:sz w:val="18"/>
                <w:szCs w:val="18"/>
                <w:b w:val="1"/>
                <w:bCs w:val="1"/>
                <w:color w:val="FFFFFF"/>
              </w:rPr>
              <w:t>YoY</w:t>
            </w:r>
          </w:p>
        </w:tc>
        <w:tc>
          <w:tcPr>
            <w:tcW w:w="780" w:type="dxa"/>
            <w:vAlign w:val="bottom"/>
            <w:tcBorders>
              <w:bottom w:val="single" w:sz="8" w:color="646464"/>
            </w:tcBorders>
            <w:shd w:val="clear" w:color="auto" w:fill="33CCCC"/>
          </w:tcPr>
          <w:p>
            <w:pPr>
              <w:ind w:left="100"/>
              <w:spacing w:after="0"/>
              <w:rPr>
                <w:sz w:val="20"/>
                <w:szCs w:val="20"/>
                <w:color w:val="auto"/>
              </w:rPr>
            </w:pPr>
            <w:r>
              <w:rPr>
                <w:rFonts w:ascii="Arial" w:cs="Arial" w:eastAsia="Arial" w:hAnsi="Arial"/>
                <w:sz w:val="18"/>
                <w:szCs w:val="18"/>
                <w:b w:val="1"/>
                <w:bCs w:val="1"/>
                <w:color w:val="FFFFFF"/>
              </w:rPr>
              <w:t>Jun 21</w:t>
            </w:r>
          </w:p>
        </w:tc>
        <w:tc>
          <w:tcPr>
            <w:tcW w:w="780" w:type="dxa"/>
            <w:vAlign w:val="bottom"/>
            <w:tcBorders>
              <w:bottom w:val="single" w:sz="8" w:color="646464"/>
            </w:tcBorders>
            <w:shd w:val="clear" w:color="auto" w:fill="33CCCC"/>
          </w:tcPr>
          <w:p>
            <w:pPr>
              <w:ind w:left="100"/>
              <w:spacing w:after="0"/>
              <w:rPr>
                <w:sz w:val="20"/>
                <w:szCs w:val="20"/>
                <w:color w:val="auto"/>
              </w:rPr>
            </w:pPr>
            <w:r>
              <w:rPr>
                <w:rFonts w:ascii="Arial" w:cs="Arial" w:eastAsia="Arial" w:hAnsi="Arial"/>
                <w:sz w:val="18"/>
                <w:szCs w:val="18"/>
                <w:b w:val="1"/>
                <w:bCs w:val="1"/>
                <w:color w:val="FFFFFF"/>
              </w:rPr>
              <w:t>Mar 22</w:t>
            </w:r>
          </w:p>
        </w:tc>
        <w:tc>
          <w:tcPr>
            <w:tcW w:w="820" w:type="dxa"/>
            <w:vAlign w:val="bottom"/>
            <w:tcBorders>
              <w:bottom w:val="single" w:sz="8" w:color="646464"/>
              <w:right w:val="single" w:sz="8" w:color="646464"/>
            </w:tcBorders>
            <w:shd w:val="clear" w:color="auto" w:fill="33CCCC"/>
          </w:tcPr>
          <w:p>
            <w:pPr>
              <w:ind w:left="100"/>
              <w:spacing w:after="0"/>
              <w:rPr>
                <w:sz w:val="20"/>
                <w:szCs w:val="20"/>
                <w:color w:val="auto"/>
              </w:rPr>
            </w:pPr>
            <w:r>
              <w:rPr>
                <w:rFonts w:ascii="Arial" w:cs="Arial" w:eastAsia="Arial" w:hAnsi="Arial"/>
                <w:sz w:val="18"/>
                <w:szCs w:val="18"/>
                <w:b w:val="1"/>
                <w:bCs w:val="1"/>
                <w:color w:val="FFFFFF"/>
              </w:rPr>
              <w:t>Jun 22</w:t>
            </w:r>
          </w:p>
        </w:tc>
        <w:tc>
          <w:tcPr>
            <w:tcW w:w="0" w:type="dxa"/>
            <w:vAlign w:val="bottom"/>
          </w:tcPr>
          <w:p>
            <w:pPr>
              <w:spacing w:after="0"/>
              <w:rPr>
                <w:sz w:val="1"/>
                <w:szCs w:val="1"/>
                <w:color w:val="auto"/>
              </w:rPr>
            </w:pPr>
          </w:p>
        </w:tc>
      </w:tr>
      <w:tr>
        <w:trPr>
          <w:trHeight w:val="174"/>
        </w:trPr>
        <w:tc>
          <w:tcPr>
            <w:tcW w:w="2260" w:type="dxa"/>
            <w:vAlign w:val="bottom"/>
            <w:tcBorders>
              <w:left w:val="single" w:sz="8" w:color="646464"/>
              <w:right w:val="single" w:sz="8" w:color="646464"/>
            </w:tcBorders>
          </w:tcPr>
          <w:p>
            <w:pPr>
              <w:ind w:left="40"/>
              <w:spacing w:after="0" w:line="174" w:lineRule="exact"/>
              <w:rPr>
                <w:sz w:val="20"/>
                <w:szCs w:val="20"/>
                <w:color w:val="auto"/>
              </w:rPr>
            </w:pPr>
            <w:r>
              <w:rPr>
                <w:rFonts w:ascii="Arial" w:cs="Arial" w:eastAsia="Arial" w:hAnsi="Arial"/>
                <w:sz w:val="18"/>
                <w:szCs w:val="18"/>
                <w:b w:val="1"/>
                <w:bCs w:val="1"/>
                <w:color w:val="auto"/>
              </w:rPr>
              <w:t>BCP Stand-alone</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8"/>
              </w:rPr>
              <w:t>114,436</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8"/>
              </w:rPr>
              <w:t>118,248</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w w:val="98"/>
              </w:rPr>
              <w:t>120,299</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2,051</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rPr>
              <w:t>5,863</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1.7%</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w w:val="97"/>
              </w:rPr>
              <w:t>5.1%</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rPr>
              <w:t>82.0%</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82.3%</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w w:val="97"/>
              </w:rPr>
              <w:t>82.2%</w:t>
            </w:r>
          </w:p>
        </w:tc>
        <w:tc>
          <w:tcPr>
            <w:tcW w:w="0" w:type="dxa"/>
            <w:vAlign w:val="bottom"/>
          </w:tcPr>
          <w:p>
            <w:pPr>
              <w:spacing w:after="0"/>
              <w:rPr>
                <w:sz w:val="1"/>
                <w:szCs w:val="1"/>
                <w:color w:val="auto"/>
              </w:rPr>
            </w:pPr>
          </w:p>
        </w:tc>
      </w:tr>
      <w:tr>
        <w:trPr>
          <w:trHeight w:val="195"/>
        </w:trPr>
        <w:tc>
          <w:tcPr>
            <w:tcW w:w="2260" w:type="dxa"/>
            <w:vAlign w:val="bottom"/>
            <w:tcBorders>
              <w:left w:val="single" w:sz="8" w:color="646464"/>
              <w:right w:val="single" w:sz="8" w:color="646464"/>
            </w:tcBorders>
          </w:tcPr>
          <w:p>
            <w:pPr>
              <w:ind w:left="320"/>
              <w:spacing w:after="0" w:line="195" w:lineRule="exact"/>
              <w:rPr>
                <w:sz w:val="20"/>
                <w:szCs w:val="20"/>
                <w:color w:val="auto"/>
              </w:rPr>
            </w:pPr>
            <w:r>
              <w:rPr>
                <w:rFonts w:ascii="Arial" w:cs="Arial" w:eastAsia="Arial" w:hAnsi="Arial"/>
                <w:sz w:val="18"/>
                <w:szCs w:val="18"/>
                <w:b w:val="1"/>
                <w:bCs w:val="1"/>
                <w:color w:val="auto"/>
              </w:rPr>
              <w:t>Wholesale Banking</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51,684</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8"/>
              </w:rPr>
              <w:t>55,580</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56,447</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867</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4,763</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1.6%</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9.2%</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37.0%</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38.7%</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38.6%</w:t>
            </w:r>
          </w:p>
        </w:tc>
        <w:tc>
          <w:tcPr>
            <w:tcW w:w="0" w:type="dxa"/>
            <w:vAlign w:val="bottom"/>
          </w:tcPr>
          <w:p>
            <w:pPr>
              <w:spacing w:after="0"/>
              <w:rPr>
                <w:sz w:val="1"/>
                <w:szCs w:val="1"/>
                <w:color w:val="auto"/>
              </w:rPr>
            </w:pPr>
          </w:p>
        </w:tc>
      </w:tr>
      <w:tr>
        <w:trPr>
          <w:trHeight w:val="21"/>
        </w:trPr>
        <w:tc>
          <w:tcPr>
            <w:tcW w:w="2260" w:type="dxa"/>
            <w:vAlign w:val="bottom"/>
            <w:tcBorders>
              <w:left w:val="single" w:sz="8" w:color="646464"/>
              <w:right w:val="single" w:sz="8" w:color="646464"/>
            </w:tcBorders>
            <w:vMerge w:val="restart"/>
          </w:tcPr>
          <w:p>
            <w:pPr>
              <w:ind w:left="320"/>
              <w:spacing w:after="0" w:line="195" w:lineRule="exact"/>
              <w:rPr>
                <w:sz w:val="20"/>
                <w:szCs w:val="20"/>
                <w:color w:val="auto"/>
              </w:rPr>
            </w:pPr>
            <w:r>
              <w:rPr>
                <w:rFonts w:ascii="Arial" w:cs="Arial" w:eastAsia="Arial" w:hAnsi="Arial"/>
                <w:sz w:val="18"/>
                <w:szCs w:val="18"/>
                <w:color w:val="auto"/>
              </w:rPr>
              <w:t>Corporate</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28,825</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8"/>
              </w:rPr>
              <w:t>31,625</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8"/>
              </w:rPr>
              <w:t>32,435</w:t>
            </w:r>
          </w:p>
        </w:tc>
        <w:tc>
          <w:tcPr>
            <w:tcW w:w="760" w:type="dxa"/>
            <w:vAlign w:val="bottom"/>
          </w:tcPr>
          <w:p>
            <w:pPr>
              <w:spacing w:after="0" w:line="20" w:lineRule="exact"/>
              <w:rPr>
                <w:sz w:val="1"/>
                <w:szCs w:val="1"/>
                <w:color w:val="auto"/>
              </w:rPr>
            </w:pPr>
          </w:p>
        </w:tc>
        <w:tc>
          <w:tcPr>
            <w:tcW w:w="820" w:type="dxa"/>
            <w:vAlign w:val="bottom"/>
            <w:tcBorders>
              <w:right w:val="single" w:sz="8" w:color="646464"/>
            </w:tcBorders>
          </w:tcPr>
          <w:p>
            <w:pPr>
              <w:spacing w:after="0" w:line="20" w:lineRule="exact"/>
              <w:rPr>
                <w:sz w:val="1"/>
                <w:szCs w:val="1"/>
                <w:color w:val="auto"/>
              </w:rPr>
            </w:pP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2.6%</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7"/>
              </w:rPr>
              <w:t>12.5%</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20.7%</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22.0%</w:t>
            </w:r>
          </w:p>
        </w:tc>
        <w:tc>
          <w:tcPr>
            <w:tcW w:w="82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7"/>
              </w:rPr>
              <w:t>22.2%</w:t>
            </w:r>
          </w:p>
        </w:tc>
        <w:tc>
          <w:tcPr>
            <w:tcW w:w="0" w:type="dxa"/>
            <w:vAlign w:val="bottom"/>
          </w:tcPr>
          <w:p>
            <w:pPr>
              <w:spacing w:after="0" w:line="20" w:lineRule="exact"/>
              <w:rPr>
                <w:sz w:val="1"/>
                <w:szCs w:val="1"/>
                <w:color w:val="auto"/>
              </w:rPr>
            </w:pPr>
          </w:p>
        </w:tc>
      </w:tr>
      <w:tr>
        <w:trPr>
          <w:trHeight w:val="175"/>
        </w:trPr>
        <w:tc>
          <w:tcPr>
            <w:tcW w:w="2260" w:type="dxa"/>
            <w:vAlign w:val="bottom"/>
            <w:tcBorders>
              <w:left w:val="single" w:sz="8" w:color="646464"/>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9"/>
              </w:rPr>
              <w:t>810</w:t>
            </w:r>
          </w:p>
        </w:tc>
        <w:tc>
          <w:tcPr>
            <w:tcW w:w="820" w:type="dxa"/>
            <w:vAlign w:val="bottom"/>
            <w:tcBorders>
              <w:bottom w:val="single" w:sz="8" w:color="26D07C"/>
              <w:right w:val="single" w:sz="8" w:color="646464"/>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rPr>
              <w:t>3,610</w:t>
            </w:r>
          </w:p>
        </w:tc>
        <w:tc>
          <w:tcPr>
            <w:tcW w:w="78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64646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Borders>
              <w:left w:val="single" w:sz="8" w:color="646464"/>
              <w:right w:val="single" w:sz="8" w:color="646464"/>
            </w:tcBorders>
          </w:tcPr>
          <w:p>
            <w:pPr>
              <w:ind w:left="320"/>
              <w:spacing w:after="0" w:line="174" w:lineRule="exact"/>
              <w:rPr>
                <w:sz w:val="20"/>
                <w:szCs w:val="20"/>
                <w:color w:val="auto"/>
              </w:rPr>
            </w:pPr>
            <w:r>
              <w:rPr>
                <w:rFonts w:ascii="Arial" w:cs="Arial" w:eastAsia="Arial" w:hAnsi="Arial"/>
                <w:sz w:val="18"/>
                <w:szCs w:val="18"/>
                <w:color w:val="auto"/>
              </w:rPr>
              <w:t>Middle - Market</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22,859</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8"/>
              </w:rPr>
              <w:t>23,955</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8"/>
              </w:rPr>
              <w:t>24,012</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56</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rPr>
              <w:t>1,153</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0.2%</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7"/>
              </w:rPr>
              <w:t>5.0%</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16.4%</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16.7%</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7"/>
              </w:rPr>
              <w:t>16.4%</w:t>
            </w:r>
          </w:p>
        </w:tc>
        <w:tc>
          <w:tcPr>
            <w:tcW w:w="0" w:type="dxa"/>
            <w:vAlign w:val="bottom"/>
          </w:tcPr>
          <w:p>
            <w:pPr>
              <w:spacing w:after="0"/>
              <w:rPr>
                <w:sz w:val="1"/>
                <w:szCs w:val="1"/>
                <w:color w:val="auto"/>
              </w:rPr>
            </w:pPr>
          </w:p>
        </w:tc>
      </w:tr>
      <w:tr>
        <w:trPr>
          <w:trHeight w:val="195"/>
        </w:trPr>
        <w:tc>
          <w:tcPr>
            <w:tcW w:w="2260" w:type="dxa"/>
            <w:vAlign w:val="bottom"/>
            <w:tcBorders>
              <w:left w:val="single" w:sz="8" w:color="646464"/>
              <w:right w:val="single" w:sz="8" w:color="646464"/>
            </w:tcBorders>
          </w:tcPr>
          <w:p>
            <w:pPr>
              <w:ind w:left="180"/>
              <w:spacing w:after="0" w:line="195" w:lineRule="exact"/>
              <w:rPr>
                <w:sz w:val="20"/>
                <w:szCs w:val="20"/>
                <w:color w:val="auto"/>
              </w:rPr>
            </w:pPr>
            <w:r>
              <w:rPr>
                <w:rFonts w:ascii="Arial" w:cs="Arial" w:eastAsia="Arial" w:hAnsi="Arial"/>
                <w:sz w:val="18"/>
                <w:szCs w:val="18"/>
                <w:b w:val="1"/>
                <w:bCs w:val="1"/>
                <w:color w:val="auto"/>
              </w:rPr>
              <w:t>Retail Banking</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62,752</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8"/>
              </w:rPr>
              <w:t>62,668</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63,852</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1,184</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1,100</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1.9%</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1.8%</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45.0%</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43.6%</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43.7%</w:t>
            </w:r>
          </w:p>
        </w:tc>
        <w:tc>
          <w:tcPr>
            <w:tcW w:w="0" w:type="dxa"/>
            <w:vAlign w:val="bottom"/>
          </w:tcPr>
          <w:p>
            <w:pPr>
              <w:spacing w:after="0"/>
              <w:rPr>
                <w:sz w:val="1"/>
                <w:szCs w:val="1"/>
                <w:color w:val="auto"/>
              </w:rPr>
            </w:pPr>
          </w:p>
        </w:tc>
      </w:tr>
      <w:tr>
        <w:trPr>
          <w:trHeight w:val="21"/>
        </w:trPr>
        <w:tc>
          <w:tcPr>
            <w:tcW w:w="2260" w:type="dxa"/>
            <w:vAlign w:val="bottom"/>
            <w:tcBorders>
              <w:left w:val="single" w:sz="8" w:color="646464"/>
              <w:right w:val="single" w:sz="8" w:color="646464"/>
            </w:tcBorders>
            <w:vMerge w:val="restart"/>
          </w:tcPr>
          <w:p>
            <w:pPr>
              <w:ind w:left="320"/>
              <w:spacing w:after="0" w:line="195" w:lineRule="exact"/>
              <w:rPr>
                <w:sz w:val="20"/>
                <w:szCs w:val="20"/>
                <w:color w:val="auto"/>
              </w:rPr>
            </w:pPr>
            <w:r>
              <w:rPr>
                <w:rFonts w:ascii="Arial" w:cs="Arial" w:eastAsia="Arial" w:hAnsi="Arial"/>
                <w:sz w:val="18"/>
                <w:szCs w:val="18"/>
                <w:color w:val="auto"/>
              </w:rPr>
              <w:t>SME - Business</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4"/>
              </w:rPr>
              <w:t>11,279</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9,435</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rPr>
              <w:t>9,330</w:t>
            </w:r>
          </w:p>
        </w:tc>
        <w:tc>
          <w:tcPr>
            <w:tcW w:w="760" w:type="dxa"/>
            <w:vAlign w:val="bottom"/>
          </w:tcPr>
          <w:p>
            <w:pPr>
              <w:spacing w:after="0" w:line="20" w:lineRule="exact"/>
              <w:rPr>
                <w:sz w:val="1"/>
                <w:szCs w:val="1"/>
                <w:color w:val="auto"/>
              </w:rPr>
            </w:pPr>
          </w:p>
        </w:tc>
        <w:tc>
          <w:tcPr>
            <w:tcW w:w="820" w:type="dxa"/>
            <w:vAlign w:val="bottom"/>
            <w:tcBorders>
              <w:right w:val="single" w:sz="8" w:color="646464"/>
            </w:tcBorders>
          </w:tcPr>
          <w:p>
            <w:pPr>
              <w:spacing w:after="0" w:line="20" w:lineRule="exact"/>
              <w:rPr>
                <w:sz w:val="1"/>
                <w:szCs w:val="1"/>
                <w:color w:val="auto"/>
              </w:rPr>
            </w:pP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-1.1%</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8"/>
              </w:rPr>
              <w:t>-17.3%</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8.1%</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6.6%</w:t>
            </w:r>
          </w:p>
        </w:tc>
        <w:tc>
          <w:tcPr>
            <w:tcW w:w="82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74"/>
        </w:trPr>
        <w:tc>
          <w:tcPr>
            <w:tcW w:w="2260" w:type="dxa"/>
            <w:vAlign w:val="bottom"/>
            <w:tcBorders>
              <w:left w:val="single" w:sz="8" w:color="646464"/>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60" w:type="dxa"/>
            <w:vAlign w:val="bottom"/>
            <w:shd w:val="clear" w:color="auto" w:fill="FF00FF"/>
          </w:tcPr>
          <w:p>
            <w:pPr>
              <w:jc w:val="center"/>
              <w:spacing w:after="0" w:line="174" w:lineRule="exact"/>
              <w:rPr>
                <w:sz w:val="20"/>
                <w:szCs w:val="20"/>
                <w:color w:val="auto"/>
              </w:rPr>
            </w:pPr>
            <w:r>
              <w:rPr>
                <w:rFonts w:ascii="Arial" w:cs="Arial" w:eastAsia="Arial" w:hAnsi="Arial"/>
                <w:sz w:val="18"/>
                <w:szCs w:val="18"/>
                <w:color w:val="auto"/>
                <w:w w:val="99"/>
              </w:rPr>
              <w:t>-105</w:t>
            </w:r>
          </w:p>
        </w:tc>
        <w:tc>
          <w:tcPr>
            <w:tcW w:w="820" w:type="dxa"/>
            <w:vAlign w:val="bottom"/>
            <w:tcBorders>
              <w:right w:val="single" w:sz="8" w:color="646464"/>
            </w:tcBorders>
            <w:shd w:val="clear" w:color="auto" w:fill="FF00FF"/>
          </w:tcPr>
          <w:p>
            <w:pPr>
              <w:jc w:val="center"/>
              <w:spacing w:after="0" w:line="174" w:lineRule="exact"/>
              <w:rPr>
                <w:sz w:val="20"/>
                <w:szCs w:val="20"/>
                <w:color w:val="auto"/>
              </w:rPr>
            </w:pPr>
            <w:r>
              <w:rPr>
                <w:rFonts w:ascii="Arial" w:cs="Arial" w:eastAsia="Arial" w:hAnsi="Arial"/>
                <w:sz w:val="18"/>
                <w:szCs w:val="18"/>
                <w:color w:val="auto"/>
                <w:w w:val="97"/>
              </w:rPr>
              <w:t>-1,950</w:t>
            </w:r>
          </w:p>
        </w:tc>
        <w:tc>
          <w:tcPr>
            <w:tcW w:w="78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64646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60" w:type="dxa"/>
            <w:vAlign w:val="bottom"/>
            <w:tcBorders>
              <w:left w:val="single" w:sz="8" w:color="646464"/>
              <w:right w:val="single" w:sz="8" w:color="646464"/>
            </w:tcBorders>
          </w:tcPr>
          <w:p>
            <w:pPr>
              <w:ind w:left="320"/>
              <w:spacing w:after="0" w:line="195" w:lineRule="exact"/>
              <w:rPr>
                <w:sz w:val="20"/>
                <w:szCs w:val="20"/>
                <w:color w:val="auto"/>
              </w:rPr>
            </w:pPr>
            <w:r>
              <w:rPr>
                <w:rFonts w:ascii="Arial" w:cs="Arial" w:eastAsia="Arial" w:hAnsi="Arial"/>
                <w:sz w:val="18"/>
                <w:szCs w:val="18"/>
                <w:color w:val="auto"/>
              </w:rPr>
              <w:t>SME - Pyme</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rPr>
              <w:t>19,647</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8"/>
              </w:rPr>
              <w:t>19,404</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color w:val="auto"/>
                <w:w w:val="98"/>
              </w:rPr>
              <w:t>18,939</w:t>
            </w:r>
          </w:p>
        </w:tc>
        <w:tc>
          <w:tcPr>
            <w:tcW w:w="760" w:type="dxa"/>
            <w:vAlign w:val="bottom"/>
            <w:tcBorders>
              <w:bottom w:val="single" w:sz="8" w:color="FF00FF"/>
            </w:tcBorders>
            <w:shd w:val="clear" w:color="auto" w:fill="FF00FF"/>
          </w:tcPr>
          <w:p>
            <w:pPr>
              <w:jc w:val="center"/>
              <w:spacing w:after="0" w:line="195" w:lineRule="exact"/>
              <w:rPr>
                <w:sz w:val="20"/>
                <w:szCs w:val="20"/>
                <w:color w:val="auto"/>
              </w:rPr>
            </w:pPr>
            <w:r>
              <w:rPr>
                <w:rFonts w:ascii="Arial" w:cs="Arial" w:eastAsia="Arial" w:hAnsi="Arial"/>
                <w:sz w:val="18"/>
                <w:szCs w:val="18"/>
                <w:color w:val="auto"/>
                <w:w w:val="99"/>
              </w:rPr>
              <w:t>-465</w:t>
            </w:r>
          </w:p>
        </w:tc>
        <w:tc>
          <w:tcPr>
            <w:tcW w:w="820" w:type="dxa"/>
            <w:vAlign w:val="bottom"/>
            <w:tcBorders>
              <w:bottom w:val="single" w:sz="8" w:color="FF00FF"/>
              <w:right w:val="single" w:sz="8" w:color="646464"/>
            </w:tcBorders>
            <w:shd w:val="clear" w:color="auto" w:fill="FF00FF"/>
          </w:tcPr>
          <w:p>
            <w:pPr>
              <w:jc w:val="center"/>
              <w:spacing w:after="0" w:line="195" w:lineRule="exact"/>
              <w:rPr>
                <w:sz w:val="20"/>
                <w:szCs w:val="20"/>
                <w:color w:val="auto"/>
              </w:rPr>
            </w:pPr>
            <w:r>
              <w:rPr>
                <w:rFonts w:ascii="Arial" w:cs="Arial" w:eastAsia="Arial" w:hAnsi="Arial"/>
                <w:sz w:val="18"/>
                <w:szCs w:val="18"/>
                <w:color w:val="auto"/>
                <w:w w:val="99"/>
              </w:rPr>
              <w:t>-707</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7"/>
              </w:rPr>
              <w:t>-2.4%</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color w:val="auto"/>
                <w:w w:val="97"/>
              </w:rPr>
              <w:t>-3.6%</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rPr>
              <w:t>14.1%</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7"/>
              </w:rPr>
              <w:t>13.5%</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color w:val="auto"/>
                <w:w w:val="97"/>
              </w:rPr>
              <w:t>12.9%</w:t>
            </w:r>
          </w:p>
        </w:tc>
        <w:tc>
          <w:tcPr>
            <w:tcW w:w="0" w:type="dxa"/>
            <w:vAlign w:val="bottom"/>
          </w:tcPr>
          <w:p>
            <w:pPr>
              <w:spacing w:after="0"/>
              <w:rPr>
                <w:sz w:val="1"/>
                <w:szCs w:val="1"/>
                <w:color w:val="auto"/>
              </w:rPr>
            </w:pPr>
          </w:p>
        </w:tc>
      </w:tr>
      <w:tr>
        <w:trPr>
          <w:trHeight w:val="174"/>
        </w:trPr>
        <w:tc>
          <w:tcPr>
            <w:tcW w:w="2260" w:type="dxa"/>
            <w:vAlign w:val="bottom"/>
            <w:tcBorders>
              <w:left w:val="single" w:sz="8" w:color="646464"/>
              <w:right w:val="single" w:sz="8" w:color="646464"/>
            </w:tcBorders>
          </w:tcPr>
          <w:p>
            <w:pPr>
              <w:ind w:left="320"/>
              <w:spacing w:after="0" w:line="174" w:lineRule="exact"/>
              <w:rPr>
                <w:sz w:val="20"/>
                <w:szCs w:val="20"/>
                <w:color w:val="auto"/>
              </w:rPr>
            </w:pPr>
            <w:r>
              <w:rPr>
                <w:rFonts w:ascii="Arial" w:cs="Arial" w:eastAsia="Arial" w:hAnsi="Arial"/>
                <w:sz w:val="18"/>
                <w:szCs w:val="18"/>
                <w:color w:val="auto"/>
              </w:rPr>
              <w:t>Mortgage</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17,884</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8"/>
              </w:rPr>
              <w:t>18,833</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8"/>
              </w:rPr>
              <w:t>19,301</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468</w:t>
            </w:r>
          </w:p>
        </w:tc>
        <w:tc>
          <w:tcPr>
            <w:tcW w:w="820" w:type="dxa"/>
            <w:vAlign w:val="bottom"/>
            <w:tcBorders>
              <w:right w:val="single" w:sz="8" w:color="646464"/>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rPr>
              <w:t>1,417</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2.5%</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7"/>
              </w:rPr>
              <w:t>7.9%</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rPr>
              <w:t>12.8%</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13.1%</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7"/>
              </w:rPr>
              <w:t>13.2%</w:t>
            </w:r>
          </w:p>
        </w:tc>
        <w:tc>
          <w:tcPr>
            <w:tcW w:w="0" w:type="dxa"/>
            <w:vAlign w:val="bottom"/>
          </w:tcPr>
          <w:p>
            <w:pPr>
              <w:spacing w:after="0"/>
              <w:rPr>
                <w:sz w:val="1"/>
                <w:szCs w:val="1"/>
                <w:color w:val="auto"/>
              </w:rPr>
            </w:pPr>
          </w:p>
        </w:tc>
      </w:tr>
      <w:tr>
        <w:trPr>
          <w:trHeight w:val="21"/>
        </w:trPr>
        <w:tc>
          <w:tcPr>
            <w:tcW w:w="2260" w:type="dxa"/>
            <w:vAlign w:val="bottom"/>
            <w:tcBorders>
              <w:left w:val="single" w:sz="8" w:color="646464"/>
              <w:right w:val="single" w:sz="8" w:color="646464"/>
            </w:tcBorders>
            <w:vMerge w:val="restart"/>
          </w:tcPr>
          <w:p>
            <w:pPr>
              <w:ind w:left="320"/>
              <w:spacing w:after="0" w:line="195" w:lineRule="exact"/>
              <w:rPr>
                <w:sz w:val="20"/>
                <w:szCs w:val="20"/>
                <w:color w:val="auto"/>
              </w:rPr>
            </w:pPr>
            <w:r>
              <w:rPr>
                <w:rFonts w:ascii="Arial" w:cs="Arial" w:eastAsia="Arial" w:hAnsi="Arial"/>
                <w:sz w:val="18"/>
                <w:szCs w:val="18"/>
                <w:color w:val="auto"/>
              </w:rPr>
              <w:t>Consumer</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10,076</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8"/>
              </w:rPr>
              <w:t>10,974</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8"/>
              </w:rPr>
              <w:t>11,848</w:t>
            </w:r>
          </w:p>
        </w:tc>
        <w:tc>
          <w:tcPr>
            <w:tcW w:w="760" w:type="dxa"/>
            <w:vAlign w:val="bottom"/>
          </w:tcPr>
          <w:p>
            <w:pPr>
              <w:spacing w:after="0" w:line="20" w:lineRule="exact"/>
              <w:rPr>
                <w:sz w:val="1"/>
                <w:szCs w:val="1"/>
                <w:color w:val="auto"/>
              </w:rPr>
            </w:pPr>
          </w:p>
        </w:tc>
        <w:tc>
          <w:tcPr>
            <w:tcW w:w="820" w:type="dxa"/>
            <w:vAlign w:val="bottom"/>
            <w:tcBorders>
              <w:right w:val="single" w:sz="8" w:color="646464"/>
            </w:tcBorders>
            <w:vMerge w:val="restart"/>
            <w:shd w:val="clear" w:color="auto" w:fill="26D07C"/>
          </w:tcPr>
          <w:p>
            <w:pPr>
              <w:jc w:val="center"/>
              <w:spacing w:after="0" w:line="195" w:lineRule="exact"/>
              <w:rPr>
                <w:sz w:val="20"/>
                <w:szCs w:val="20"/>
                <w:color w:val="auto"/>
              </w:rPr>
            </w:pPr>
            <w:r>
              <w:rPr>
                <w:rFonts w:ascii="Arial" w:cs="Arial" w:eastAsia="Arial" w:hAnsi="Arial"/>
                <w:sz w:val="18"/>
                <w:szCs w:val="18"/>
                <w:color w:val="auto"/>
              </w:rPr>
              <w:t>1,772</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8.0%</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w w:val="97"/>
              </w:rPr>
              <w:t>17.6%</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7.2%</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7"/>
              </w:rPr>
              <w:t>7.6%</w:t>
            </w:r>
          </w:p>
        </w:tc>
        <w:tc>
          <w:tcPr>
            <w:tcW w:w="82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75"/>
        </w:trPr>
        <w:tc>
          <w:tcPr>
            <w:tcW w:w="2260" w:type="dxa"/>
            <w:vAlign w:val="bottom"/>
            <w:tcBorders>
              <w:left w:val="single" w:sz="8" w:color="646464"/>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color w:val="auto"/>
                <w:w w:val="99"/>
              </w:rPr>
              <w:t>874</w:t>
            </w:r>
          </w:p>
        </w:tc>
        <w:tc>
          <w:tcPr>
            <w:tcW w:w="820" w:type="dxa"/>
            <w:vAlign w:val="bottom"/>
            <w:tcBorders>
              <w:bottom w:val="single" w:sz="8" w:color="26D07C"/>
              <w:right w:val="single" w:sz="8" w:color="646464"/>
            </w:tcBorders>
            <w:vMerge w:val="continue"/>
            <w:shd w:val="clear" w:color="auto" w:fill="26D07C"/>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64646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Borders>
              <w:left w:val="single" w:sz="8" w:color="646464"/>
              <w:right w:val="single" w:sz="8" w:color="646464"/>
            </w:tcBorders>
          </w:tcPr>
          <w:p>
            <w:pPr>
              <w:ind w:left="320"/>
              <w:spacing w:after="0" w:line="174" w:lineRule="exact"/>
              <w:rPr>
                <w:sz w:val="20"/>
                <w:szCs w:val="20"/>
                <w:color w:val="auto"/>
              </w:rPr>
            </w:pPr>
            <w:r>
              <w:rPr>
                <w:rFonts w:ascii="Arial" w:cs="Arial" w:eastAsia="Arial" w:hAnsi="Arial"/>
                <w:sz w:val="18"/>
                <w:szCs w:val="18"/>
                <w:color w:val="auto"/>
              </w:rPr>
              <w:t>Credit Card</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3,866</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7"/>
              </w:rPr>
              <w:t>4,022</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rPr>
              <w:t>4,435</w:t>
            </w:r>
          </w:p>
        </w:tc>
        <w:tc>
          <w:tcPr>
            <w:tcW w:w="760" w:type="dxa"/>
            <w:vAlign w:val="bottom"/>
          </w:tcPr>
          <w:p>
            <w:pPr>
              <w:jc w:val="center"/>
              <w:spacing w:after="0" w:line="174" w:lineRule="exact"/>
              <w:rPr>
                <w:sz w:val="20"/>
                <w:szCs w:val="20"/>
                <w:color w:val="auto"/>
              </w:rPr>
            </w:pPr>
            <w:r>
              <w:rPr>
                <w:rFonts w:ascii="Arial" w:cs="Arial" w:eastAsia="Arial" w:hAnsi="Arial"/>
                <w:sz w:val="18"/>
                <w:szCs w:val="18"/>
                <w:color w:val="auto"/>
                <w:w w:val="99"/>
              </w:rPr>
              <w:t>412</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9"/>
              </w:rPr>
              <w:t>569</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10.2%</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w w:val="97"/>
              </w:rPr>
              <w:t>14.7%</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2.8%</w:t>
            </w:r>
          </w:p>
        </w:tc>
        <w:tc>
          <w:tcPr>
            <w:tcW w:w="780" w:type="dxa"/>
            <w:vAlign w:val="bottom"/>
          </w:tcPr>
          <w:p>
            <w:pPr>
              <w:jc w:val="center"/>
              <w:spacing w:after="0" w:line="174" w:lineRule="exact"/>
              <w:rPr>
                <w:sz w:val="20"/>
                <w:szCs w:val="20"/>
                <w:color w:val="auto"/>
              </w:rPr>
            </w:pPr>
            <w:r>
              <w:rPr>
                <w:rFonts w:ascii="Arial" w:cs="Arial" w:eastAsia="Arial" w:hAnsi="Arial"/>
                <w:sz w:val="18"/>
                <w:szCs w:val="18"/>
                <w:color w:val="auto"/>
                <w:w w:val="97"/>
              </w:rPr>
              <w:t>2.8%</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260" w:type="dxa"/>
            <w:vAlign w:val="bottom"/>
            <w:tcBorders>
              <w:left w:val="single" w:sz="8" w:color="646464"/>
              <w:right w:val="single" w:sz="8" w:color="646464"/>
            </w:tcBorders>
            <w:vMerge w:val="restart"/>
          </w:tcPr>
          <w:p>
            <w:pPr>
              <w:ind w:left="40"/>
              <w:spacing w:after="0" w:line="195" w:lineRule="exact"/>
              <w:rPr>
                <w:sz w:val="20"/>
                <w:szCs w:val="20"/>
                <w:color w:val="auto"/>
              </w:rPr>
            </w:pPr>
            <w:r>
              <w:rPr>
                <w:rFonts w:ascii="Arial" w:cs="Arial" w:eastAsia="Arial" w:hAnsi="Arial"/>
                <w:sz w:val="18"/>
                <w:szCs w:val="18"/>
                <w:b w:val="1"/>
                <w:bCs w:val="1"/>
                <w:color w:val="auto"/>
              </w:rPr>
              <w:t>Mibanco</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rPr>
              <w:t>13,023</w:t>
            </w:r>
          </w:p>
        </w:tc>
        <w:tc>
          <w:tcPr>
            <w:tcW w:w="76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8"/>
              </w:rPr>
              <w:t>13,582</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w w:val="98"/>
              </w:rPr>
              <w:t>14,172</w:t>
            </w:r>
          </w:p>
        </w:tc>
        <w:tc>
          <w:tcPr>
            <w:tcW w:w="760" w:type="dxa"/>
            <w:vAlign w:val="bottom"/>
          </w:tcPr>
          <w:p>
            <w:pPr>
              <w:spacing w:after="0" w:line="20" w:lineRule="exact"/>
              <w:rPr>
                <w:sz w:val="1"/>
                <w:szCs w:val="1"/>
                <w:color w:val="auto"/>
              </w:rPr>
            </w:pPr>
          </w:p>
        </w:tc>
        <w:tc>
          <w:tcPr>
            <w:tcW w:w="82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rPr>
              <w:t>1,149</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4.3%</w:t>
            </w:r>
          </w:p>
        </w:tc>
        <w:tc>
          <w:tcPr>
            <w:tcW w:w="80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8.8%</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9.3%</w:t>
            </w:r>
          </w:p>
        </w:tc>
        <w:tc>
          <w:tcPr>
            <w:tcW w:w="780" w:type="dxa"/>
            <w:vAlign w:val="bottom"/>
            <w:vMerge w:val="restart"/>
          </w:tcPr>
          <w:p>
            <w:pPr>
              <w:jc w:val="center"/>
              <w:spacing w:after="0" w:line="195" w:lineRule="exact"/>
              <w:rPr>
                <w:sz w:val="20"/>
                <w:szCs w:val="20"/>
                <w:color w:val="auto"/>
              </w:rPr>
            </w:pPr>
            <w:r>
              <w:rPr>
                <w:rFonts w:ascii="Arial" w:cs="Arial" w:eastAsia="Arial" w:hAnsi="Arial"/>
                <w:sz w:val="18"/>
                <w:szCs w:val="18"/>
                <w:b w:val="1"/>
                <w:bCs w:val="1"/>
                <w:color w:val="auto"/>
                <w:w w:val="97"/>
              </w:rPr>
              <w:t>9.5%</w:t>
            </w:r>
          </w:p>
        </w:tc>
        <w:tc>
          <w:tcPr>
            <w:tcW w:w="820" w:type="dxa"/>
            <w:vAlign w:val="bottom"/>
            <w:tcBorders>
              <w:right w:val="single" w:sz="8" w:color="646464"/>
            </w:tcBorders>
            <w:vMerge w:val="restart"/>
          </w:tcPr>
          <w:p>
            <w:pPr>
              <w:jc w:val="center"/>
              <w:spacing w:after="0" w:line="195" w:lineRule="exact"/>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line="20" w:lineRule="exact"/>
              <w:rPr>
                <w:sz w:val="1"/>
                <w:szCs w:val="1"/>
                <w:color w:val="auto"/>
              </w:rPr>
            </w:pPr>
          </w:p>
        </w:tc>
      </w:tr>
      <w:tr>
        <w:trPr>
          <w:trHeight w:val="175"/>
        </w:trPr>
        <w:tc>
          <w:tcPr>
            <w:tcW w:w="2260" w:type="dxa"/>
            <w:vAlign w:val="bottom"/>
            <w:tcBorders>
              <w:left w:val="single" w:sz="8" w:color="646464"/>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60" w:type="dxa"/>
            <w:vAlign w:val="bottom"/>
            <w:tcBorders>
              <w:bottom w:val="single" w:sz="8" w:color="26D07C"/>
            </w:tcBorders>
            <w:shd w:val="clear" w:color="auto" w:fill="26D07C"/>
          </w:tcPr>
          <w:p>
            <w:pPr>
              <w:jc w:val="center"/>
              <w:spacing w:after="0" w:line="174" w:lineRule="exact"/>
              <w:rPr>
                <w:sz w:val="20"/>
                <w:szCs w:val="20"/>
                <w:color w:val="auto"/>
              </w:rPr>
            </w:pPr>
            <w:r>
              <w:rPr>
                <w:rFonts w:ascii="Arial" w:cs="Arial" w:eastAsia="Arial" w:hAnsi="Arial"/>
                <w:sz w:val="18"/>
                <w:szCs w:val="18"/>
                <w:b w:val="1"/>
                <w:bCs w:val="1"/>
                <w:color w:val="auto"/>
                <w:w w:val="99"/>
              </w:rPr>
              <w:t>589</w:t>
            </w:r>
          </w:p>
        </w:tc>
        <w:tc>
          <w:tcPr>
            <w:tcW w:w="820" w:type="dxa"/>
            <w:vAlign w:val="bottom"/>
            <w:tcBorders>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tcBorders>
              <w:right w:val="single" w:sz="8" w:color="646464"/>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tcBorders>
              <w:right w:val="single" w:sz="8" w:color="64646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Borders>
              <w:left w:val="single" w:sz="8" w:color="646464"/>
              <w:right w:val="single" w:sz="8" w:color="646464"/>
            </w:tcBorders>
          </w:tcPr>
          <w:p>
            <w:pPr>
              <w:ind w:left="40"/>
              <w:spacing w:after="0" w:line="174" w:lineRule="exact"/>
              <w:rPr>
                <w:sz w:val="20"/>
                <w:szCs w:val="20"/>
                <w:color w:val="auto"/>
              </w:rPr>
            </w:pPr>
            <w:r>
              <w:rPr>
                <w:rFonts w:ascii="Arial" w:cs="Arial" w:eastAsia="Arial" w:hAnsi="Arial"/>
                <w:sz w:val="18"/>
                <w:szCs w:val="18"/>
                <w:b w:val="1"/>
                <w:bCs w:val="1"/>
                <w:color w:val="auto"/>
              </w:rPr>
              <w:t>Mibanco Colombia</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3"/>
              </w:rPr>
              <w:t>963</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1,077</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rPr>
              <w:t>1,152</w:t>
            </w:r>
          </w:p>
        </w:tc>
        <w:tc>
          <w:tcPr>
            <w:tcW w:w="7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9"/>
              </w:rPr>
              <w:t>74</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w w:val="99"/>
              </w:rPr>
              <w:t>189</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6.9%</w:t>
            </w:r>
          </w:p>
        </w:tc>
        <w:tc>
          <w:tcPr>
            <w:tcW w:w="80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w w:val="97"/>
              </w:rPr>
              <w:t>19.7%</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0.7%</w:t>
            </w:r>
          </w:p>
        </w:tc>
        <w:tc>
          <w:tcPr>
            <w:tcW w:w="78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0.8%</w:t>
            </w:r>
          </w:p>
        </w:tc>
        <w:tc>
          <w:tcPr>
            <w:tcW w:w="820" w:type="dxa"/>
            <w:vAlign w:val="bottom"/>
            <w:tcBorders>
              <w:right w:val="single" w:sz="8" w:color="646464"/>
            </w:tcBorders>
          </w:tcPr>
          <w:p>
            <w:pPr>
              <w:jc w:val="center"/>
              <w:spacing w:after="0" w:line="174" w:lineRule="exact"/>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195"/>
        </w:trPr>
        <w:tc>
          <w:tcPr>
            <w:tcW w:w="2260" w:type="dxa"/>
            <w:vAlign w:val="bottom"/>
            <w:tcBorders>
              <w:left w:val="single" w:sz="8" w:color="646464"/>
              <w:right w:val="single" w:sz="8" w:color="646464"/>
            </w:tcBorders>
          </w:tcPr>
          <w:p>
            <w:pPr>
              <w:ind w:left="40"/>
              <w:spacing w:after="0" w:line="195" w:lineRule="exact"/>
              <w:rPr>
                <w:sz w:val="20"/>
                <w:szCs w:val="20"/>
                <w:color w:val="auto"/>
              </w:rPr>
            </w:pPr>
            <w:r>
              <w:rPr>
                <w:rFonts w:ascii="Arial" w:cs="Arial" w:eastAsia="Arial" w:hAnsi="Arial"/>
                <w:sz w:val="18"/>
                <w:szCs w:val="18"/>
                <w:b w:val="1"/>
                <w:bCs w:val="1"/>
                <w:color w:val="auto"/>
              </w:rPr>
              <w:t>Bolivia</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8,747</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8,602</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8,622</w:t>
            </w:r>
          </w:p>
        </w:tc>
        <w:tc>
          <w:tcPr>
            <w:tcW w:w="7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20</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9"/>
              </w:rPr>
              <w:t>-125</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0.2%</w:t>
            </w:r>
          </w:p>
        </w:tc>
        <w:tc>
          <w:tcPr>
            <w:tcW w:w="80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-1.4%</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6.3%</w:t>
            </w: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6.0%</w:t>
            </w:r>
          </w:p>
        </w:tc>
        <w:tc>
          <w:tcPr>
            <w:tcW w:w="820" w:type="dxa"/>
            <w:vAlign w:val="bottom"/>
            <w:tcBorders>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20"/>
        </w:trPr>
        <w:tc>
          <w:tcPr>
            <w:tcW w:w="2260" w:type="dxa"/>
            <w:vAlign w:val="bottom"/>
            <w:tcBorders>
              <w:left w:val="single" w:sz="8" w:color="646464"/>
              <w:bottom w:val="single" w:sz="8" w:color="646464"/>
              <w:right w:val="single" w:sz="8" w:color="646464"/>
            </w:tcBorders>
          </w:tcPr>
          <w:p>
            <w:pPr>
              <w:ind w:left="40"/>
              <w:spacing w:after="0"/>
              <w:rPr>
                <w:sz w:val="20"/>
                <w:szCs w:val="20"/>
                <w:color w:val="auto"/>
              </w:rPr>
            </w:pPr>
            <w:r>
              <w:rPr>
                <w:rFonts w:ascii="Arial" w:cs="Arial" w:eastAsia="Arial" w:hAnsi="Arial"/>
                <w:sz w:val="18"/>
                <w:szCs w:val="18"/>
                <w:b w:val="1"/>
                <w:bCs w:val="1"/>
                <w:color w:val="auto"/>
              </w:rPr>
              <w:t>ASB</w:t>
            </w:r>
          </w:p>
        </w:tc>
        <w:tc>
          <w:tcPr>
            <w:tcW w:w="78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7"/>
              </w:rPr>
              <w:t>2,402</w:t>
            </w:r>
          </w:p>
        </w:tc>
        <w:tc>
          <w:tcPr>
            <w:tcW w:w="76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7"/>
              </w:rPr>
              <w:t>2,103</w:t>
            </w:r>
          </w:p>
        </w:tc>
        <w:tc>
          <w:tcPr>
            <w:tcW w:w="800" w:type="dxa"/>
            <w:vAlign w:val="bottom"/>
            <w:tcBorders>
              <w:bottom w:val="single" w:sz="8" w:color="646464"/>
              <w:right w:val="single" w:sz="8" w:color="646464"/>
            </w:tcBorders>
          </w:tcPr>
          <w:p>
            <w:pPr>
              <w:jc w:val="center"/>
              <w:spacing w:after="0"/>
              <w:rPr>
                <w:sz w:val="20"/>
                <w:szCs w:val="20"/>
                <w:color w:val="auto"/>
              </w:rPr>
            </w:pPr>
            <w:r>
              <w:rPr>
                <w:rFonts w:ascii="Arial" w:cs="Arial" w:eastAsia="Arial" w:hAnsi="Arial"/>
                <w:sz w:val="18"/>
                <w:szCs w:val="18"/>
                <w:b w:val="1"/>
                <w:bCs w:val="1"/>
                <w:color w:val="auto"/>
              </w:rPr>
              <w:t>2,030</w:t>
            </w:r>
          </w:p>
        </w:tc>
        <w:tc>
          <w:tcPr>
            <w:tcW w:w="76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9"/>
              </w:rPr>
              <w:t>-73</w:t>
            </w:r>
          </w:p>
        </w:tc>
        <w:tc>
          <w:tcPr>
            <w:tcW w:w="820" w:type="dxa"/>
            <w:vAlign w:val="bottom"/>
            <w:tcBorders>
              <w:bottom w:val="single" w:sz="8" w:color="646464"/>
              <w:right w:val="single" w:sz="8" w:color="646464"/>
            </w:tcBorders>
          </w:tcPr>
          <w:p>
            <w:pPr>
              <w:jc w:val="center"/>
              <w:spacing w:after="0"/>
              <w:rPr>
                <w:sz w:val="20"/>
                <w:szCs w:val="20"/>
                <w:color w:val="auto"/>
              </w:rPr>
            </w:pPr>
            <w:r>
              <w:rPr>
                <w:rFonts w:ascii="Arial" w:cs="Arial" w:eastAsia="Arial" w:hAnsi="Arial"/>
                <w:sz w:val="18"/>
                <w:szCs w:val="18"/>
                <w:b w:val="1"/>
                <w:bCs w:val="1"/>
                <w:color w:val="auto"/>
                <w:w w:val="99"/>
              </w:rPr>
              <w:t>-372</w:t>
            </w:r>
          </w:p>
        </w:tc>
        <w:tc>
          <w:tcPr>
            <w:tcW w:w="78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7"/>
              </w:rPr>
              <w:t>-3.5%</w:t>
            </w:r>
          </w:p>
        </w:tc>
        <w:tc>
          <w:tcPr>
            <w:tcW w:w="800" w:type="dxa"/>
            <w:vAlign w:val="bottom"/>
            <w:tcBorders>
              <w:bottom w:val="single" w:sz="8" w:color="646464"/>
              <w:right w:val="single" w:sz="8" w:color="646464"/>
            </w:tcBorders>
          </w:tcPr>
          <w:p>
            <w:pPr>
              <w:jc w:val="center"/>
              <w:spacing w:after="0"/>
              <w:rPr>
                <w:sz w:val="20"/>
                <w:szCs w:val="20"/>
                <w:color w:val="auto"/>
              </w:rPr>
            </w:pPr>
            <w:r>
              <w:rPr>
                <w:rFonts w:ascii="Arial" w:cs="Arial" w:eastAsia="Arial" w:hAnsi="Arial"/>
                <w:sz w:val="18"/>
                <w:szCs w:val="18"/>
                <w:b w:val="1"/>
                <w:bCs w:val="1"/>
                <w:color w:val="auto"/>
                <w:w w:val="98"/>
              </w:rPr>
              <w:t>-15.5%</w:t>
            </w:r>
          </w:p>
        </w:tc>
        <w:tc>
          <w:tcPr>
            <w:tcW w:w="78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7"/>
              </w:rPr>
              <w:t>1.7%</w:t>
            </w:r>
          </w:p>
        </w:tc>
        <w:tc>
          <w:tcPr>
            <w:tcW w:w="780" w:type="dxa"/>
            <w:vAlign w:val="bottom"/>
            <w:tcBorders>
              <w:bottom w:val="single" w:sz="8" w:color="646464"/>
            </w:tcBorders>
          </w:tcPr>
          <w:p>
            <w:pPr>
              <w:jc w:val="center"/>
              <w:spacing w:after="0"/>
              <w:rPr>
                <w:sz w:val="20"/>
                <w:szCs w:val="20"/>
                <w:color w:val="auto"/>
              </w:rPr>
            </w:pPr>
            <w:r>
              <w:rPr>
                <w:rFonts w:ascii="Arial" w:cs="Arial" w:eastAsia="Arial" w:hAnsi="Arial"/>
                <w:sz w:val="18"/>
                <w:szCs w:val="18"/>
                <w:b w:val="1"/>
                <w:bCs w:val="1"/>
                <w:color w:val="auto"/>
                <w:w w:val="97"/>
              </w:rPr>
              <w:t>1.5%</w:t>
            </w:r>
          </w:p>
        </w:tc>
        <w:tc>
          <w:tcPr>
            <w:tcW w:w="820" w:type="dxa"/>
            <w:vAlign w:val="bottom"/>
            <w:tcBorders>
              <w:bottom w:val="single" w:sz="8" w:color="646464"/>
              <w:right w:val="single" w:sz="8" w:color="646464"/>
            </w:tcBorders>
          </w:tcPr>
          <w:p>
            <w:pPr>
              <w:jc w:val="center"/>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99"/>
        </w:trPr>
        <w:tc>
          <w:tcPr>
            <w:tcW w:w="2260" w:type="dxa"/>
            <w:vAlign w:val="bottom"/>
            <w:tcBorders>
              <w:left w:val="single" w:sz="8" w:color="646464"/>
              <w:bottom w:val="single" w:sz="8" w:color="646464"/>
              <w:right w:val="single" w:sz="8" w:color="646464"/>
            </w:tcBorders>
          </w:tcPr>
          <w:p>
            <w:pPr>
              <w:ind w:left="40"/>
              <w:spacing w:after="0" w:line="195" w:lineRule="exact"/>
              <w:rPr>
                <w:sz w:val="20"/>
                <w:szCs w:val="20"/>
                <w:color w:val="auto"/>
              </w:rPr>
            </w:pPr>
            <w:r>
              <w:rPr>
                <w:rFonts w:ascii="Arial" w:cs="Arial" w:eastAsia="Arial" w:hAnsi="Arial"/>
                <w:sz w:val="18"/>
                <w:szCs w:val="18"/>
                <w:b w:val="1"/>
                <w:bCs w:val="1"/>
                <w:color w:val="auto"/>
              </w:rPr>
              <w:t>BAP's total loans</w:t>
            </w:r>
          </w:p>
        </w:tc>
        <w:tc>
          <w:tcPr>
            <w:tcW w:w="78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139,570</w:t>
            </w:r>
          </w:p>
        </w:tc>
        <w:tc>
          <w:tcPr>
            <w:tcW w:w="76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143,613</w:t>
            </w:r>
          </w:p>
        </w:tc>
        <w:tc>
          <w:tcPr>
            <w:tcW w:w="800" w:type="dxa"/>
            <w:vAlign w:val="bottom"/>
            <w:tcBorders>
              <w:bottom w:val="single" w:sz="8" w:color="646464"/>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146,275</w:t>
            </w:r>
          </w:p>
        </w:tc>
        <w:tc>
          <w:tcPr>
            <w:tcW w:w="76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2,662</w:t>
            </w:r>
          </w:p>
        </w:tc>
        <w:tc>
          <w:tcPr>
            <w:tcW w:w="820" w:type="dxa"/>
            <w:vAlign w:val="bottom"/>
            <w:tcBorders>
              <w:bottom w:val="single" w:sz="8" w:color="646464"/>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6,704</w:t>
            </w:r>
          </w:p>
        </w:tc>
        <w:tc>
          <w:tcPr>
            <w:tcW w:w="78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1.9%</w:t>
            </w:r>
          </w:p>
        </w:tc>
        <w:tc>
          <w:tcPr>
            <w:tcW w:w="800" w:type="dxa"/>
            <w:vAlign w:val="bottom"/>
            <w:tcBorders>
              <w:bottom w:val="single" w:sz="8" w:color="646464"/>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7"/>
              </w:rPr>
              <w:t>4.8%</w:t>
            </w:r>
          </w:p>
        </w:tc>
        <w:tc>
          <w:tcPr>
            <w:tcW w:w="78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100.0%</w:t>
            </w:r>
          </w:p>
        </w:tc>
        <w:tc>
          <w:tcPr>
            <w:tcW w:w="780" w:type="dxa"/>
            <w:vAlign w:val="bottom"/>
            <w:tcBorders>
              <w:bottom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w w:val="98"/>
              </w:rPr>
              <w:t>100.0%</w:t>
            </w:r>
          </w:p>
        </w:tc>
        <w:tc>
          <w:tcPr>
            <w:tcW w:w="820" w:type="dxa"/>
            <w:vAlign w:val="bottom"/>
            <w:tcBorders>
              <w:bottom w:val="single" w:sz="8" w:color="646464"/>
              <w:right w:val="single" w:sz="8" w:color="646464"/>
            </w:tcBorders>
          </w:tcPr>
          <w:p>
            <w:pPr>
              <w:jc w:val="center"/>
              <w:spacing w:after="0" w:line="195" w:lineRule="exact"/>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
        <w:spacing w:after="0"/>
        <w:rPr>
          <w:sz w:val="20"/>
          <w:szCs w:val="20"/>
          <w:color w:val="auto"/>
        </w:rPr>
      </w:pPr>
      <w:r>
        <w:rPr>
          <w:rFonts w:ascii="Arial" w:cs="Arial" w:eastAsia="Arial" w:hAnsi="Arial"/>
          <w:sz w:val="11"/>
          <w:szCs w:val="11"/>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17780</wp:posOffset>
            </wp:positionV>
            <wp:extent cx="113665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6650" cy="231775"/>
                    </a:xfrm>
                    <a:prstGeom prst="rect">
                      <a:avLst/>
                    </a:prstGeom>
                    <a:noFill/>
                  </pic:spPr>
                </pic:pic>
              </a:graphicData>
            </a:graphic>
          </wp:anchor>
        </w:drawing>
      </w:r>
    </w:p>
    <w:p>
      <w:pPr>
        <w:spacing w:after="0" w:line="61" w:lineRule="exact"/>
        <w:rPr>
          <w:sz w:val="20"/>
          <w:szCs w:val="20"/>
          <w:color w:val="auto"/>
        </w:rPr>
      </w:pPr>
    </w:p>
    <w:p>
      <w:pPr>
        <w:ind w:left="163" w:hanging="163"/>
        <w:spacing w:after="0"/>
        <w:tabs>
          <w:tab w:leader="none" w:pos="163"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Includes Work out unit, and other banking. For Quarter-end Balances figures, please refer to “12. Annexes – 12.2 Loan Portfolio Quality”.</w:t>
      </w:r>
    </w:p>
    <w:p>
      <w:pPr>
        <w:spacing w:after="0" w:line="5" w:lineRule="exact"/>
        <w:rPr>
          <w:rFonts w:ascii="Arial" w:cs="Arial" w:eastAsia="Arial" w:hAnsi="Arial"/>
          <w:sz w:val="11"/>
          <w:szCs w:val="11"/>
          <w:color w:val="auto"/>
        </w:rPr>
      </w:pPr>
    </w:p>
    <w:p>
      <w:pPr>
        <w:ind w:left="163" w:hanging="163"/>
        <w:spacing w:after="0"/>
        <w:tabs>
          <w:tab w:leader="none" w:pos="163"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248" w:lineRule="exact"/>
        <w:rPr>
          <w:sz w:val="20"/>
          <w:szCs w:val="20"/>
          <w:color w:val="auto"/>
        </w:rPr>
      </w:pPr>
    </w:p>
    <w:p>
      <w:pPr>
        <w:jc w:val="both"/>
        <w:ind w:left="3" w:right="300"/>
        <w:spacing w:after="0" w:line="260" w:lineRule="auto"/>
        <w:rPr>
          <w:sz w:val="20"/>
          <w:szCs w:val="20"/>
          <w:color w:val="auto"/>
        </w:rPr>
      </w:pPr>
      <w:r>
        <w:rPr>
          <w:rFonts w:ascii="Times New Roman" w:cs="Times New Roman" w:eastAsia="Times New Roman" w:hAnsi="Times New Roman"/>
          <w:sz w:val="19"/>
          <w:szCs w:val="19"/>
          <w:color w:val="auto"/>
        </w:rPr>
        <w:t>QoQ and YoY, loans were affected by amortizations of GP loans. This effect was more than offset by growth in the structural loan portfolio. Note that in 3Q22, new reprogramming facilities will be rolled out for Reactiva Peru loans that fulfill certain requirements. Accordingly, we expect GP loan amortization levels to drop slightly in coming quarters.</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type w:val="continuous"/>
        </w:sectPr>
      </w:pPr>
    </w:p>
    <w:bookmarkStart w:id="18" w:name="page19"/>
    <w:bookmarkEnd w:id="18"/>
    <w:p>
      <w:pPr>
        <w:ind w:left="2043"/>
        <w:spacing w:after="0"/>
        <w:tabs>
          <w:tab w:leader="none" w:pos="7922"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9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Evolution of the Dollarization Level of Loans per Segment (in Average Daily Balances)</w:t>
      </w:r>
      <w:r>
        <w:rPr>
          <w:rFonts w:ascii="Times New Roman" w:cs="Times New Roman" w:eastAsia="Times New Roman" w:hAnsi="Times New Roman"/>
          <w:sz w:val="27"/>
          <w:szCs w:val="27"/>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84455</wp:posOffset>
            </wp:positionV>
            <wp:extent cx="7620" cy="2118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20" cy="2118995"/>
                    </a:xfrm>
                    <a:prstGeom prst="rect">
                      <a:avLst/>
                    </a:prstGeom>
                    <a:noFill/>
                  </pic:spPr>
                </pic:pic>
              </a:graphicData>
            </a:graphic>
          </wp:anchor>
        </w:drawing>
      </w:r>
    </w:p>
    <w:p>
      <w:pPr>
        <w:spacing w:after="0" w:line="93" w:lineRule="exact"/>
        <w:rPr>
          <w:sz w:val="20"/>
          <w:szCs w:val="20"/>
          <w:color w:val="auto"/>
        </w:rPr>
      </w:pPr>
    </w:p>
    <w:tbl>
      <w:tblPr>
        <w:tblLayout w:type="fixed"/>
        <w:tblInd w:w="13" w:type="dxa"/>
        <w:tblCellMar>
          <w:top w:w="0" w:type="dxa"/>
          <w:left w:w="0" w:type="dxa"/>
          <w:bottom w:w="0" w:type="dxa"/>
          <w:right w:w="0" w:type="dxa"/>
        </w:tblCellMar>
      </w:tblPr>
      <w:tr>
        <w:trPr>
          <w:trHeight w:val="183"/>
        </w:trPr>
        <w:tc>
          <w:tcPr>
            <w:tcW w:w="108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Total Loans</w:t>
            </w:r>
          </w:p>
        </w:tc>
        <w:tc>
          <w:tcPr>
            <w:tcW w:w="2920" w:type="dxa"/>
            <w:vAlign w:val="bottom"/>
            <w:tcBorders>
              <w:top w:val="single" w:sz="8" w:color="auto"/>
            </w:tcBorders>
            <w:gridSpan w:val="5"/>
            <w:shd w:val="clear" w:color="auto" w:fill="33CCCC"/>
          </w:tcPr>
          <w:p>
            <w:pPr>
              <w:jc w:val="right"/>
              <w:ind w:right="155"/>
              <w:spacing w:after="0"/>
              <w:rPr>
                <w:sz w:val="20"/>
                <w:szCs w:val="20"/>
                <w:color w:val="auto"/>
              </w:rPr>
            </w:pPr>
            <w:r>
              <w:rPr>
                <w:rFonts w:ascii="Arial" w:cs="Arial" w:eastAsia="Arial" w:hAnsi="Arial"/>
                <w:sz w:val="13"/>
                <w:szCs w:val="13"/>
                <w:b w:val="1"/>
                <w:bCs w:val="1"/>
                <w:color w:val="FFFFFF"/>
              </w:rPr>
              <w:t>Local Currency (LC) - S/ millions</w:t>
            </w:r>
          </w:p>
        </w:tc>
        <w:tc>
          <w:tcPr>
            <w:tcW w:w="480" w:type="dxa"/>
            <w:vAlign w:val="bottom"/>
            <w:tcBorders>
              <w:top w:val="single" w:sz="8" w:color="auto"/>
              <w:right w:val="single" w:sz="8" w:color="auto"/>
            </w:tcBorders>
            <w:shd w:val="clear" w:color="auto" w:fill="33CCCC"/>
          </w:tcPr>
          <w:p>
            <w:pPr>
              <w:spacing w:after="0"/>
              <w:rPr>
                <w:sz w:val="15"/>
                <w:szCs w:val="15"/>
                <w:color w:val="auto"/>
              </w:rPr>
            </w:pPr>
          </w:p>
        </w:tc>
        <w:tc>
          <w:tcPr>
            <w:tcW w:w="60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8"/>
              </w:rPr>
              <w:t>% change</w:t>
            </w:r>
          </w:p>
        </w:tc>
        <w:tc>
          <w:tcPr>
            <w:tcW w:w="460" w:type="dxa"/>
            <w:vAlign w:val="bottom"/>
            <w:tcBorders>
              <w:top w:val="single" w:sz="8" w:color="auto"/>
            </w:tcBorders>
            <w:shd w:val="clear" w:color="auto" w:fill="33CCCC"/>
          </w:tcPr>
          <w:p>
            <w:pPr>
              <w:spacing w:after="0"/>
              <w:rPr>
                <w:sz w:val="15"/>
                <w:szCs w:val="15"/>
                <w:color w:val="auto"/>
              </w:rPr>
            </w:pPr>
          </w:p>
        </w:tc>
        <w:tc>
          <w:tcPr>
            <w:tcW w:w="3540" w:type="dxa"/>
            <w:vAlign w:val="bottom"/>
            <w:tcBorders>
              <w:top w:val="single" w:sz="8" w:color="auto"/>
              <w:right w:val="single" w:sz="8" w:color="auto"/>
            </w:tcBorders>
            <w:gridSpan w:val="5"/>
            <w:shd w:val="clear" w:color="auto" w:fill="33CCCC"/>
          </w:tcPr>
          <w:p>
            <w:pPr>
              <w:spacing w:after="0"/>
              <w:rPr>
                <w:sz w:val="20"/>
                <w:szCs w:val="20"/>
                <w:color w:val="auto"/>
              </w:rPr>
            </w:pPr>
            <w:r>
              <w:rPr>
                <w:rFonts w:ascii="Arial" w:cs="Arial" w:eastAsia="Arial" w:hAnsi="Arial"/>
                <w:sz w:val="13"/>
                <w:szCs w:val="13"/>
                <w:b w:val="1"/>
                <w:bCs w:val="1"/>
                <w:color w:val="FFFFFF"/>
                <w:w w:val="99"/>
              </w:rPr>
              <w:t>% Structural changeForeign Currency (FC) - US$ millions</w:t>
            </w:r>
          </w:p>
        </w:tc>
        <w:tc>
          <w:tcPr>
            <w:tcW w:w="90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3"/>
                <w:szCs w:val="13"/>
                <w:b w:val="1"/>
                <w:bCs w:val="1"/>
                <w:color w:val="FFFFFF"/>
                <w:w w:val="98"/>
              </w:rPr>
              <w:t>% change</w:t>
            </w:r>
          </w:p>
        </w:tc>
        <w:tc>
          <w:tcPr>
            <w:tcW w:w="1260" w:type="dxa"/>
            <w:vAlign w:val="bottom"/>
            <w:tcBorders>
              <w:top w:val="single" w:sz="8" w:color="auto"/>
            </w:tcBorders>
            <w:gridSpan w:val="2"/>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 part. by currency</w:t>
            </w:r>
          </w:p>
        </w:tc>
        <w:tc>
          <w:tcPr>
            <w:tcW w:w="20" w:type="dxa"/>
            <w:vAlign w:val="bottom"/>
            <w:tcBorders>
              <w:top w:val="single" w:sz="8" w:color="auto"/>
            </w:tcBorders>
            <w:shd w:val="clear" w:color="auto" w:fill="000000"/>
          </w:tcPr>
          <w:p>
            <w:pPr>
              <w:spacing w:after="0"/>
              <w:rPr>
                <w:sz w:val="15"/>
                <w:szCs w:val="15"/>
                <w:color w:val="auto"/>
              </w:rPr>
            </w:pPr>
          </w:p>
        </w:tc>
      </w:tr>
      <w:tr>
        <w:trPr>
          <w:trHeight w:val="171"/>
        </w:trPr>
        <w:tc>
          <w:tcPr>
            <w:tcW w:w="1080" w:type="dxa"/>
            <w:vAlign w:val="bottom"/>
            <w:tcBorders>
              <w:left w:val="single" w:sz="8" w:color="auto"/>
              <w:right w:val="single" w:sz="8" w:color="auto"/>
            </w:tcBorders>
            <w:shd w:val="clear" w:color="auto" w:fill="33CCCC"/>
          </w:tcPr>
          <w:p>
            <w:pPr>
              <w:spacing w:after="0"/>
              <w:rPr>
                <w:sz w:val="14"/>
                <w:szCs w:val="14"/>
                <w:color w:val="auto"/>
              </w:rPr>
            </w:pPr>
          </w:p>
        </w:tc>
        <w:tc>
          <w:tcPr>
            <w:tcW w:w="780" w:type="dxa"/>
            <w:vAlign w:val="bottom"/>
            <w:shd w:val="clear" w:color="auto" w:fill="33CCCC"/>
          </w:tcPr>
          <w:p>
            <w:pPr>
              <w:spacing w:after="0"/>
              <w:rPr>
                <w:sz w:val="14"/>
                <w:szCs w:val="14"/>
                <w:color w:val="auto"/>
              </w:rPr>
            </w:pPr>
          </w:p>
        </w:tc>
        <w:tc>
          <w:tcPr>
            <w:tcW w:w="660" w:type="dxa"/>
            <w:vAlign w:val="bottom"/>
            <w:shd w:val="clear" w:color="auto" w:fill="33CCCC"/>
          </w:tcPr>
          <w:p>
            <w:pPr>
              <w:jc w:val="right"/>
              <w:ind w:right="215"/>
              <w:spacing w:after="0"/>
              <w:rPr>
                <w:sz w:val="20"/>
                <w:szCs w:val="20"/>
                <w:color w:val="auto"/>
              </w:rPr>
            </w:pPr>
            <w:r>
              <w:rPr>
                <w:rFonts w:ascii="Arial" w:cs="Arial" w:eastAsia="Arial" w:hAnsi="Arial"/>
                <w:sz w:val="13"/>
                <w:szCs w:val="13"/>
                <w:b w:val="1"/>
                <w:bCs w:val="1"/>
                <w:color w:val="FFFFFF"/>
              </w:rPr>
              <w:t>Total</w:t>
            </w:r>
          </w:p>
        </w:tc>
        <w:tc>
          <w:tcPr>
            <w:tcW w:w="600" w:type="dxa"/>
            <w:vAlign w:val="bottom"/>
            <w:shd w:val="clear" w:color="auto" w:fill="33CCCC"/>
          </w:tcPr>
          <w:p>
            <w:pPr>
              <w:spacing w:after="0"/>
              <w:rPr>
                <w:sz w:val="14"/>
                <w:szCs w:val="14"/>
                <w:color w:val="auto"/>
              </w:rPr>
            </w:pPr>
          </w:p>
        </w:tc>
        <w:tc>
          <w:tcPr>
            <w:tcW w:w="1360" w:type="dxa"/>
            <w:vAlign w:val="bottom"/>
            <w:tcBorders>
              <w:right w:val="single" w:sz="8" w:color="auto"/>
            </w:tcBorders>
            <w:gridSpan w:val="3"/>
            <w:shd w:val="clear" w:color="auto" w:fill="33CCCC"/>
          </w:tcPr>
          <w:p>
            <w:pPr>
              <w:ind w:left="360"/>
              <w:spacing w:after="0"/>
              <w:rPr>
                <w:sz w:val="20"/>
                <w:szCs w:val="20"/>
                <w:color w:val="auto"/>
              </w:rPr>
            </w:pPr>
            <w:r>
              <w:rPr>
                <w:rFonts w:ascii="Arial" w:cs="Arial" w:eastAsia="Arial" w:hAnsi="Arial"/>
                <w:sz w:val="13"/>
                <w:szCs w:val="13"/>
                <w:b w:val="1"/>
                <w:bCs w:val="1"/>
                <w:color w:val="FFFFFF"/>
              </w:rPr>
              <w:t>Structural</w:t>
            </w:r>
          </w:p>
        </w:tc>
        <w:tc>
          <w:tcPr>
            <w:tcW w:w="600" w:type="dxa"/>
            <w:vAlign w:val="bottom"/>
            <w:shd w:val="clear" w:color="auto" w:fill="33CCCC"/>
          </w:tcPr>
          <w:p>
            <w:pPr>
              <w:spacing w:after="0"/>
              <w:rPr>
                <w:sz w:val="14"/>
                <w:szCs w:val="14"/>
                <w:color w:val="auto"/>
              </w:rPr>
            </w:pPr>
          </w:p>
        </w:tc>
        <w:tc>
          <w:tcPr>
            <w:tcW w:w="460" w:type="dxa"/>
            <w:vAlign w:val="bottom"/>
            <w:shd w:val="clear" w:color="auto" w:fill="33CCCC"/>
          </w:tcPr>
          <w:p>
            <w:pPr>
              <w:spacing w:after="0"/>
              <w:rPr>
                <w:sz w:val="14"/>
                <w:szCs w:val="14"/>
                <w:color w:val="auto"/>
              </w:rPr>
            </w:pPr>
          </w:p>
        </w:tc>
        <w:tc>
          <w:tcPr>
            <w:tcW w:w="600" w:type="dxa"/>
            <w:vAlign w:val="bottom"/>
            <w:shd w:val="clear" w:color="auto" w:fill="33CCCC"/>
          </w:tcPr>
          <w:p>
            <w:pPr>
              <w:spacing w:after="0"/>
              <w:rPr>
                <w:sz w:val="14"/>
                <w:szCs w:val="14"/>
                <w:color w:val="auto"/>
              </w:rPr>
            </w:pPr>
          </w:p>
        </w:tc>
        <w:tc>
          <w:tcPr>
            <w:tcW w:w="660" w:type="dxa"/>
            <w:vAlign w:val="bottom"/>
            <w:shd w:val="clear" w:color="auto" w:fill="33CCCC"/>
          </w:tcPr>
          <w:p>
            <w:pPr>
              <w:spacing w:after="0"/>
              <w:rPr>
                <w:sz w:val="14"/>
                <w:szCs w:val="14"/>
                <w:color w:val="auto"/>
              </w:rPr>
            </w:pPr>
          </w:p>
        </w:tc>
        <w:tc>
          <w:tcPr>
            <w:tcW w:w="740" w:type="dxa"/>
            <w:vAlign w:val="bottom"/>
            <w:shd w:val="clear" w:color="auto" w:fill="33CCCC"/>
          </w:tcPr>
          <w:p>
            <w:pPr>
              <w:spacing w:after="0"/>
              <w:rPr>
                <w:sz w:val="14"/>
                <w:szCs w:val="14"/>
                <w:color w:val="auto"/>
              </w:rPr>
            </w:pPr>
          </w:p>
        </w:tc>
        <w:tc>
          <w:tcPr>
            <w:tcW w:w="760" w:type="dxa"/>
            <w:vAlign w:val="bottom"/>
            <w:shd w:val="clear" w:color="auto" w:fill="33CCCC"/>
          </w:tcPr>
          <w:p>
            <w:pPr>
              <w:ind w:left="240"/>
              <w:spacing w:after="0"/>
              <w:rPr>
                <w:sz w:val="20"/>
                <w:szCs w:val="20"/>
                <w:color w:val="auto"/>
              </w:rPr>
            </w:pPr>
            <w:r>
              <w:rPr>
                <w:rFonts w:ascii="Arial" w:cs="Arial" w:eastAsia="Arial" w:hAnsi="Arial"/>
                <w:sz w:val="13"/>
                <w:szCs w:val="13"/>
                <w:b w:val="1"/>
                <w:bCs w:val="1"/>
                <w:color w:val="FFFFFF"/>
              </w:rPr>
              <w:t>Total</w:t>
            </w:r>
          </w:p>
        </w:tc>
        <w:tc>
          <w:tcPr>
            <w:tcW w:w="780" w:type="dxa"/>
            <w:vAlign w:val="bottom"/>
            <w:tcBorders>
              <w:right w:val="single" w:sz="8" w:color="auto"/>
            </w:tcBorders>
            <w:shd w:val="clear" w:color="auto" w:fill="33CCCC"/>
          </w:tcPr>
          <w:p>
            <w:pPr>
              <w:spacing w:after="0"/>
              <w:rPr>
                <w:sz w:val="14"/>
                <w:szCs w:val="14"/>
                <w:color w:val="auto"/>
              </w:rPr>
            </w:pPr>
          </w:p>
        </w:tc>
        <w:tc>
          <w:tcPr>
            <w:tcW w:w="420" w:type="dxa"/>
            <w:vAlign w:val="bottom"/>
            <w:shd w:val="clear" w:color="auto" w:fill="33CCCC"/>
          </w:tcPr>
          <w:p>
            <w:pPr>
              <w:spacing w:after="0"/>
              <w:rPr>
                <w:sz w:val="14"/>
                <w:szCs w:val="14"/>
                <w:color w:val="auto"/>
              </w:rPr>
            </w:pPr>
          </w:p>
        </w:tc>
        <w:tc>
          <w:tcPr>
            <w:tcW w:w="480" w:type="dxa"/>
            <w:vAlign w:val="bottom"/>
            <w:tcBorders>
              <w:right w:val="single" w:sz="8" w:color="auto"/>
            </w:tcBorders>
            <w:shd w:val="clear" w:color="auto" w:fill="33CCCC"/>
          </w:tcPr>
          <w:p>
            <w:pPr>
              <w:spacing w:after="0"/>
              <w:rPr>
                <w:sz w:val="14"/>
                <w:szCs w:val="14"/>
                <w:color w:val="auto"/>
              </w:rPr>
            </w:pPr>
          </w:p>
        </w:tc>
        <w:tc>
          <w:tcPr>
            <w:tcW w:w="1260" w:type="dxa"/>
            <w:vAlign w:val="bottom"/>
            <w:gridSpan w:val="2"/>
            <w:shd w:val="clear" w:color="auto" w:fill="33CCCC"/>
          </w:tcPr>
          <w:p>
            <w:pPr>
              <w:jc w:val="center"/>
              <w:spacing w:after="0"/>
              <w:rPr>
                <w:sz w:val="20"/>
                <w:szCs w:val="20"/>
                <w:color w:val="auto"/>
              </w:rPr>
            </w:pPr>
            <w:r>
              <w:rPr>
                <w:rFonts w:ascii="Arial" w:cs="Arial" w:eastAsia="Arial" w:hAnsi="Arial"/>
                <w:sz w:val="13"/>
                <w:szCs w:val="13"/>
                <w:b w:val="1"/>
                <w:bCs w:val="1"/>
                <w:color w:val="FFFFFF"/>
              </w:rPr>
              <w:t>Jun 22</w:t>
            </w:r>
          </w:p>
        </w:tc>
        <w:tc>
          <w:tcPr>
            <w:tcW w:w="20" w:type="dxa"/>
            <w:vAlign w:val="bottom"/>
          </w:tcPr>
          <w:p>
            <w:pPr>
              <w:spacing w:after="0"/>
              <w:rPr>
                <w:sz w:val="14"/>
                <w:szCs w:val="14"/>
                <w:color w:val="auto"/>
              </w:rPr>
            </w:pPr>
          </w:p>
        </w:tc>
      </w:tr>
      <w:tr>
        <w:trPr>
          <w:trHeight w:val="171"/>
        </w:trPr>
        <w:tc>
          <w:tcPr>
            <w:tcW w:w="108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780" w:type="dxa"/>
            <w:vAlign w:val="bottom"/>
            <w:tcBorders>
              <w:bottom w:val="single" w:sz="8" w:color="auto"/>
            </w:tcBorders>
            <w:shd w:val="clear" w:color="auto" w:fill="33CCCC"/>
          </w:tcPr>
          <w:p>
            <w:pPr>
              <w:jc w:val="right"/>
              <w:ind w:right="155"/>
              <w:spacing w:after="0"/>
              <w:rPr>
                <w:sz w:val="20"/>
                <w:szCs w:val="20"/>
                <w:color w:val="auto"/>
              </w:rPr>
            </w:pPr>
            <w:r>
              <w:rPr>
                <w:rFonts w:ascii="Arial" w:cs="Arial" w:eastAsia="Arial" w:hAnsi="Arial"/>
                <w:sz w:val="13"/>
                <w:szCs w:val="13"/>
                <w:b w:val="1"/>
                <w:bCs w:val="1"/>
                <w:color w:val="FFFFFF"/>
              </w:rPr>
              <w:t>Jun 21</w:t>
            </w:r>
          </w:p>
        </w:tc>
        <w:tc>
          <w:tcPr>
            <w:tcW w:w="660" w:type="dxa"/>
            <w:vAlign w:val="bottom"/>
            <w:tcBorders>
              <w:bottom w:val="single" w:sz="8" w:color="auto"/>
            </w:tcBorders>
            <w:shd w:val="clear" w:color="auto" w:fill="33CCCC"/>
          </w:tcPr>
          <w:p>
            <w:pPr>
              <w:jc w:val="right"/>
              <w:ind w:right="115"/>
              <w:spacing w:after="0"/>
              <w:rPr>
                <w:sz w:val="20"/>
                <w:szCs w:val="20"/>
                <w:color w:val="auto"/>
              </w:rPr>
            </w:pPr>
            <w:r>
              <w:rPr>
                <w:rFonts w:ascii="Arial" w:cs="Arial" w:eastAsia="Arial" w:hAnsi="Arial"/>
                <w:sz w:val="13"/>
                <w:szCs w:val="13"/>
                <w:b w:val="1"/>
                <w:bCs w:val="1"/>
                <w:color w:val="FFFFFF"/>
              </w:rPr>
              <w:t>Mar 22</w:t>
            </w:r>
          </w:p>
        </w:tc>
        <w:tc>
          <w:tcPr>
            <w:tcW w:w="1960" w:type="dxa"/>
            <w:vAlign w:val="bottom"/>
            <w:tcBorders>
              <w:bottom w:val="single" w:sz="8" w:color="auto"/>
              <w:right w:val="single" w:sz="8" w:color="auto"/>
            </w:tcBorders>
            <w:gridSpan w:val="4"/>
            <w:shd w:val="clear" w:color="auto" w:fill="33CCCC"/>
          </w:tcPr>
          <w:p>
            <w:pPr>
              <w:ind w:left="60"/>
              <w:spacing w:after="0"/>
              <w:rPr>
                <w:sz w:val="20"/>
                <w:szCs w:val="20"/>
                <w:color w:val="auto"/>
              </w:rPr>
            </w:pPr>
            <w:r>
              <w:rPr>
                <w:rFonts w:ascii="Arial" w:cs="Arial" w:eastAsia="Arial" w:hAnsi="Arial"/>
                <w:sz w:val="13"/>
                <w:szCs w:val="13"/>
                <w:b w:val="1"/>
                <w:bCs w:val="1"/>
                <w:color w:val="FFFFFF"/>
              </w:rPr>
              <w:t>Jun 22  Jun 21 Mar 22 Jun 22</w:t>
            </w:r>
          </w:p>
        </w:tc>
        <w:tc>
          <w:tcPr>
            <w:tcW w:w="6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460" w:type="dxa"/>
            <w:vAlign w:val="bottom"/>
            <w:tcBorders>
              <w:bottom w:val="single" w:sz="8" w:color="auto"/>
            </w:tcBorders>
            <w:shd w:val="clear" w:color="auto" w:fill="33CCCC"/>
          </w:tcPr>
          <w:p>
            <w:pPr>
              <w:ind w:left="100"/>
              <w:spacing w:after="0"/>
              <w:rPr>
                <w:sz w:val="20"/>
                <w:szCs w:val="20"/>
                <w:color w:val="auto"/>
              </w:rPr>
            </w:pPr>
            <w:r>
              <w:rPr>
                <w:rFonts w:ascii="Arial" w:cs="Arial" w:eastAsia="Arial" w:hAnsi="Arial"/>
                <w:sz w:val="13"/>
                <w:szCs w:val="13"/>
                <w:b w:val="1"/>
                <w:bCs w:val="1"/>
                <w:color w:val="FFFFFF"/>
              </w:rPr>
              <w:t>YoY</w:t>
            </w:r>
          </w:p>
        </w:tc>
        <w:tc>
          <w:tcPr>
            <w:tcW w:w="60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3"/>
                <w:szCs w:val="13"/>
                <w:b w:val="1"/>
                <w:bCs w:val="1"/>
                <w:color w:val="FFFFFF"/>
              </w:rPr>
              <w:t>QoQ</w:t>
            </w:r>
          </w:p>
        </w:tc>
        <w:tc>
          <w:tcPr>
            <w:tcW w:w="66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3"/>
                <w:szCs w:val="13"/>
                <w:b w:val="1"/>
                <w:bCs w:val="1"/>
                <w:color w:val="FFFFFF"/>
              </w:rPr>
              <w:t>YoY</w:t>
            </w:r>
          </w:p>
        </w:tc>
        <w:tc>
          <w:tcPr>
            <w:tcW w:w="74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3"/>
                <w:szCs w:val="13"/>
                <w:b w:val="1"/>
                <w:bCs w:val="1"/>
                <w:color w:val="FFFFFF"/>
              </w:rPr>
              <w:t>Jun 21</w:t>
            </w:r>
          </w:p>
        </w:tc>
        <w:tc>
          <w:tcPr>
            <w:tcW w:w="76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3"/>
                <w:szCs w:val="13"/>
                <w:b w:val="1"/>
                <w:bCs w:val="1"/>
                <w:color w:val="FFFFFF"/>
              </w:rPr>
              <w:t>Mar 22</w:t>
            </w:r>
          </w:p>
        </w:tc>
        <w:tc>
          <w:tcPr>
            <w:tcW w:w="780" w:type="dxa"/>
            <w:vAlign w:val="bottom"/>
            <w:tcBorders>
              <w:bottom w:val="single" w:sz="8" w:color="auto"/>
              <w:right w:val="single" w:sz="8" w:color="auto"/>
            </w:tcBorders>
            <w:shd w:val="clear" w:color="auto" w:fill="33CCCC"/>
          </w:tcPr>
          <w:p>
            <w:pPr>
              <w:ind w:left="160"/>
              <w:spacing w:after="0"/>
              <w:rPr>
                <w:sz w:val="20"/>
                <w:szCs w:val="20"/>
                <w:color w:val="auto"/>
              </w:rPr>
            </w:pPr>
            <w:r>
              <w:rPr>
                <w:rFonts w:ascii="Arial" w:cs="Arial" w:eastAsia="Arial" w:hAnsi="Arial"/>
                <w:sz w:val="13"/>
                <w:szCs w:val="13"/>
                <w:b w:val="1"/>
                <w:bCs w:val="1"/>
                <w:color w:val="FFFFFF"/>
              </w:rPr>
              <w:t>Jun 22</w:t>
            </w:r>
          </w:p>
        </w:tc>
        <w:tc>
          <w:tcPr>
            <w:tcW w:w="420" w:type="dxa"/>
            <w:vAlign w:val="bottom"/>
            <w:tcBorders>
              <w:bottom w:val="single" w:sz="8" w:color="auto"/>
            </w:tcBorders>
            <w:shd w:val="clear" w:color="auto" w:fill="33CCCC"/>
          </w:tcPr>
          <w:p>
            <w:pPr>
              <w:ind w:left="60"/>
              <w:spacing w:after="0"/>
              <w:rPr>
                <w:sz w:val="20"/>
                <w:szCs w:val="20"/>
                <w:color w:val="auto"/>
              </w:rPr>
            </w:pPr>
            <w:r>
              <w:rPr>
                <w:rFonts w:ascii="Arial" w:cs="Arial" w:eastAsia="Arial" w:hAnsi="Arial"/>
                <w:sz w:val="13"/>
                <w:szCs w:val="13"/>
                <w:b w:val="1"/>
                <w:bCs w:val="1"/>
                <w:color w:val="FFFFFF"/>
              </w:rPr>
              <w:t>QoQ</w:t>
            </w:r>
          </w:p>
        </w:tc>
        <w:tc>
          <w:tcPr>
            <w:tcW w:w="4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3"/>
                <w:szCs w:val="13"/>
                <w:b w:val="1"/>
                <w:bCs w:val="1"/>
                <w:color w:val="FFFFFF"/>
              </w:rPr>
              <w:t>YoY</w:t>
            </w:r>
          </w:p>
        </w:tc>
        <w:tc>
          <w:tcPr>
            <w:tcW w:w="7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2"/>
              </w:rPr>
              <w:t>LC</w:t>
            </w:r>
          </w:p>
        </w:tc>
        <w:tc>
          <w:tcPr>
            <w:tcW w:w="56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3"/>
                <w:szCs w:val="13"/>
                <w:b w:val="1"/>
                <w:bCs w:val="1"/>
                <w:color w:val="FFFFFF"/>
              </w:rPr>
              <w:t>FC</w:t>
            </w:r>
          </w:p>
        </w:tc>
        <w:tc>
          <w:tcPr>
            <w:tcW w:w="20" w:type="dxa"/>
            <w:vAlign w:val="bottom"/>
            <w:tcBorders>
              <w:bottom w:val="single" w:sz="8" w:color="auto"/>
            </w:tcBorders>
            <w:shd w:val="clear" w:color="auto" w:fill="000000"/>
          </w:tcPr>
          <w:p>
            <w:pPr>
              <w:spacing w:after="0"/>
              <w:rPr>
                <w:sz w:val="14"/>
                <w:szCs w:val="14"/>
                <w:color w:val="auto"/>
              </w:rPr>
            </w:pPr>
          </w:p>
        </w:tc>
      </w:tr>
      <w:tr>
        <w:trPr>
          <w:trHeight w:val="131"/>
        </w:trPr>
        <w:tc>
          <w:tcPr>
            <w:tcW w:w="1080" w:type="dxa"/>
            <w:vAlign w:val="bottom"/>
            <w:tcBorders>
              <w:left w:val="single" w:sz="8" w:color="auto"/>
              <w:right w:val="single" w:sz="8" w:color="auto"/>
            </w:tcBorders>
          </w:tcPr>
          <w:p>
            <w:pPr>
              <w:spacing w:after="0" w:line="131" w:lineRule="exact"/>
              <w:rPr>
                <w:sz w:val="20"/>
                <w:szCs w:val="20"/>
                <w:color w:val="auto"/>
              </w:rPr>
            </w:pPr>
            <w:r>
              <w:rPr>
                <w:rFonts w:ascii="Arial" w:cs="Arial" w:eastAsia="Arial" w:hAnsi="Arial"/>
                <w:sz w:val="13"/>
                <w:szCs w:val="13"/>
                <w:b w:val="1"/>
                <w:bCs w:val="1"/>
                <w:color w:val="auto"/>
                <w:w w:val="98"/>
              </w:rPr>
              <w:t>BCP Stand-alone</w:t>
            </w:r>
          </w:p>
        </w:tc>
        <w:tc>
          <w:tcPr>
            <w:tcW w:w="7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80,960</w:t>
            </w:r>
          </w:p>
        </w:tc>
        <w:tc>
          <w:tcPr>
            <w:tcW w:w="660" w:type="dxa"/>
            <w:vAlign w:val="bottom"/>
          </w:tcPr>
          <w:p>
            <w:pPr>
              <w:jc w:val="center"/>
              <w:ind w:right="55"/>
              <w:spacing w:after="0" w:line="131" w:lineRule="exact"/>
              <w:rPr>
                <w:sz w:val="20"/>
                <w:szCs w:val="20"/>
                <w:color w:val="auto"/>
              </w:rPr>
            </w:pPr>
            <w:r>
              <w:rPr>
                <w:rFonts w:ascii="Arial" w:cs="Arial" w:eastAsia="Arial" w:hAnsi="Arial"/>
                <w:sz w:val="13"/>
                <w:szCs w:val="13"/>
                <w:b w:val="1"/>
                <w:bCs w:val="1"/>
                <w:color w:val="auto"/>
                <w:w w:val="95"/>
              </w:rPr>
              <w:t>85,292</w:t>
            </w:r>
          </w:p>
        </w:tc>
        <w:tc>
          <w:tcPr>
            <w:tcW w:w="600" w:type="dxa"/>
            <w:vAlign w:val="bottom"/>
          </w:tcPr>
          <w:p>
            <w:pPr>
              <w:jc w:val="center"/>
              <w:ind w:right="15"/>
              <w:spacing w:after="0" w:line="131" w:lineRule="exact"/>
              <w:rPr>
                <w:sz w:val="20"/>
                <w:szCs w:val="20"/>
                <w:color w:val="auto"/>
              </w:rPr>
            </w:pPr>
            <w:r>
              <w:rPr>
                <w:rFonts w:ascii="Arial" w:cs="Arial" w:eastAsia="Arial" w:hAnsi="Arial"/>
                <w:sz w:val="13"/>
                <w:szCs w:val="13"/>
                <w:b w:val="1"/>
                <w:bCs w:val="1"/>
                <w:color w:val="auto"/>
              </w:rPr>
              <w:t>85,162</w:t>
            </w:r>
          </w:p>
        </w:tc>
        <w:tc>
          <w:tcPr>
            <w:tcW w:w="88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rPr>
              <w:t>59,941 69,980</w:t>
            </w:r>
          </w:p>
        </w:tc>
        <w:tc>
          <w:tcPr>
            <w:tcW w:w="4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5"/>
              </w:rPr>
              <w:t>72,531</w:t>
            </w:r>
          </w:p>
        </w:tc>
        <w:tc>
          <w:tcPr>
            <w:tcW w:w="6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9"/>
              </w:rPr>
              <w:t>-0.2%</w:t>
            </w:r>
          </w:p>
        </w:tc>
        <w:tc>
          <w:tcPr>
            <w:tcW w:w="4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5.2%</w:t>
            </w:r>
          </w:p>
        </w:tc>
        <w:tc>
          <w:tcPr>
            <w:tcW w:w="6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3.6%</w:t>
            </w:r>
          </w:p>
        </w:tc>
        <w:tc>
          <w:tcPr>
            <w:tcW w:w="6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21.0%</w:t>
            </w:r>
          </w:p>
        </w:tc>
        <w:tc>
          <w:tcPr>
            <w:tcW w:w="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8"/>
              </w:rPr>
              <w:t>8,758</w:t>
            </w:r>
          </w:p>
        </w:tc>
        <w:tc>
          <w:tcPr>
            <w:tcW w:w="7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8,751</w:t>
            </w:r>
          </w:p>
        </w:tc>
        <w:tc>
          <w:tcPr>
            <w:tcW w:w="7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8"/>
              </w:rPr>
              <w:t>9,278</w:t>
            </w:r>
          </w:p>
        </w:tc>
        <w:tc>
          <w:tcPr>
            <w:tcW w:w="4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6.0%</w:t>
            </w:r>
          </w:p>
        </w:tc>
        <w:tc>
          <w:tcPr>
            <w:tcW w:w="4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rPr>
              <w:t>5.9%</w:t>
            </w:r>
          </w:p>
        </w:tc>
        <w:tc>
          <w:tcPr>
            <w:tcW w:w="7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70.8%</w:t>
            </w:r>
          </w:p>
        </w:tc>
        <w:tc>
          <w:tcPr>
            <w:tcW w:w="5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29.2%</w:t>
            </w:r>
          </w:p>
        </w:tc>
        <w:tc>
          <w:tcPr>
            <w:tcW w:w="20" w:type="dxa"/>
            <w:vAlign w:val="bottom"/>
            <w:shd w:val="clear" w:color="auto" w:fill="000000"/>
          </w:tcPr>
          <w:p>
            <w:pPr>
              <w:spacing w:after="0"/>
              <w:rPr>
                <w:sz w:val="11"/>
                <w:szCs w:val="11"/>
                <w:color w:val="auto"/>
              </w:rPr>
            </w:pPr>
          </w:p>
        </w:tc>
      </w:tr>
      <w:tr>
        <w:trPr>
          <w:trHeight w:val="146"/>
        </w:trPr>
        <w:tc>
          <w:tcPr>
            <w:tcW w:w="10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b w:val="1"/>
                <w:bCs w:val="1"/>
                <w:color w:val="auto"/>
              </w:rPr>
              <w:t>Wholesale</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25,860</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5"/>
              </w:rPr>
              <w:t>29,181</w:t>
            </w:r>
          </w:p>
        </w:tc>
        <w:tc>
          <w:tcPr>
            <w:tcW w:w="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28,411</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20,065 25,640</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25,429</w:t>
            </w:r>
          </w:p>
        </w:tc>
        <w:tc>
          <w:tcPr>
            <w:tcW w:w="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-2.6%</w:t>
            </w:r>
          </w:p>
        </w:tc>
        <w:tc>
          <w:tcPr>
            <w:tcW w:w="4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9.9%</w:t>
            </w:r>
          </w:p>
        </w:tc>
        <w:tc>
          <w:tcPr>
            <w:tcW w:w="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-0.8%</w:t>
            </w: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26.7%</w:t>
            </w: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6,757</w:t>
            </w: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7,009</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7,403</w:t>
            </w:r>
          </w:p>
        </w:tc>
        <w:tc>
          <w:tcPr>
            <w:tcW w:w="4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5.6%</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9.6%</w:t>
            </w: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50.3%</w:t>
            </w:r>
          </w:p>
        </w:tc>
        <w:tc>
          <w:tcPr>
            <w:tcW w:w="5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49.7%</w:t>
            </w:r>
          </w:p>
        </w:tc>
        <w:tc>
          <w:tcPr>
            <w:tcW w:w="20" w:type="dxa"/>
            <w:vAlign w:val="bottom"/>
            <w:shd w:val="clear" w:color="auto" w:fill="000000"/>
          </w:tcPr>
          <w:p>
            <w:pPr>
              <w:spacing w:after="0"/>
              <w:rPr>
                <w:sz w:val="12"/>
                <w:szCs w:val="12"/>
                <w:color w:val="auto"/>
              </w:rPr>
            </w:pPr>
          </w:p>
        </w:tc>
      </w:tr>
      <w:tr>
        <w:trPr>
          <w:trHeight w:val="154"/>
        </w:trPr>
        <w:tc>
          <w:tcPr>
            <w:tcW w:w="1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Banking</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46"/>
        </w:trPr>
        <w:tc>
          <w:tcPr>
            <w:tcW w:w="108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Corporate</w:t>
            </w:r>
          </w:p>
        </w:tc>
        <w:tc>
          <w:tcPr>
            <w:tcW w:w="780" w:type="dxa"/>
            <w:vAlign w:val="bottom"/>
          </w:tcPr>
          <w:p>
            <w:pPr>
              <w:jc w:val="center"/>
              <w:spacing w:after="0" w:line="146" w:lineRule="exact"/>
              <w:rPr>
                <w:sz w:val="20"/>
                <w:szCs w:val="20"/>
                <w:color w:val="auto"/>
              </w:rPr>
            </w:pPr>
            <w:r>
              <w:rPr>
                <w:rFonts w:ascii="Arial" w:cs="Arial" w:eastAsia="Arial" w:hAnsi="Arial"/>
                <w:sz w:val="13"/>
                <w:szCs w:val="13"/>
                <w:color w:val="auto"/>
              </w:rPr>
              <w:t>12,572</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5"/>
              </w:rPr>
              <w:t>15,548</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color w:val="auto"/>
              </w:rPr>
              <w:t>15,375</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11,990 15,157</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15,039</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w w:val="99"/>
              </w:rPr>
              <w:t>-1.1%</w:t>
            </w:r>
          </w:p>
        </w:tc>
        <w:tc>
          <w:tcPr>
            <w:tcW w:w="4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22.3%</w:t>
            </w:r>
          </w:p>
        </w:tc>
        <w:tc>
          <w:tcPr>
            <w:tcW w:w="600" w:type="dxa"/>
            <w:vAlign w:val="bottom"/>
            <w:shd w:val="clear" w:color="auto" w:fill="FF00FF"/>
          </w:tcPr>
          <w:p>
            <w:pPr>
              <w:jc w:val="center"/>
              <w:spacing w:after="0" w:line="146" w:lineRule="exact"/>
              <w:rPr>
                <w:sz w:val="20"/>
                <w:szCs w:val="20"/>
                <w:color w:val="auto"/>
              </w:rPr>
            </w:pPr>
            <w:r>
              <w:rPr>
                <w:rFonts w:ascii="Arial" w:cs="Arial" w:eastAsia="Arial" w:hAnsi="Arial"/>
                <w:sz w:val="13"/>
                <w:szCs w:val="13"/>
                <w:color w:val="auto"/>
                <w:w w:val="99"/>
              </w:rPr>
              <w:t>-0.8%</w:t>
            </w:r>
          </w:p>
        </w:tc>
        <w:tc>
          <w:tcPr>
            <w:tcW w:w="6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25.4%</w:t>
            </w: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auto"/>
                <w:w w:val="98"/>
              </w:rPr>
              <w:t>4,252</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rPr>
              <w:t>4,268</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4,505</w:t>
            </w:r>
          </w:p>
        </w:tc>
        <w:tc>
          <w:tcPr>
            <w:tcW w:w="42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5.5%</w:t>
            </w:r>
          </w:p>
        </w:tc>
        <w:tc>
          <w:tcPr>
            <w:tcW w:w="480" w:type="dxa"/>
            <w:vAlign w:val="bottom"/>
            <w:tcBorders>
              <w:right w:val="single" w:sz="8" w:color="auto"/>
            </w:tcBorders>
            <w:shd w:val="clear" w:color="auto" w:fill="26D07C"/>
          </w:tcPr>
          <w:p>
            <w:pPr>
              <w:jc w:val="center"/>
              <w:spacing w:after="0" w:line="146" w:lineRule="exact"/>
              <w:rPr>
                <w:sz w:val="20"/>
                <w:szCs w:val="20"/>
                <w:color w:val="auto"/>
              </w:rPr>
            </w:pPr>
            <w:r>
              <w:rPr>
                <w:rFonts w:ascii="Arial" w:cs="Arial" w:eastAsia="Arial" w:hAnsi="Arial"/>
                <w:sz w:val="13"/>
                <w:szCs w:val="13"/>
                <w:color w:val="auto"/>
              </w:rPr>
              <w:t>5.9%</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auto"/>
                <w:w w:val="97"/>
              </w:rPr>
              <w:t>47.4%</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auto"/>
                <w:w w:val="97"/>
              </w:rPr>
              <w:t>52.6%</w:t>
            </w:r>
          </w:p>
        </w:tc>
        <w:tc>
          <w:tcPr>
            <w:tcW w:w="20" w:type="dxa"/>
            <w:vAlign w:val="bottom"/>
            <w:shd w:val="clear" w:color="auto" w:fill="000000"/>
          </w:tcPr>
          <w:p>
            <w:pPr>
              <w:spacing w:after="0"/>
              <w:rPr>
                <w:sz w:val="12"/>
                <w:szCs w:val="12"/>
                <w:color w:val="auto"/>
              </w:rPr>
            </w:pPr>
          </w:p>
        </w:tc>
      </w:tr>
      <w:tr>
        <w:trPr>
          <w:trHeight w:val="138"/>
        </w:trPr>
        <w:tc>
          <w:tcPr>
            <w:tcW w:w="1080" w:type="dxa"/>
            <w:vAlign w:val="bottom"/>
            <w:tcBorders>
              <w:left w:val="single" w:sz="8" w:color="auto"/>
              <w:right w:val="single" w:sz="8" w:color="auto"/>
            </w:tcBorders>
          </w:tcPr>
          <w:p>
            <w:pPr>
              <w:ind w:left="300"/>
              <w:spacing w:after="0" w:line="139" w:lineRule="exact"/>
              <w:rPr>
                <w:sz w:val="20"/>
                <w:szCs w:val="20"/>
                <w:color w:val="auto"/>
              </w:rPr>
            </w:pPr>
            <w:r>
              <w:rPr>
                <w:rFonts w:ascii="Arial" w:cs="Arial" w:eastAsia="Arial" w:hAnsi="Arial"/>
                <w:sz w:val="13"/>
                <w:szCs w:val="13"/>
                <w:color w:val="auto"/>
              </w:rPr>
              <w:t>Middle-</w:t>
            </w:r>
          </w:p>
        </w:tc>
        <w:tc>
          <w:tcPr>
            <w:tcW w:w="780" w:type="dxa"/>
            <w:vAlign w:val="bottom"/>
          </w:tcPr>
          <w:p>
            <w:pPr>
              <w:jc w:val="center"/>
              <w:spacing w:after="0" w:line="139" w:lineRule="exact"/>
              <w:rPr>
                <w:sz w:val="20"/>
                <w:szCs w:val="20"/>
                <w:color w:val="auto"/>
              </w:rPr>
            </w:pPr>
            <w:r>
              <w:rPr>
                <w:rFonts w:ascii="Arial" w:cs="Arial" w:eastAsia="Arial" w:hAnsi="Arial"/>
                <w:sz w:val="13"/>
                <w:szCs w:val="13"/>
                <w:color w:val="auto"/>
              </w:rPr>
              <w:t>13,288</w:t>
            </w:r>
          </w:p>
        </w:tc>
        <w:tc>
          <w:tcPr>
            <w:tcW w:w="660" w:type="dxa"/>
            <w:vAlign w:val="bottom"/>
          </w:tcPr>
          <w:p>
            <w:pPr>
              <w:jc w:val="center"/>
              <w:ind w:right="55"/>
              <w:spacing w:after="0" w:line="139" w:lineRule="exact"/>
              <w:rPr>
                <w:sz w:val="20"/>
                <w:szCs w:val="20"/>
                <w:color w:val="auto"/>
              </w:rPr>
            </w:pPr>
            <w:r>
              <w:rPr>
                <w:rFonts w:ascii="Arial" w:cs="Arial" w:eastAsia="Arial" w:hAnsi="Arial"/>
                <w:sz w:val="13"/>
                <w:szCs w:val="13"/>
                <w:color w:val="auto"/>
                <w:w w:val="95"/>
              </w:rPr>
              <w:t>13,633</w:t>
            </w:r>
          </w:p>
        </w:tc>
        <w:tc>
          <w:tcPr>
            <w:tcW w:w="600" w:type="dxa"/>
            <w:vAlign w:val="bottom"/>
          </w:tcPr>
          <w:p>
            <w:pPr>
              <w:jc w:val="center"/>
              <w:ind w:right="15"/>
              <w:spacing w:after="0" w:line="139" w:lineRule="exact"/>
              <w:rPr>
                <w:sz w:val="20"/>
                <w:szCs w:val="20"/>
                <w:color w:val="auto"/>
              </w:rPr>
            </w:pPr>
            <w:r>
              <w:rPr>
                <w:rFonts w:ascii="Arial" w:cs="Arial" w:eastAsia="Arial" w:hAnsi="Arial"/>
                <w:sz w:val="13"/>
                <w:szCs w:val="13"/>
                <w:color w:val="auto"/>
              </w:rPr>
              <w:t>13,036</w:t>
            </w:r>
          </w:p>
        </w:tc>
        <w:tc>
          <w:tcPr>
            <w:tcW w:w="420" w:type="dxa"/>
            <w:vAlign w:val="bottom"/>
          </w:tcPr>
          <w:p>
            <w:pPr>
              <w:jc w:val="center"/>
              <w:spacing w:after="0" w:line="139" w:lineRule="exact"/>
              <w:rPr>
                <w:sz w:val="20"/>
                <w:szCs w:val="20"/>
                <w:color w:val="auto"/>
              </w:rPr>
            </w:pPr>
            <w:r>
              <w:rPr>
                <w:rFonts w:ascii="Arial" w:cs="Arial" w:eastAsia="Arial" w:hAnsi="Arial"/>
                <w:sz w:val="13"/>
                <w:szCs w:val="13"/>
                <w:color w:val="auto"/>
                <w:w w:val="98"/>
              </w:rPr>
              <w:t>8,074</w:t>
            </w:r>
          </w:p>
        </w:tc>
        <w:tc>
          <w:tcPr>
            <w:tcW w:w="460" w:type="dxa"/>
            <w:vAlign w:val="bottom"/>
          </w:tcPr>
          <w:p>
            <w:pPr>
              <w:jc w:val="right"/>
              <w:spacing w:after="0" w:line="139" w:lineRule="exact"/>
              <w:rPr>
                <w:sz w:val="20"/>
                <w:szCs w:val="20"/>
                <w:color w:val="auto"/>
              </w:rPr>
            </w:pPr>
            <w:r>
              <w:rPr>
                <w:rFonts w:ascii="Arial" w:cs="Arial" w:eastAsia="Arial" w:hAnsi="Arial"/>
                <w:sz w:val="13"/>
                <w:szCs w:val="13"/>
                <w:color w:val="auto"/>
              </w:rPr>
              <w:t>10,482</w:t>
            </w:r>
          </w:p>
        </w:tc>
        <w:tc>
          <w:tcPr>
            <w:tcW w:w="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5"/>
              </w:rPr>
              <w:t>10,390</w:t>
            </w:r>
          </w:p>
        </w:tc>
        <w:tc>
          <w:tcPr>
            <w:tcW w:w="600" w:type="dxa"/>
            <w:vAlign w:val="bottom"/>
            <w:shd w:val="clear" w:color="auto" w:fill="FF00FF"/>
          </w:tcPr>
          <w:p>
            <w:pPr>
              <w:jc w:val="center"/>
              <w:spacing w:after="0" w:line="139" w:lineRule="exact"/>
              <w:rPr>
                <w:sz w:val="20"/>
                <w:szCs w:val="20"/>
                <w:color w:val="auto"/>
              </w:rPr>
            </w:pPr>
            <w:r>
              <w:rPr>
                <w:rFonts w:ascii="Arial" w:cs="Arial" w:eastAsia="Arial" w:hAnsi="Arial"/>
                <w:sz w:val="13"/>
                <w:szCs w:val="13"/>
                <w:color w:val="auto"/>
                <w:w w:val="99"/>
              </w:rPr>
              <w:t>-4.4%</w:t>
            </w:r>
          </w:p>
        </w:tc>
        <w:tc>
          <w:tcPr>
            <w:tcW w:w="460" w:type="dxa"/>
            <w:vAlign w:val="bottom"/>
          </w:tcPr>
          <w:p>
            <w:pPr>
              <w:jc w:val="center"/>
              <w:spacing w:after="0" w:line="139" w:lineRule="exact"/>
              <w:rPr>
                <w:sz w:val="20"/>
                <w:szCs w:val="20"/>
                <w:color w:val="auto"/>
              </w:rPr>
            </w:pPr>
            <w:r>
              <w:rPr>
                <w:rFonts w:ascii="Arial" w:cs="Arial" w:eastAsia="Arial" w:hAnsi="Arial"/>
                <w:sz w:val="13"/>
                <w:szCs w:val="13"/>
                <w:color w:val="auto"/>
                <w:w w:val="99"/>
              </w:rPr>
              <w:t>-1.9%</w:t>
            </w:r>
          </w:p>
        </w:tc>
        <w:tc>
          <w:tcPr>
            <w:tcW w:w="600" w:type="dxa"/>
            <w:vAlign w:val="bottom"/>
            <w:shd w:val="clear" w:color="auto" w:fill="FF00FF"/>
          </w:tcPr>
          <w:p>
            <w:pPr>
              <w:jc w:val="center"/>
              <w:spacing w:after="0" w:line="139" w:lineRule="exact"/>
              <w:rPr>
                <w:sz w:val="20"/>
                <w:szCs w:val="20"/>
                <w:color w:val="auto"/>
              </w:rPr>
            </w:pPr>
            <w:r>
              <w:rPr>
                <w:rFonts w:ascii="Arial" w:cs="Arial" w:eastAsia="Arial" w:hAnsi="Arial"/>
                <w:sz w:val="13"/>
                <w:szCs w:val="13"/>
                <w:color w:val="auto"/>
                <w:w w:val="99"/>
              </w:rPr>
              <w:t>-0.9%</w:t>
            </w:r>
          </w:p>
        </w:tc>
        <w:tc>
          <w:tcPr>
            <w:tcW w:w="660" w:type="dxa"/>
            <w:vAlign w:val="bottom"/>
            <w:shd w:val="clear" w:color="auto" w:fill="26D07C"/>
          </w:tcPr>
          <w:p>
            <w:pPr>
              <w:jc w:val="center"/>
              <w:spacing w:after="0" w:line="139" w:lineRule="exact"/>
              <w:rPr>
                <w:sz w:val="20"/>
                <w:szCs w:val="20"/>
                <w:color w:val="auto"/>
              </w:rPr>
            </w:pPr>
            <w:r>
              <w:rPr>
                <w:rFonts w:ascii="Arial" w:cs="Arial" w:eastAsia="Arial" w:hAnsi="Arial"/>
                <w:sz w:val="13"/>
                <w:szCs w:val="13"/>
                <w:color w:val="auto"/>
              </w:rPr>
              <w:t>28.7%</w:t>
            </w:r>
          </w:p>
        </w:tc>
        <w:tc>
          <w:tcPr>
            <w:tcW w:w="740" w:type="dxa"/>
            <w:vAlign w:val="bottom"/>
          </w:tcPr>
          <w:p>
            <w:pPr>
              <w:jc w:val="center"/>
              <w:spacing w:after="0" w:line="139" w:lineRule="exact"/>
              <w:rPr>
                <w:sz w:val="20"/>
                <w:szCs w:val="20"/>
                <w:color w:val="auto"/>
              </w:rPr>
            </w:pPr>
            <w:r>
              <w:rPr>
                <w:rFonts w:ascii="Arial" w:cs="Arial" w:eastAsia="Arial" w:hAnsi="Arial"/>
                <w:sz w:val="13"/>
                <w:szCs w:val="13"/>
                <w:color w:val="auto"/>
                <w:w w:val="98"/>
              </w:rPr>
              <w:t>2,504</w:t>
            </w:r>
          </w:p>
        </w:tc>
        <w:tc>
          <w:tcPr>
            <w:tcW w:w="760" w:type="dxa"/>
            <w:vAlign w:val="bottom"/>
          </w:tcPr>
          <w:p>
            <w:pPr>
              <w:jc w:val="center"/>
              <w:spacing w:after="0" w:line="139" w:lineRule="exact"/>
              <w:rPr>
                <w:sz w:val="20"/>
                <w:szCs w:val="20"/>
                <w:color w:val="auto"/>
              </w:rPr>
            </w:pPr>
            <w:r>
              <w:rPr>
                <w:rFonts w:ascii="Arial" w:cs="Arial" w:eastAsia="Arial" w:hAnsi="Arial"/>
                <w:sz w:val="13"/>
                <w:szCs w:val="13"/>
                <w:color w:val="auto"/>
              </w:rPr>
              <w:t>2,741</w:t>
            </w:r>
          </w:p>
        </w:tc>
        <w:tc>
          <w:tcPr>
            <w:tcW w:w="7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8"/>
              </w:rPr>
              <w:t>2,899</w:t>
            </w:r>
          </w:p>
        </w:tc>
        <w:tc>
          <w:tcPr>
            <w:tcW w:w="420" w:type="dxa"/>
            <w:vAlign w:val="bottom"/>
            <w:shd w:val="clear" w:color="auto" w:fill="26D07C"/>
          </w:tcPr>
          <w:p>
            <w:pPr>
              <w:jc w:val="center"/>
              <w:spacing w:after="0" w:line="139" w:lineRule="exact"/>
              <w:rPr>
                <w:sz w:val="20"/>
                <w:szCs w:val="20"/>
                <w:color w:val="auto"/>
              </w:rPr>
            </w:pPr>
            <w:r>
              <w:rPr>
                <w:rFonts w:ascii="Arial" w:cs="Arial" w:eastAsia="Arial" w:hAnsi="Arial"/>
                <w:sz w:val="13"/>
                <w:szCs w:val="13"/>
                <w:color w:val="auto"/>
              </w:rPr>
              <w:t>5.7%</w:t>
            </w:r>
          </w:p>
        </w:tc>
        <w:tc>
          <w:tcPr>
            <w:tcW w:w="480" w:type="dxa"/>
            <w:vAlign w:val="bottom"/>
            <w:tcBorders>
              <w:right w:val="single" w:sz="8" w:color="auto"/>
            </w:tcBorders>
            <w:shd w:val="clear" w:color="auto" w:fill="26D07C"/>
          </w:tcPr>
          <w:p>
            <w:pPr>
              <w:jc w:val="center"/>
              <w:spacing w:after="0" w:line="139" w:lineRule="exact"/>
              <w:rPr>
                <w:sz w:val="20"/>
                <w:szCs w:val="20"/>
                <w:color w:val="auto"/>
              </w:rPr>
            </w:pPr>
            <w:r>
              <w:rPr>
                <w:rFonts w:ascii="Arial" w:cs="Arial" w:eastAsia="Arial" w:hAnsi="Arial"/>
                <w:sz w:val="13"/>
                <w:szCs w:val="13"/>
                <w:color w:val="auto"/>
              </w:rPr>
              <w:t>15.7%</w:t>
            </w: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auto"/>
                <w:w w:val="97"/>
              </w:rPr>
              <w:t>54.3%</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auto"/>
                <w:w w:val="97"/>
              </w:rPr>
              <w:t>45.7%</w:t>
            </w:r>
          </w:p>
        </w:tc>
        <w:tc>
          <w:tcPr>
            <w:tcW w:w="20" w:type="dxa"/>
            <w:vAlign w:val="bottom"/>
            <w:shd w:val="clear" w:color="auto" w:fill="000000"/>
          </w:tcPr>
          <w:p>
            <w:pPr>
              <w:spacing w:after="0"/>
              <w:rPr>
                <w:sz w:val="12"/>
                <w:szCs w:val="12"/>
                <w:color w:val="auto"/>
              </w:rPr>
            </w:pPr>
          </w:p>
        </w:tc>
      </w:tr>
      <w:tr>
        <w:trPr>
          <w:trHeight w:val="154"/>
        </w:trPr>
        <w:tc>
          <w:tcPr>
            <w:tcW w:w="10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Market</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00" w:type="dxa"/>
            <w:vAlign w:val="bottom"/>
            <w:shd w:val="clear" w:color="auto" w:fill="FF00FF"/>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shd w:val="clear" w:color="auto" w:fill="FF00FF"/>
          </w:tcPr>
          <w:p>
            <w:pPr>
              <w:spacing w:after="0"/>
              <w:rPr>
                <w:sz w:val="13"/>
                <w:szCs w:val="13"/>
                <w:color w:val="auto"/>
              </w:rPr>
            </w:pPr>
          </w:p>
        </w:tc>
        <w:tc>
          <w:tcPr>
            <w:tcW w:w="660" w:type="dxa"/>
            <w:vAlign w:val="bottom"/>
            <w:shd w:val="clear" w:color="auto" w:fill="26D07C"/>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20" w:type="dxa"/>
            <w:vAlign w:val="bottom"/>
            <w:shd w:val="clear" w:color="auto" w:fill="26D07C"/>
          </w:tcPr>
          <w:p>
            <w:pPr>
              <w:spacing w:after="0"/>
              <w:rPr>
                <w:sz w:val="13"/>
                <w:szCs w:val="13"/>
                <w:color w:val="auto"/>
              </w:rPr>
            </w:pPr>
          </w:p>
        </w:tc>
        <w:tc>
          <w:tcPr>
            <w:tcW w:w="480" w:type="dxa"/>
            <w:vAlign w:val="bottom"/>
            <w:tcBorders>
              <w:right w:val="single" w:sz="8" w:color="auto"/>
            </w:tcBorders>
            <w:shd w:val="clear" w:color="auto" w:fill="26D07C"/>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46"/>
        </w:trPr>
        <w:tc>
          <w:tcPr>
            <w:tcW w:w="10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b w:val="1"/>
                <w:bCs w:val="1"/>
                <w:color w:val="auto"/>
                <w:w w:val="97"/>
              </w:rPr>
              <w:t>Retail Banking</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55,100</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5"/>
              </w:rPr>
              <w:t>56,111</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b w:val="1"/>
                <w:bCs w:val="1"/>
                <w:color w:val="auto"/>
              </w:rPr>
              <w:t>56,751</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39,876 44,340</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47,102</w:t>
            </w:r>
          </w:p>
        </w:tc>
        <w:tc>
          <w:tcPr>
            <w:tcW w:w="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1.1%</w:t>
            </w:r>
          </w:p>
        </w:tc>
        <w:tc>
          <w:tcPr>
            <w:tcW w:w="4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3.0%</w:t>
            </w:r>
          </w:p>
        </w:tc>
        <w:tc>
          <w:tcPr>
            <w:tcW w:w="6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6.2%</w:t>
            </w: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18.1%</w:t>
            </w: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2,002</w:t>
            </w: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1,741</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1,875</w:t>
            </w:r>
          </w:p>
        </w:tc>
        <w:tc>
          <w:tcPr>
            <w:tcW w:w="4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7.7%</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9"/>
              </w:rPr>
              <w:t>-6.3%</w:t>
            </w: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88.9%</w:t>
            </w:r>
          </w:p>
        </w:tc>
        <w:tc>
          <w:tcPr>
            <w:tcW w:w="5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11.1%</w:t>
            </w:r>
          </w:p>
        </w:tc>
        <w:tc>
          <w:tcPr>
            <w:tcW w:w="20" w:type="dxa"/>
            <w:vAlign w:val="bottom"/>
            <w:shd w:val="clear" w:color="auto" w:fill="000000"/>
          </w:tcPr>
          <w:p>
            <w:pPr>
              <w:spacing w:after="0"/>
              <w:rPr>
                <w:sz w:val="12"/>
                <w:szCs w:val="12"/>
                <w:color w:val="auto"/>
              </w:rPr>
            </w:pPr>
          </w:p>
        </w:tc>
      </w:tr>
      <w:tr>
        <w:trPr>
          <w:trHeight w:val="138"/>
        </w:trPr>
        <w:tc>
          <w:tcPr>
            <w:tcW w:w="1080" w:type="dxa"/>
            <w:vAlign w:val="bottom"/>
            <w:tcBorders>
              <w:left w:val="single" w:sz="8" w:color="auto"/>
              <w:right w:val="single" w:sz="8" w:color="auto"/>
            </w:tcBorders>
          </w:tcPr>
          <w:p>
            <w:pPr>
              <w:ind w:left="300"/>
              <w:spacing w:after="0" w:line="139" w:lineRule="exact"/>
              <w:rPr>
                <w:sz w:val="20"/>
                <w:szCs w:val="20"/>
                <w:color w:val="auto"/>
              </w:rPr>
            </w:pPr>
            <w:r>
              <w:rPr>
                <w:rFonts w:ascii="Arial" w:cs="Arial" w:eastAsia="Arial" w:hAnsi="Arial"/>
                <w:sz w:val="13"/>
                <w:szCs w:val="13"/>
                <w:color w:val="auto"/>
              </w:rPr>
              <w:t>SME -</w:t>
            </w:r>
          </w:p>
        </w:tc>
        <w:tc>
          <w:tcPr>
            <w:tcW w:w="780" w:type="dxa"/>
            <w:vAlign w:val="bottom"/>
          </w:tcPr>
          <w:p>
            <w:pPr>
              <w:jc w:val="center"/>
              <w:spacing w:after="0" w:line="139" w:lineRule="exact"/>
              <w:rPr>
                <w:sz w:val="20"/>
                <w:szCs w:val="20"/>
                <w:color w:val="auto"/>
              </w:rPr>
            </w:pPr>
            <w:r>
              <w:rPr>
                <w:rFonts w:ascii="Arial" w:cs="Arial" w:eastAsia="Arial" w:hAnsi="Arial"/>
                <w:sz w:val="13"/>
                <w:szCs w:val="13"/>
                <w:color w:val="auto"/>
                <w:w w:val="98"/>
              </w:rPr>
              <w:t>8,284</w:t>
            </w:r>
          </w:p>
        </w:tc>
        <w:tc>
          <w:tcPr>
            <w:tcW w:w="660" w:type="dxa"/>
            <w:vAlign w:val="bottom"/>
          </w:tcPr>
          <w:p>
            <w:pPr>
              <w:jc w:val="center"/>
              <w:ind w:right="55"/>
              <w:spacing w:after="0" w:line="139" w:lineRule="exact"/>
              <w:rPr>
                <w:sz w:val="20"/>
                <w:szCs w:val="20"/>
                <w:color w:val="auto"/>
              </w:rPr>
            </w:pPr>
            <w:r>
              <w:rPr>
                <w:rFonts w:ascii="Arial" w:cs="Arial" w:eastAsia="Arial" w:hAnsi="Arial"/>
                <w:sz w:val="13"/>
                <w:szCs w:val="13"/>
                <w:color w:val="auto"/>
              </w:rPr>
              <w:t>7,016</w:t>
            </w:r>
          </w:p>
        </w:tc>
        <w:tc>
          <w:tcPr>
            <w:tcW w:w="600" w:type="dxa"/>
            <w:vAlign w:val="bottom"/>
          </w:tcPr>
          <w:p>
            <w:pPr>
              <w:jc w:val="center"/>
              <w:ind w:right="15"/>
              <w:spacing w:after="0" w:line="139" w:lineRule="exact"/>
              <w:rPr>
                <w:sz w:val="20"/>
                <w:szCs w:val="20"/>
                <w:color w:val="auto"/>
              </w:rPr>
            </w:pPr>
            <w:r>
              <w:rPr>
                <w:rFonts w:ascii="Arial" w:cs="Arial" w:eastAsia="Arial" w:hAnsi="Arial"/>
                <w:sz w:val="13"/>
                <w:szCs w:val="13"/>
                <w:color w:val="auto"/>
                <w:w w:val="98"/>
              </w:rPr>
              <w:t>6,586</w:t>
            </w:r>
          </w:p>
        </w:tc>
        <w:tc>
          <w:tcPr>
            <w:tcW w:w="420" w:type="dxa"/>
            <w:vAlign w:val="bottom"/>
          </w:tcPr>
          <w:p>
            <w:pPr>
              <w:jc w:val="center"/>
              <w:spacing w:after="0" w:line="139" w:lineRule="exact"/>
              <w:rPr>
                <w:sz w:val="20"/>
                <w:szCs w:val="20"/>
                <w:color w:val="auto"/>
              </w:rPr>
            </w:pPr>
            <w:r>
              <w:rPr>
                <w:rFonts w:ascii="Arial" w:cs="Arial" w:eastAsia="Arial" w:hAnsi="Arial"/>
                <w:sz w:val="13"/>
                <w:szCs w:val="13"/>
                <w:color w:val="auto"/>
                <w:w w:val="98"/>
              </w:rPr>
              <w:t>1,871</w:t>
            </w:r>
          </w:p>
        </w:tc>
        <w:tc>
          <w:tcPr>
            <w:tcW w:w="460" w:type="dxa"/>
            <w:vAlign w:val="bottom"/>
          </w:tcPr>
          <w:p>
            <w:pPr>
              <w:jc w:val="center"/>
              <w:spacing w:after="0" w:line="139" w:lineRule="exact"/>
              <w:rPr>
                <w:sz w:val="20"/>
                <w:szCs w:val="20"/>
                <w:color w:val="auto"/>
              </w:rPr>
            </w:pPr>
            <w:r>
              <w:rPr>
                <w:rFonts w:ascii="Arial" w:cs="Arial" w:eastAsia="Arial" w:hAnsi="Arial"/>
                <w:sz w:val="13"/>
                <w:szCs w:val="13"/>
                <w:color w:val="auto"/>
                <w:w w:val="98"/>
              </w:rPr>
              <w:t>2,440</w:t>
            </w:r>
          </w:p>
        </w:tc>
        <w:tc>
          <w:tcPr>
            <w:tcW w:w="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rPr>
              <w:t>2,687</w:t>
            </w:r>
          </w:p>
        </w:tc>
        <w:tc>
          <w:tcPr>
            <w:tcW w:w="600" w:type="dxa"/>
            <w:vAlign w:val="bottom"/>
            <w:shd w:val="clear" w:color="auto" w:fill="FF00FF"/>
          </w:tcPr>
          <w:p>
            <w:pPr>
              <w:jc w:val="center"/>
              <w:spacing w:after="0" w:line="139" w:lineRule="exact"/>
              <w:rPr>
                <w:sz w:val="20"/>
                <w:szCs w:val="20"/>
                <w:color w:val="auto"/>
              </w:rPr>
            </w:pPr>
            <w:r>
              <w:rPr>
                <w:rFonts w:ascii="Arial" w:cs="Arial" w:eastAsia="Arial" w:hAnsi="Arial"/>
                <w:sz w:val="13"/>
                <w:szCs w:val="13"/>
                <w:color w:val="auto"/>
                <w:w w:val="99"/>
              </w:rPr>
              <w:t>-6.1%</w:t>
            </w:r>
          </w:p>
        </w:tc>
        <w:tc>
          <w:tcPr>
            <w:tcW w:w="460" w:type="dxa"/>
            <w:vAlign w:val="bottom"/>
            <w:shd w:val="clear" w:color="auto" w:fill="FF00FF"/>
          </w:tcPr>
          <w:p>
            <w:pPr>
              <w:jc w:val="center"/>
              <w:spacing w:after="0" w:line="139" w:lineRule="exact"/>
              <w:rPr>
                <w:sz w:val="20"/>
                <w:szCs w:val="20"/>
                <w:color w:val="auto"/>
              </w:rPr>
            </w:pPr>
            <w:r>
              <w:rPr>
                <w:rFonts w:ascii="Arial" w:cs="Arial" w:eastAsia="Arial" w:hAnsi="Arial"/>
                <w:sz w:val="13"/>
                <w:szCs w:val="13"/>
                <w:color w:val="auto"/>
              </w:rPr>
              <w:t>-20.5%</w:t>
            </w:r>
          </w:p>
        </w:tc>
        <w:tc>
          <w:tcPr>
            <w:tcW w:w="600" w:type="dxa"/>
            <w:vAlign w:val="bottom"/>
          </w:tcPr>
          <w:p>
            <w:pPr>
              <w:jc w:val="center"/>
              <w:spacing w:after="0" w:line="139" w:lineRule="exact"/>
              <w:rPr>
                <w:sz w:val="20"/>
                <w:szCs w:val="20"/>
                <w:color w:val="auto"/>
              </w:rPr>
            </w:pPr>
            <w:r>
              <w:rPr>
                <w:rFonts w:ascii="Arial" w:cs="Arial" w:eastAsia="Arial" w:hAnsi="Arial"/>
                <w:sz w:val="13"/>
                <w:szCs w:val="13"/>
                <w:color w:val="auto"/>
                <w:w w:val="97"/>
              </w:rPr>
              <w:t>10.1%</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auto"/>
              </w:rPr>
              <w:t>43.6%</w:t>
            </w:r>
          </w:p>
        </w:tc>
        <w:tc>
          <w:tcPr>
            <w:tcW w:w="740" w:type="dxa"/>
            <w:vAlign w:val="bottom"/>
          </w:tcPr>
          <w:p>
            <w:pPr>
              <w:jc w:val="center"/>
              <w:spacing w:after="0" w:line="139" w:lineRule="exact"/>
              <w:rPr>
                <w:sz w:val="20"/>
                <w:szCs w:val="20"/>
                <w:color w:val="auto"/>
              </w:rPr>
            </w:pPr>
            <w:r>
              <w:rPr>
                <w:rFonts w:ascii="Arial" w:cs="Arial" w:eastAsia="Arial" w:hAnsi="Arial"/>
                <w:sz w:val="13"/>
                <w:szCs w:val="13"/>
                <w:color w:val="auto"/>
              </w:rPr>
              <w:t>783</w:t>
            </w:r>
          </w:p>
        </w:tc>
        <w:tc>
          <w:tcPr>
            <w:tcW w:w="760" w:type="dxa"/>
            <w:vAlign w:val="bottom"/>
          </w:tcPr>
          <w:p>
            <w:pPr>
              <w:jc w:val="center"/>
              <w:spacing w:after="0" w:line="139" w:lineRule="exact"/>
              <w:rPr>
                <w:sz w:val="20"/>
                <w:szCs w:val="20"/>
                <w:color w:val="auto"/>
              </w:rPr>
            </w:pPr>
            <w:r>
              <w:rPr>
                <w:rFonts w:ascii="Arial" w:cs="Arial" w:eastAsia="Arial" w:hAnsi="Arial"/>
                <w:sz w:val="13"/>
                <w:szCs w:val="13"/>
                <w:color w:val="auto"/>
              </w:rPr>
              <w:t>642</w:t>
            </w:r>
          </w:p>
        </w:tc>
        <w:tc>
          <w:tcPr>
            <w:tcW w:w="7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rPr>
              <w:t>724</w:t>
            </w:r>
          </w:p>
        </w:tc>
        <w:tc>
          <w:tcPr>
            <w:tcW w:w="420" w:type="dxa"/>
            <w:vAlign w:val="bottom"/>
          </w:tcPr>
          <w:p>
            <w:pPr>
              <w:jc w:val="center"/>
              <w:spacing w:after="0" w:line="139" w:lineRule="exact"/>
              <w:rPr>
                <w:sz w:val="20"/>
                <w:szCs w:val="20"/>
                <w:color w:val="auto"/>
              </w:rPr>
            </w:pPr>
            <w:r>
              <w:rPr>
                <w:rFonts w:ascii="Arial" w:cs="Arial" w:eastAsia="Arial" w:hAnsi="Arial"/>
                <w:sz w:val="13"/>
                <w:szCs w:val="13"/>
                <w:color w:val="auto"/>
                <w:w w:val="97"/>
              </w:rPr>
              <w:t>12.8%</w:t>
            </w:r>
          </w:p>
        </w:tc>
        <w:tc>
          <w:tcPr>
            <w:tcW w:w="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-7.5%</w:t>
            </w: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auto"/>
                <w:w w:val="97"/>
              </w:rPr>
              <w:t>70.6%</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auto"/>
                <w:w w:val="97"/>
              </w:rPr>
              <w:t>29.4%</w:t>
            </w:r>
          </w:p>
        </w:tc>
        <w:tc>
          <w:tcPr>
            <w:tcW w:w="20" w:type="dxa"/>
            <w:vAlign w:val="bottom"/>
            <w:shd w:val="clear" w:color="auto" w:fill="000000"/>
          </w:tcPr>
          <w:p>
            <w:pPr>
              <w:spacing w:after="0"/>
              <w:rPr>
                <w:sz w:val="12"/>
                <w:szCs w:val="12"/>
                <w:color w:val="auto"/>
              </w:rPr>
            </w:pPr>
          </w:p>
        </w:tc>
      </w:tr>
      <w:tr>
        <w:trPr>
          <w:trHeight w:val="154"/>
        </w:trPr>
        <w:tc>
          <w:tcPr>
            <w:tcW w:w="10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Business</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00" w:type="dxa"/>
            <w:vAlign w:val="bottom"/>
            <w:shd w:val="clear" w:color="auto" w:fill="FF00FF"/>
          </w:tcPr>
          <w:p>
            <w:pPr>
              <w:spacing w:after="0"/>
              <w:rPr>
                <w:sz w:val="13"/>
                <w:szCs w:val="13"/>
                <w:color w:val="auto"/>
              </w:rPr>
            </w:pPr>
          </w:p>
        </w:tc>
        <w:tc>
          <w:tcPr>
            <w:tcW w:w="460" w:type="dxa"/>
            <w:vAlign w:val="bottom"/>
            <w:shd w:val="clear" w:color="auto" w:fill="FF00FF"/>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46"/>
        </w:trPr>
        <w:tc>
          <w:tcPr>
            <w:tcW w:w="108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SME - Pyme</w:t>
            </w:r>
          </w:p>
        </w:tc>
        <w:tc>
          <w:tcPr>
            <w:tcW w:w="780" w:type="dxa"/>
            <w:vAlign w:val="bottom"/>
          </w:tcPr>
          <w:p>
            <w:pPr>
              <w:jc w:val="center"/>
              <w:spacing w:after="0" w:line="146" w:lineRule="exact"/>
              <w:rPr>
                <w:sz w:val="20"/>
                <w:szCs w:val="20"/>
                <w:color w:val="auto"/>
              </w:rPr>
            </w:pPr>
            <w:r>
              <w:rPr>
                <w:rFonts w:ascii="Arial" w:cs="Arial" w:eastAsia="Arial" w:hAnsi="Arial"/>
                <w:sz w:val="13"/>
                <w:szCs w:val="13"/>
                <w:color w:val="auto"/>
              </w:rPr>
              <w:t>19,463</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5"/>
              </w:rPr>
              <w:t>19,238</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color w:val="auto"/>
              </w:rPr>
              <w:t>18,775</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10,653 12,044</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13,025</w:t>
            </w:r>
          </w:p>
        </w:tc>
        <w:tc>
          <w:tcPr>
            <w:tcW w:w="600" w:type="dxa"/>
            <w:vAlign w:val="bottom"/>
            <w:shd w:val="clear" w:color="auto" w:fill="FF00FF"/>
          </w:tcPr>
          <w:p>
            <w:pPr>
              <w:jc w:val="center"/>
              <w:spacing w:after="0" w:line="146" w:lineRule="exact"/>
              <w:rPr>
                <w:sz w:val="20"/>
                <w:szCs w:val="20"/>
                <w:color w:val="auto"/>
              </w:rPr>
            </w:pPr>
            <w:r>
              <w:rPr>
                <w:rFonts w:ascii="Arial" w:cs="Arial" w:eastAsia="Arial" w:hAnsi="Arial"/>
                <w:sz w:val="13"/>
                <w:szCs w:val="13"/>
                <w:color w:val="auto"/>
                <w:w w:val="99"/>
              </w:rPr>
              <w:t>-2.4%</w:t>
            </w:r>
          </w:p>
        </w:tc>
        <w:tc>
          <w:tcPr>
            <w:tcW w:w="460" w:type="dxa"/>
            <w:vAlign w:val="bottom"/>
            <w:shd w:val="clear" w:color="auto" w:fill="FF00FF"/>
          </w:tcPr>
          <w:p>
            <w:pPr>
              <w:jc w:val="center"/>
              <w:spacing w:after="0" w:line="146" w:lineRule="exact"/>
              <w:rPr>
                <w:sz w:val="20"/>
                <w:szCs w:val="20"/>
                <w:color w:val="auto"/>
              </w:rPr>
            </w:pPr>
            <w:r>
              <w:rPr>
                <w:rFonts w:ascii="Arial" w:cs="Arial" w:eastAsia="Arial" w:hAnsi="Arial"/>
                <w:sz w:val="13"/>
                <w:szCs w:val="13"/>
                <w:color w:val="auto"/>
                <w:w w:val="99"/>
              </w:rPr>
              <w:t>-3.5%</w:t>
            </w:r>
          </w:p>
        </w:tc>
        <w:tc>
          <w:tcPr>
            <w:tcW w:w="60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8.1%</w:t>
            </w:r>
          </w:p>
        </w:tc>
        <w:tc>
          <w:tcPr>
            <w:tcW w:w="6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22.3%</w:t>
            </w: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auto"/>
                <w:w w:val="96"/>
              </w:rPr>
              <w:t>48</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96"/>
              </w:rPr>
              <w:t>44</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43</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w w:val="99"/>
              </w:rPr>
              <w:t>-1.5%</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-9.4%</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auto"/>
                <w:w w:val="97"/>
              </w:rPr>
              <w:t>99.1%</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auto"/>
              </w:rPr>
              <w:t>0.9%</w:t>
            </w:r>
          </w:p>
        </w:tc>
        <w:tc>
          <w:tcPr>
            <w:tcW w:w="20" w:type="dxa"/>
            <w:vAlign w:val="bottom"/>
            <w:shd w:val="clear" w:color="auto" w:fill="000000"/>
          </w:tcPr>
          <w:p>
            <w:pPr>
              <w:spacing w:after="0"/>
              <w:rPr>
                <w:sz w:val="12"/>
                <w:szCs w:val="12"/>
                <w:color w:val="auto"/>
              </w:rPr>
            </w:pPr>
          </w:p>
        </w:tc>
      </w:tr>
      <w:tr>
        <w:trPr>
          <w:trHeight w:val="146"/>
        </w:trPr>
        <w:tc>
          <w:tcPr>
            <w:tcW w:w="108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Mortgage</w:t>
            </w:r>
          </w:p>
        </w:tc>
        <w:tc>
          <w:tcPr>
            <w:tcW w:w="780" w:type="dxa"/>
            <w:vAlign w:val="bottom"/>
          </w:tcPr>
          <w:p>
            <w:pPr>
              <w:jc w:val="center"/>
              <w:spacing w:after="0" w:line="146" w:lineRule="exact"/>
              <w:rPr>
                <w:sz w:val="20"/>
                <w:szCs w:val="20"/>
                <w:color w:val="auto"/>
              </w:rPr>
            </w:pPr>
            <w:r>
              <w:rPr>
                <w:rFonts w:ascii="Arial" w:cs="Arial" w:eastAsia="Arial" w:hAnsi="Arial"/>
                <w:sz w:val="13"/>
                <w:szCs w:val="13"/>
                <w:color w:val="auto"/>
              </w:rPr>
              <w:t>15,722</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color w:val="auto"/>
                <w:w w:val="95"/>
              </w:rPr>
              <w:t>16,922</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color w:val="auto"/>
              </w:rPr>
              <w:t>17,353</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15,722 16,922</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17,353</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rPr>
              <w:t>2.5%</w:t>
            </w:r>
          </w:p>
        </w:tc>
        <w:tc>
          <w:tcPr>
            <w:tcW w:w="4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10.4%</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rPr>
              <w:t>2.5%</w:t>
            </w:r>
          </w:p>
        </w:tc>
        <w:tc>
          <w:tcPr>
            <w:tcW w:w="660" w:type="dxa"/>
            <w:vAlign w:val="bottom"/>
          </w:tcPr>
          <w:p>
            <w:pPr>
              <w:jc w:val="center"/>
              <w:spacing w:after="0" w:line="146" w:lineRule="exact"/>
              <w:rPr>
                <w:sz w:val="20"/>
                <w:szCs w:val="20"/>
                <w:color w:val="auto"/>
              </w:rPr>
            </w:pPr>
            <w:r>
              <w:rPr>
                <w:rFonts w:ascii="Arial" w:cs="Arial" w:eastAsia="Arial" w:hAnsi="Arial"/>
                <w:sz w:val="13"/>
                <w:szCs w:val="13"/>
                <w:color w:val="auto"/>
              </w:rPr>
              <w:t>10.4%</w:t>
            </w: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auto"/>
              </w:rPr>
              <w:t>566</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rPr>
              <w:t>507</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514</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rPr>
              <w:t>1.4%</w:t>
            </w:r>
          </w:p>
        </w:tc>
        <w:tc>
          <w:tcPr>
            <w:tcW w:w="480" w:type="dxa"/>
            <w:vAlign w:val="bottom"/>
            <w:tcBorders>
              <w:right w:val="single" w:sz="8" w:color="auto"/>
            </w:tcBorders>
            <w:shd w:val="clear" w:color="auto" w:fill="FF00FF"/>
          </w:tcPr>
          <w:p>
            <w:pPr>
              <w:jc w:val="center"/>
              <w:spacing w:after="0" w:line="146" w:lineRule="exact"/>
              <w:rPr>
                <w:sz w:val="20"/>
                <w:szCs w:val="20"/>
                <w:color w:val="auto"/>
              </w:rPr>
            </w:pPr>
            <w:r>
              <w:rPr>
                <w:rFonts w:ascii="Arial" w:cs="Arial" w:eastAsia="Arial" w:hAnsi="Arial"/>
                <w:sz w:val="13"/>
                <w:szCs w:val="13"/>
                <w:color w:val="auto"/>
                <w:w w:val="99"/>
              </w:rPr>
              <w:t>-9.1%</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auto"/>
                <w:w w:val="97"/>
              </w:rPr>
              <w:t>89.9%</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auto"/>
                <w:w w:val="97"/>
              </w:rPr>
              <w:t>10.1%</w:t>
            </w:r>
          </w:p>
        </w:tc>
        <w:tc>
          <w:tcPr>
            <w:tcW w:w="20" w:type="dxa"/>
            <w:vAlign w:val="bottom"/>
            <w:shd w:val="clear" w:color="auto" w:fill="000000"/>
          </w:tcPr>
          <w:p>
            <w:pPr>
              <w:spacing w:after="0"/>
              <w:rPr>
                <w:sz w:val="12"/>
                <w:szCs w:val="12"/>
                <w:color w:val="auto"/>
              </w:rPr>
            </w:pPr>
          </w:p>
        </w:tc>
      </w:tr>
      <w:tr>
        <w:trPr>
          <w:trHeight w:val="146"/>
        </w:trPr>
        <w:tc>
          <w:tcPr>
            <w:tcW w:w="108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Consumer</w:t>
            </w:r>
          </w:p>
        </w:tc>
        <w:tc>
          <w:tcPr>
            <w:tcW w:w="780" w:type="dxa"/>
            <w:vAlign w:val="bottom"/>
          </w:tcPr>
          <w:p>
            <w:pPr>
              <w:jc w:val="center"/>
              <w:spacing w:after="0" w:line="146" w:lineRule="exact"/>
              <w:rPr>
                <w:sz w:val="20"/>
                <w:szCs w:val="20"/>
                <w:color w:val="auto"/>
              </w:rPr>
            </w:pPr>
            <w:r>
              <w:rPr>
                <w:rFonts w:ascii="Arial" w:cs="Arial" w:eastAsia="Arial" w:hAnsi="Arial"/>
                <w:sz w:val="13"/>
                <w:szCs w:val="13"/>
                <w:color w:val="auto"/>
                <w:w w:val="98"/>
              </w:rPr>
              <w:t>8,491</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9,615</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color w:val="auto"/>
              </w:rPr>
              <w:t>10,373</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w w:val="98"/>
              </w:rPr>
              <w:t>8,491</w:t>
            </w:r>
          </w:p>
        </w:tc>
        <w:tc>
          <w:tcPr>
            <w:tcW w:w="460" w:type="dxa"/>
            <w:vAlign w:val="bottom"/>
          </w:tcPr>
          <w:p>
            <w:pPr>
              <w:jc w:val="center"/>
              <w:spacing w:after="0" w:line="146" w:lineRule="exact"/>
              <w:rPr>
                <w:sz w:val="20"/>
                <w:szCs w:val="20"/>
                <w:color w:val="auto"/>
              </w:rPr>
            </w:pPr>
            <w:r>
              <w:rPr>
                <w:rFonts w:ascii="Arial" w:cs="Arial" w:eastAsia="Arial" w:hAnsi="Arial"/>
                <w:sz w:val="13"/>
                <w:szCs w:val="13"/>
                <w:color w:val="auto"/>
                <w:w w:val="98"/>
              </w:rPr>
              <w:t>9,615</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10,373</w:t>
            </w:r>
          </w:p>
        </w:tc>
        <w:tc>
          <w:tcPr>
            <w:tcW w:w="60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7.9%</w:t>
            </w:r>
          </w:p>
        </w:tc>
        <w:tc>
          <w:tcPr>
            <w:tcW w:w="4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22.2%</w:t>
            </w:r>
          </w:p>
        </w:tc>
        <w:tc>
          <w:tcPr>
            <w:tcW w:w="60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7.9%</w:t>
            </w:r>
          </w:p>
        </w:tc>
        <w:tc>
          <w:tcPr>
            <w:tcW w:w="6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color w:val="auto"/>
              </w:rPr>
              <w:t>22.2%</w:t>
            </w: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auto"/>
              </w:rPr>
              <w:t>415</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rPr>
              <w:t>361</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390</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rPr>
              <w:t>7.9%</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-6.1%</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auto"/>
                <w:w w:val="97"/>
              </w:rPr>
              <w:t>87.6%</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auto"/>
                <w:w w:val="97"/>
              </w:rPr>
              <w:t>12.4%</w:t>
            </w:r>
          </w:p>
        </w:tc>
        <w:tc>
          <w:tcPr>
            <w:tcW w:w="20" w:type="dxa"/>
            <w:vAlign w:val="bottom"/>
            <w:shd w:val="clear" w:color="auto" w:fill="000000"/>
          </w:tcPr>
          <w:p>
            <w:pPr>
              <w:spacing w:after="0"/>
              <w:rPr>
                <w:sz w:val="12"/>
                <w:szCs w:val="12"/>
                <w:color w:val="auto"/>
              </w:rPr>
            </w:pPr>
          </w:p>
        </w:tc>
      </w:tr>
      <w:tr>
        <w:trPr>
          <w:trHeight w:val="146"/>
        </w:trPr>
        <w:tc>
          <w:tcPr>
            <w:tcW w:w="1080" w:type="dxa"/>
            <w:vAlign w:val="bottom"/>
            <w:tcBorders>
              <w:left w:val="single" w:sz="8" w:color="auto"/>
              <w:right w:val="single" w:sz="8" w:color="auto"/>
            </w:tcBorders>
          </w:tcPr>
          <w:p>
            <w:pPr>
              <w:ind w:left="300"/>
              <w:spacing w:after="0" w:line="146" w:lineRule="exact"/>
              <w:rPr>
                <w:sz w:val="20"/>
                <w:szCs w:val="20"/>
                <w:color w:val="auto"/>
              </w:rPr>
            </w:pPr>
            <w:r>
              <w:rPr>
                <w:rFonts w:ascii="Arial" w:cs="Arial" w:eastAsia="Arial" w:hAnsi="Arial"/>
                <w:sz w:val="13"/>
                <w:szCs w:val="13"/>
                <w:color w:val="auto"/>
              </w:rPr>
              <w:t>Credit Card</w:t>
            </w:r>
          </w:p>
        </w:tc>
        <w:tc>
          <w:tcPr>
            <w:tcW w:w="780" w:type="dxa"/>
            <w:vAlign w:val="bottom"/>
          </w:tcPr>
          <w:p>
            <w:pPr>
              <w:jc w:val="center"/>
              <w:spacing w:after="0" w:line="146" w:lineRule="exact"/>
              <w:rPr>
                <w:sz w:val="20"/>
                <w:szCs w:val="20"/>
                <w:color w:val="auto"/>
              </w:rPr>
            </w:pPr>
            <w:r>
              <w:rPr>
                <w:rFonts w:ascii="Arial" w:cs="Arial" w:eastAsia="Arial" w:hAnsi="Arial"/>
                <w:sz w:val="13"/>
                <w:szCs w:val="13"/>
                <w:color w:val="auto"/>
                <w:w w:val="98"/>
              </w:rPr>
              <w:t>3,139</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color w:val="auto"/>
              </w:rPr>
              <w:t>3,320</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color w:val="auto"/>
                <w:w w:val="98"/>
              </w:rPr>
              <w:t>3,664</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w w:val="98"/>
              </w:rPr>
              <w:t>3,139</w:t>
            </w:r>
          </w:p>
        </w:tc>
        <w:tc>
          <w:tcPr>
            <w:tcW w:w="460" w:type="dxa"/>
            <w:vAlign w:val="bottom"/>
          </w:tcPr>
          <w:p>
            <w:pPr>
              <w:jc w:val="center"/>
              <w:spacing w:after="0" w:line="146" w:lineRule="exact"/>
              <w:rPr>
                <w:sz w:val="20"/>
                <w:szCs w:val="20"/>
                <w:color w:val="auto"/>
              </w:rPr>
            </w:pPr>
            <w:r>
              <w:rPr>
                <w:rFonts w:ascii="Arial" w:cs="Arial" w:eastAsia="Arial" w:hAnsi="Arial"/>
                <w:sz w:val="13"/>
                <w:szCs w:val="13"/>
                <w:color w:val="auto"/>
                <w:w w:val="98"/>
              </w:rPr>
              <w:t>3,320</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3,664</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rPr>
              <w:t>10.4%</w:t>
            </w:r>
          </w:p>
        </w:tc>
        <w:tc>
          <w:tcPr>
            <w:tcW w:w="460" w:type="dxa"/>
            <w:vAlign w:val="bottom"/>
          </w:tcPr>
          <w:p>
            <w:pPr>
              <w:jc w:val="center"/>
              <w:spacing w:after="0" w:line="146" w:lineRule="exact"/>
              <w:rPr>
                <w:sz w:val="20"/>
                <w:szCs w:val="20"/>
                <w:color w:val="auto"/>
              </w:rPr>
            </w:pPr>
            <w:r>
              <w:rPr>
                <w:rFonts w:ascii="Arial" w:cs="Arial" w:eastAsia="Arial" w:hAnsi="Arial"/>
                <w:sz w:val="13"/>
                <w:szCs w:val="13"/>
                <w:color w:val="auto"/>
              </w:rPr>
              <w:t>16.7%</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w w:val="97"/>
              </w:rPr>
              <w:t>10.4%</w:t>
            </w:r>
          </w:p>
        </w:tc>
        <w:tc>
          <w:tcPr>
            <w:tcW w:w="660" w:type="dxa"/>
            <w:vAlign w:val="bottom"/>
          </w:tcPr>
          <w:p>
            <w:pPr>
              <w:jc w:val="center"/>
              <w:spacing w:after="0" w:line="146" w:lineRule="exact"/>
              <w:rPr>
                <w:sz w:val="20"/>
                <w:szCs w:val="20"/>
                <w:color w:val="auto"/>
              </w:rPr>
            </w:pPr>
            <w:r>
              <w:rPr>
                <w:rFonts w:ascii="Arial" w:cs="Arial" w:eastAsia="Arial" w:hAnsi="Arial"/>
                <w:sz w:val="13"/>
                <w:szCs w:val="13"/>
                <w:color w:val="auto"/>
              </w:rPr>
              <w:t>16.7%</w:t>
            </w:r>
          </w:p>
        </w:tc>
        <w:tc>
          <w:tcPr>
            <w:tcW w:w="740" w:type="dxa"/>
            <w:vAlign w:val="bottom"/>
          </w:tcPr>
          <w:p>
            <w:pPr>
              <w:jc w:val="center"/>
              <w:spacing w:after="0" w:line="146" w:lineRule="exact"/>
              <w:rPr>
                <w:sz w:val="20"/>
                <w:szCs w:val="20"/>
                <w:color w:val="auto"/>
              </w:rPr>
            </w:pPr>
            <w:r>
              <w:rPr>
                <w:rFonts w:ascii="Arial" w:cs="Arial" w:eastAsia="Arial" w:hAnsi="Arial"/>
                <w:sz w:val="13"/>
                <w:szCs w:val="13"/>
                <w:color w:val="auto"/>
              </w:rPr>
              <w:t>190</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rPr>
              <w:t>187</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203</w:t>
            </w:r>
          </w:p>
        </w:tc>
        <w:tc>
          <w:tcPr>
            <w:tcW w:w="420" w:type="dxa"/>
            <w:vAlign w:val="bottom"/>
          </w:tcPr>
          <w:p>
            <w:pPr>
              <w:jc w:val="center"/>
              <w:spacing w:after="0" w:line="146" w:lineRule="exact"/>
              <w:rPr>
                <w:sz w:val="20"/>
                <w:szCs w:val="20"/>
                <w:color w:val="auto"/>
              </w:rPr>
            </w:pPr>
            <w:r>
              <w:rPr>
                <w:rFonts w:ascii="Arial" w:cs="Arial" w:eastAsia="Arial" w:hAnsi="Arial"/>
                <w:sz w:val="13"/>
                <w:szCs w:val="13"/>
                <w:color w:val="auto"/>
              </w:rPr>
              <w:t>9.0%</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7.0%</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auto"/>
                <w:w w:val="97"/>
              </w:rPr>
              <w:t>82.6%</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auto"/>
                <w:w w:val="97"/>
              </w:rPr>
              <w:t>17.4%</w:t>
            </w:r>
          </w:p>
        </w:tc>
        <w:tc>
          <w:tcPr>
            <w:tcW w:w="20" w:type="dxa"/>
            <w:vAlign w:val="bottom"/>
            <w:shd w:val="clear" w:color="auto" w:fill="000000"/>
          </w:tcPr>
          <w:p>
            <w:pPr>
              <w:spacing w:after="0"/>
              <w:rPr>
                <w:sz w:val="12"/>
                <w:szCs w:val="12"/>
                <w:color w:val="auto"/>
              </w:rPr>
            </w:pPr>
          </w:p>
        </w:tc>
      </w:tr>
      <w:tr>
        <w:trPr>
          <w:trHeight w:val="146"/>
        </w:trPr>
        <w:tc>
          <w:tcPr>
            <w:tcW w:w="108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Mibanco</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12,551</w:t>
            </w:r>
          </w:p>
        </w:tc>
        <w:tc>
          <w:tcPr>
            <w:tcW w:w="66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5"/>
              </w:rPr>
              <w:t>13,109</w:t>
            </w:r>
          </w:p>
        </w:tc>
        <w:tc>
          <w:tcPr>
            <w:tcW w:w="600" w:type="dxa"/>
            <w:vAlign w:val="bottom"/>
          </w:tcPr>
          <w:p>
            <w:pPr>
              <w:jc w:val="center"/>
              <w:ind w:right="15"/>
              <w:spacing w:after="0" w:line="146" w:lineRule="exact"/>
              <w:rPr>
                <w:sz w:val="20"/>
                <w:szCs w:val="20"/>
                <w:color w:val="auto"/>
              </w:rPr>
            </w:pPr>
            <w:r>
              <w:rPr>
                <w:rFonts w:ascii="Arial" w:cs="Arial" w:eastAsia="Arial" w:hAnsi="Arial"/>
                <w:sz w:val="13"/>
                <w:szCs w:val="13"/>
                <w:b w:val="1"/>
                <w:bCs w:val="1"/>
                <w:color w:val="auto"/>
              </w:rPr>
              <w:t>13,696</w:t>
            </w:r>
          </w:p>
        </w:tc>
        <w:tc>
          <w:tcPr>
            <w:tcW w:w="4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9,760</w:t>
            </w:r>
          </w:p>
        </w:tc>
        <w:tc>
          <w:tcPr>
            <w:tcW w:w="46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10,938</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11,837</w:t>
            </w:r>
          </w:p>
        </w:tc>
        <w:tc>
          <w:tcPr>
            <w:tcW w:w="60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b w:val="1"/>
                <w:bCs w:val="1"/>
                <w:color w:val="auto"/>
              </w:rPr>
              <w:t>4.5%</w:t>
            </w:r>
          </w:p>
        </w:tc>
        <w:tc>
          <w:tcPr>
            <w:tcW w:w="4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b w:val="1"/>
                <w:bCs w:val="1"/>
                <w:color w:val="auto"/>
              </w:rPr>
              <w:t>9.1%</w:t>
            </w:r>
          </w:p>
        </w:tc>
        <w:tc>
          <w:tcPr>
            <w:tcW w:w="60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b w:val="1"/>
                <w:bCs w:val="1"/>
                <w:color w:val="auto"/>
              </w:rPr>
              <w:t>8.2%</w:t>
            </w:r>
          </w:p>
        </w:tc>
        <w:tc>
          <w:tcPr>
            <w:tcW w:w="660" w:type="dxa"/>
            <w:vAlign w:val="bottom"/>
            <w:shd w:val="clear" w:color="auto" w:fill="26D07C"/>
          </w:tcPr>
          <w:p>
            <w:pPr>
              <w:jc w:val="center"/>
              <w:spacing w:after="0" w:line="146" w:lineRule="exact"/>
              <w:rPr>
                <w:sz w:val="20"/>
                <w:szCs w:val="20"/>
                <w:color w:val="auto"/>
              </w:rPr>
            </w:pPr>
            <w:r>
              <w:rPr>
                <w:rFonts w:ascii="Arial" w:cs="Arial" w:eastAsia="Arial" w:hAnsi="Arial"/>
                <w:sz w:val="13"/>
                <w:szCs w:val="13"/>
                <w:b w:val="1"/>
                <w:bCs w:val="1"/>
                <w:color w:val="auto"/>
              </w:rPr>
              <w:t>21.3%</w:t>
            </w: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124</w:t>
            </w: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126</w:t>
            </w:r>
          </w:p>
        </w:tc>
        <w:tc>
          <w:tcPr>
            <w:tcW w:w="7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126</w:t>
            </w:r>
          </w:p>
        </w:tc>
        <w:tc>
          <w:tcPr>
            <w:tcW w:w="4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0.0%</w:t>
            </w:r>
          </w:p>
        </w:tc>
        <w:tc>
          <w:tcPr>
            <w:tcW w:w="4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1.8%</w:t>
            </w: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96.6%</w:t>
            </w:r>
          </w:p>
        </w:tc>
        <w:tc>
          <w:tcPr>
            <w:tcW w:w="5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3.4%</w:t>
            </w:r>
          </w:p>
        </w:tc>
        <w:tc>
          <w:tcPr>
            <w:tcW w:w="20" w:type="dxa"/>
            <w:vAlign w:val="bottom"/>
            <w:shd w:val="clear" w:color="auto" w:fill="000000"/>
          </w:tcPr>
          <w:p>
            <w:pPr>
              <w:spacing w:after="0"/>
              <w:rPr>
                <w:sz w:val="12"/>
                <w:szCs w:val="12"/>
                <w:color w:val="auto"/>
              </w:rPr>
            </w:pPr>
          </w:p>
        </w:tc>
      </w:tr>
      <w:tr>
        <w:trPr>
          <w:trHeight w:val="138"/>
        </w:trPr>
        <w:tc>
          <w:tcPr>
            <w:tcW w:w="1080" w:type="dxa"/>
            <w:vAlign w:val="bottom"/>
            <w:tcBorders>
              <w:left w:val="single" w:sz="8" w:color="auto"/>
              <w:right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Mibanco</w:t>
            </w:r>
          </w:p>
        </w:tc>
        <w:tc>
          <w:tcPr>
            <w:tcW w:w="780" w:type="dxa"/>
            <w:vAlign w:val="bottom"/>
          </w:tcPr>
          <w:p>
            <w:pPr>
              <w:jc w:val="right"/>
              <w:ind w:right="35"/>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w:t>
            </w:r>
          </w:p>
        </w:tc>
        <w:tc>
          <w:tcPr>
            <w:tcW w:w="4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w:t>
            </w:r>
          </w:p>
        </w:tc>
        <w:tc>
          <w:tcPr>
            <w:tcW w:w="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w:t>
            </w: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w:t>
            </w:r>
          </w:p>
        </w:tc>
        <w:tc>
          <w:tcPr>
            <w:tcW w:w="6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252</w:t>
            </w: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286</w:t>
            </w:r>
          </w:p>
        </w:tc>
        <w:tc>
          <w:tcPr>
            <w:tcW w:w="7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304</w:t>
            </w:r>
          </w:p>
        </w:tc>
        <w:tc>
          <w:tcPr>
            <w:tcW w:w="4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6.3%</w:t>
            </w:r>
          </w:p>
        </w:tc>
        <w:tc>
          <w:tcPr>
            <w:tcW w:w="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20.8%</w:t>
            </w:r>
          </w:p>
        </w:tc>
        <w:tc>
          <w:tcPr>
            <w:tcW w:w="700" w:type="dxa"/>
            <w:vAlign w:val="bottom"/>
          </w:tcPr>
          <w:p>
            <w:pPr>
              <w:jc w:val="center"/>
              <w:ind w:left="475"/>
              <w:spacing w:after="0" w:line="139" w:lineRule="exact"/>
              <w:rPr>
                <w:sz w:val="20"/>
                <w:szCs w:val="20"/>
                <w:color w:val="auto"/>
              </w:rPr>
            </w:pPr>
            <w:r>
              <w:rPr>
                <w:rFonts w:ascii="Arial" w:cs="Arial" w:eastAsia="Arial" w:hAnsi="Arial"/>
                <w:sz w:val="13"/>
                <w:szCs w:val="13"/>
                <w:b w:val="1"/>
                <w:bCs w:val="1"/>
                <w:color w:val="auto"/>
                <w:w w:val="91"/>
              </w:rPr>
              <w:t>-</w:t>
            </w:r>
          </w:p>
        </w:tc>
        <w:tc>
          <w:tcPr>
            <w:tcW w:w="5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9"/>
              </w:rPr>
              <w:t>100.0%</w:t>
            </w:r>
          </w:p>
        </w:tc>
        <w:tc>
          <w:tcPr>
            <w:tcW w:w="20" w:type="dxa"/>
            <w:vAlign w:val="bottom"/>
            <w:shd w:val="clear" w:color="auto" w:fill="000000"/>
          </w:tcPr>
          <w:p>
            <w:pPr>
              <w:spacing w:after="0"/>
              <w:rPr>
                <w:sz w:val="12"/>
                <w:szCs w:val="12"/>
                <w:color w:val="auto"/>
              </w:rPr>
            </w:pPr>
          </w:p>
        </w:tc>
      </w:tr>
      <w:tr>
        <w:trPr>
          <w:trHeight w:val="146"/>
        </w:trPr>
        <w:tc>
          <w:tcPr>
            <w:tcW w:w="1080" w:type="dxa"/>
            <w:vAlign w:val="bottom"/>
            <w:tcBorders>
              <w:left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Colombia</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r>
      <w:tr>
        <w:trPr>
          <w:trHeight w:val="154"/>
        </w:trPr>
        <w:tc>
          <w:tcPr>
            <w:tcW w:w="1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Bolivia</w:t>
            </w:r>
          </w:p>
        </w:tc>
        <w:tc>
          <w:tcPr>
            <w:tcW w:w="78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2,289</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2,284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2,277</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9"/>
              </w:rPr>
              <w:t>-0.3%</w:t>
            </w: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-0.5%</w:t>
            </w:r>
          </w:p>
        </w:tc>
        <w:tc>
          <w:tcPr>
            <w:tcW w:w="700" w:type="dxa"/>
            <w:vAlign w:val="bottom"/>
          </w:tcPr>
          <w:p>
            <w:pPr>
              <w:jc w:val="center"/>
              <w:ind w:left="475"/>
              <w:spacing w:after="0"/>
              <w:rPr>
                <w:sz w:val="20"/>
                <w:szCs w:val="20"/>
                <w:color w:val="auto"/>
              </w:rPr>
            </w:pPr>
            <w:r>
              <w:rPr>
                <w:rFonts w:ascii="Arial" w:cs="Arial" w:eastAsia="Arial" w:hAnsi="Arial"/>
                <w:sz w:val="13"/>
                <w:szCs w:val="13"/>
                <w:b w:val="1"/>
                <w:bCs w:val="1"/>
                <w:color w:val="auto"/>
                <w:w w:val="91"/>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100.0%</w:t>
            </w:r>
          </w:p>
        </w:tc>
        <w:tc>
          <w:tcPr>
            <w:tcW w:w="20" w:type="dxa"/>
            <w:vAlign w:val="bottom"/>
            <w:shd w:val="clear" w:color="auto" w:fill="000000"/>
          </w:tcPr>
          <w:p>
            <w:pPr>
              <w:spacing w:after="0"/>
              <w:rPr>
                <w:sz w:val="13"/>
                <w:szCs w:val="13"/>
                <w:color w:val="auto"/>
              </w:rPr>
            </w:pPr>
          </w:p>
        </w:tc>
      </w:tr>
      <w:tr>
        <w:trPr>
          <w:trHeight w:val="146"/>
        </w:trPr>
        <w:tc>
          <w:tcPr>
            <w:tcW w:w="1080" w:type="dxa"/>
            <w:vAlign w:val="bottom"/>
            <w:tcBorders>
              <w:left w:val="single" w:sz="8" w:color="auto"/>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ASB Bank Corp.</w:t>
            </w:r>
          </w:p>
        </w:tc>
        <w:tc>
          <w:tcPr>
            <w:tcW w:w="780" w:type="dxa"/>
            <w:vAlign w:val="bottom"/>
            <w:tcBorders>
              <w:bottom w:val="single" w:sz="8" w:color="auto"/>
            </w:tcBorders>
          </w:tcPr>
          <w:p>
            <w:pPr>
              <w:jc w:val="right"/>
              <w:ind w:right="35"/>
              <w:spacing w:after="0" w:line="146"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1"/>
              </w:rPr>
              <w:t>-</w:t>
            </w:r>
          </w:p>
        </w:tc>
        <w:tc>
          <w:tcPr>
            <w:tcW w:w="4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1"/>
              </w:rPr>
              <w:t>-</w:t>
            </w:r>
          </w:p>
        </w:tc>
        <w:tc>
          <w:tcPr>
            <w:tcW w:w="48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1"/>
              </w:rPr>
              <w:t>-</w:t>
            </w: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1"/>
              </w:rPr>
              <w:t>-</w:t>
            </w:r>
          </w:p>
        </w:tc>
        <w:tc>
          <w:tcPr>
            <w:tcW w:w="6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629</w:t>
            </w:r>
          </w:p>
        </w:tc>
        <w:tc>
          <w:tcPr>
            <w:tcW w:w="7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558</w:t>
            </w:r>
          </w:p>
        </w:tc>
        <w:tc>
          <w:tcPr>
            <w:tcW w:w="78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536</w:t>
            </w:r>
          </w:p>
        </w:tc>
        <w:tc>
          <w:tcPr>
            <w:tcW w:w="900" w:type="dxa"/>
            <w:vAlign w:val="bottom"/>
            <w:tcBorders>
              <w:bottom w:val="single" w:sz="8" w:color="auto"/>
              <w:right w:val="single" w:sz="8" w:color="auto"/>
            </w:tcBorders>
            <w:gridSpan w:val="2"/>
            <w:shd w:val="clear" w:color="auto" w:fill="FF00FF"/>
          </w:tcPr>
          <w:p>
            <w:pPr>
              <w:jc w:val="right"/>
              <w:spacing w:after="0" w:line="146" w:lineRule="exact"/>
              <w:rPr>
                <w:sz w:val="20"/>
                <w:szCs w:val="20"/>
                <w:color w:val="auto"/>
              </w:rPr>
            </w:pPr>
            <w:r>
              <w:rPr>
                <w:rFonts w:ascii="Arial" w:cs="Arial" w:eastAsia="Arial" w:hAnsi="Arial"/>
                <w:sz w:val="13"/>
                <w:szCs w:val="13"/>
                <w:b w:val="1"/>
                <w:bCs w:val="1"/>
                <w:color w:val="auto"/>
              </w:rPr>
              <w:t>-4.0% -14.7%</w:t>
            </w:r>
          </w:p>
        </w:tc>
        <w:tc>
          <w:tcPr>
            <w:tcW w:w="700" w:type="dxa"/>
            <w:vAlign w:val="bottom"/>
            <w:tcBorders>
              <w:bottom w:val="single" w:sz="8" w:color="auto"/>
            </w:tcBorders>
          </w:tcPr>
          <w:p>
            <w:pPr>
              <w:jc w:val="center"/>
              <w:ind w:left="475"/>
              <w:spacing w:after="0" w:line="146" w:lineRule="exact"/>
              <w:rPr>
                <w:sz w:val="20"/>
                <w:szCs w:val="20"/>
                <w:color w:val="auto"/>
              </w:rPr>
            </w:pPr>
            <w:r>
              <w:rPr>
                <w:rFonts w:ascii="Arial" w:cs="Arial" w:eastAsia="Arial" w:hAnsi="Arial"/>
                <w:sz w:val="13"/>
                <w:szCs w:val="13"/>
                <w:b w:val="1"/>
                <w:bCs w:val="1"/>
                <w:color w:val="auto"/>
                <w:w w:val="91"/>
              </w:rPr>
              <w:t>-</w:t>
            </w:r>
          </w:p>
        </w:tc>
        <w:tc>
          <w:tcPr>
            <w:tcW w:w="5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9"/>
              </w:rPr>
              <w:t>100.0%</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1080" w:type="dxa"/>
            <w:vAlign w:val="bottom"/>
            <w:tcBorders>
              <w:left w:val="single" w:sz="8" w:color="auto"/>
              <w:bottom w:val="single" w:sz="8" w:color="auto"/>
              <w:right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Total loans</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93,511</w:t>
            </w:r>
          </w:p>
        </w:tc>
        <w:tc>
          <w:tcPr>
            <w:tcW w:w="660" w:type="dxa"/>
            <w:vAlign w:val="bottom"/>
            <w:tcBorders>
              <w:bottom w:val="single" w:sz="8" w:color="auto"/>
            </w:tcBorders>
          </w:tcPr>
          <w:p>
            <w:pPr>
              <w:jc w:val="center"/>
              <w:ind w:right="55"/>
              <w:spacing w:after="0" w:line="139" w:lineRule="exact"/>
              <w:rPr>
                <w:sz w:val="20"/>
                <w:szCs w:val="20"/>
                <w:color w:val="auto"/>
              </w:rPr>
            </w:pPr>
            <w:r>
              <w:rPr>
                <w:rFonts w:ascii="Arial" w:cs="Arial" w:eastAsia="Arial" w:hAnsi="Arial"/>
                <w:sz w:val="13"/>
                <w:szCs w:val="13"/>
                <w:b w:val="1"/>
                <w:bCs w:val="1"/>
                <w:color w:val="auto"/>
                <w:w w:val="95"/>
              </w:rPr>
              <w:t>98,401</w:t>
            </w:r>
          </w:p>
        </w:tc>
        <w:tc>
          <w:tcPr>
            <w:tcW w:w="600" w:type="dxa"/>
            <w:vAlign w:val="bottom"/>
            <w:tcBorders>
              <w:bottom w:val="single" w:sz="8" w:color="auto"/>
            </w:tcBorders>
          </w:tcPr>
          <w:p>
            <w:pPr>
              <w:jc w:val="center"/>
              <w:ind w:right="15"/>
              <w:spacing w:after="0" w:line="139" w:lineRule="exact"/>
              <w:rPr>
                <w:sz w:val="20"/>
                <w:szCs w:val="20"/>
                <w:color w:val="auto"/>
              </w:rPr>
            </w:pPr>
            <w:r>
              <w:rPr>
                <w:rFonts w:ascii="Arial" w:cs="Arial" w:eastAsia="Arial" w:hAnsi="Arial"/>
                <w:sz w:val="13"/>
                <w:szCs w:val="13"/>
                <w:b w:val="1"/>
                <w:bCs w:val="1"/>
                <w:color w:val="auto"/>
              </w:rPr>
              <w:t>98,858</w:t>
            </w:r>
          </w:p>
        </w:tc>
        <w:tc>
          <w:tcPr>
            <w:tcW w:w="88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rPr>
              <w:t>69,701 80,918</w:t>
            </w:r>
          </w:p>
        </w:tc>
        <w:tc>
          <w:tcPr>
            <w:tcW w:w="4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84,368</w:t>
            </w:r>
          </w:p>
        </w:tc>
        <w:tc>
          <w:tcPr>
            <w:tcW w:w="6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0.5%</w:t>
            </w:r>
          </w:p>
        </w:tc>
        <w:tc>
          <w:tcPr>
            <w:tcW w:w="4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5.7%</w:t>
            </w:r>
          </w:p>
        </w:tc>
        <w:tc>
          <w:tcPr>
            <w:tcW w:w="6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4.3%</w:t>
            </w:r>
          </w:p>
        </w:tc>
        <w:tc>
          <w:tcPr>
            <w:tcW w:w="6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21.0%</w:t>
            </w:r>
          </w:p>
        </w:tc>
        <w:tc>
          <w:tcPr>
            <w:tcW w:w="74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12,051</w:t>
            </w:r>
          </w:p>
        </w:tc>
        <w:tc>
          <w:tcPr>
            <w:tcW w:w="7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12,005</w:t>
            </w:r>
          </w:p>
        </w:tc>
        <w:tc>
          <w:tcPr>
            <w:tcW w:w="7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12,521</w:t>
            </w:r>
          </w:p>
        </w:tc>
        <w:tc>
          <w:tcPr>
            <w:tcW w:w="4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4.3%</w:t>
            </w:r>
          </w:p>
        </w:tc>
        <w:tc>
          <w:tcPr>
            <w:tcW w:w="4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3.9%</w:t>
            </w:r>
          </w:p>
        </w:tc>
        <w:tc>
          <w:tcPr>
            <w:tcW w:w="7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67.6%</w:t>
            </w:r>
          </w:p>
        </w:tc>
        <w:tc>
          <w:tcPr>
            <w:tcW w:w="5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7"/>
              </w:rPr>
              <w:t>32.4%</w:t>
            </w:r>
          </w:p>
        </w:tc>
        <w:tc>
          <w:tcPr>
            <w:tcW w:w="20" w:type="dxa"/>
            <w:vAlign w:val="bottom"/>
            <w:tcBorders>
              <w:bottom w:val="single" w:sz="8" w:color="auto"/>
            </w:tcBorders>
            <w:shd w:val="clear" w:color="auto" w:fill="000000"/>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-1917065</wp:posOffset>
            </wp:positionV>
            <wp:extent cx="1905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500" cy="762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-1917065</wp:posOffset>
            </wp:positionV>
            <wp:extent cx="3892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9255" cy="76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-1917065</wp:posOffset>
            </wp:positionV>
            <wp:extent cx="1905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0500" cy="7620"/>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139065</wp:posOffset>
            </wp:positionV>
            <wp:extent cx="1136650" cy="2012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6650" cy="201295"/>
                    </a:xfrm>
                    <a:prstGeom prst="rect">
                      <a:avLst/>
                    </a:prstGeom>
                    <a:noFill/>
                  </pic:spPr>
                </pic:pic>
              </a:graphicData>
            </a:graphic>
          </wp:anchor>
        </w:drawing>
      </w:r>
    </w:p>
    <w:p>
      <w:pPr>
        <w:spacing w:after="0" w:line="228" w:lineRule="exact"/>
        <w:rPr>
          <w:sz w:val="20"/>
          <w:szCs w:val="20"/>
          <w:color w:val="auto"/>
        </w:rPr>
      </w:pPr>
    </w:p>
    <w:p>
      <w:pPr>
        <w:ind w:left="163" w:hanging="163"/>
        <w:spacing w:after="0"/>
        <w:tabs>
          <w:tab w:leader="none" w:pos="163"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Work out unit, and other banking.</w:t>
      </w:r>
    </w:p>
    <w:p>
      <w:pPr>
        <w:spacing w:after="0" w:line="5" w:lineRule="exact"/>
        <w:rPr>
          <w:rFonts w:ascii="Arial" w:cs="Arial" w:eastAsia="Arial" w:hAnsi="Arial"/>
          <w:sz w:val="11"/>
          <w:szCs w:val="11"/>
          <w:color w:val="auto"/>
        </w:rPr>
      </w:pPr>
    </w:p>
    <w:p>
      <w:pPr>
        <w:ind w:left="163" w:hanging="163"/>
        <w:spacing w:after="0"/>
        <w:tabs>
          <w:tab w:leader="none" w:pos="163"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233"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At the end of June 2022, the dollarization level of structural loans increased 20bps QoQ (35.8% in Jun22). This evolution was primarily attributable to an uptick in FC disbursements in Wholesale Banking (whose share in FC rose 170bps QoQ) and to a variation in the exchange rate, which impacted the Wholesale Banking and Middle Market portfolios at BCP Stand-alone and BCP Bolivia in particular.</w:t>
      </w:r>
    </w:p>
    <w:p>
      <w:pPr>
        <w:spacing w:after="0" w:line="181"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YoY, the dollarization level of the structural portfolio fell (-380bps) given that growth in LC loans (+21.1%) outstripped the increase registered for FC loans (+3.9%). The uptick in LC was seen primarily in the Wholesale Banking and SME-Pyme segments at BCP Stand-alone and was driven by short-term financing for Working Capital.</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Evolution of the Dollarization Level of Loans by Segment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158115</wp:posOffset>
            </wp:positionV>
            <wp:extent cx="5513705" cy="1624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13705"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63" w:hanging="140"/>
        <w:spacing w:after="0"/>
        <w:tabs>
          <w:tab w:leader="none" w:pos="1163"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FC share of Credicorp’s loan portfolio is calculated including BCP Bolivia and ASB Bank Corp., however the chart shows only the loan books of BCP Stand-alone and Mibanco.</w:t>
      </w:r>
    </w:p>
    <w:p>
      <w:pPr>
        <w:spacing w:after="0" w:line="7" w:lineRule="exact"/>
        <w:rPr>
          <w:rFonts w:ascii="Times New Roman" w:cs="Times New Roman" w:eastAsia="Times New Roman" w:hAnsi="Times New Roman"/>
          <w:sz w:val="11"/>
          <w:szCs w:val="11"/>
          <w:color w:val="auto"/>
        </w:rPr>
      </w:pPr>
    </w:p>
    <w:p>
      <w:pPr>
        <w:ind w:left="1023" w:right="2340"/>
        <w:spacing w:after="0" w:line="235" w:lineRule="auto"/>
        <w:tabs>
          <w:tab w:leader="none" w:pos="1172"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year with the historic maximum level of dollarization for Wholesale Banking was 2012, for Mibanco was 2016, for Credit Card was in 2021 and for the rest of segments was 2009. * For dollarization figures in quarter-end period, please refer to “12. Annexes – 12.2 Loan Portfolio Quality”.</w:t>
      </w:r>
    </w:p>
    <w:p>
      <w:pPr>
        <w:spacing w:after="0" w:line="1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Evolution of Quarter-end Loan Balances</w:t>
      </w:r>
    </w:p>
    <w:p>
      <w:pPr>
        <w:spacing w:after="0" w:line="232"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Structural loans balances increased 6.8% QoQ. If we isolate the impact of the drop in the exchange rate, structural loans increased 5.7% QoQ, driven by upticks in Wholesale Banking, SME-Pyme and Consumer loans at BCP Individuals and by growth at Mibanco, which was attributable to the same factors that drove the evolution of average daily balances. If we incorporate the contraction of the GP portfolio in the analysis, total loan balances increased 4.0% QoQ.</w:t>
      </w:r>
    </w:p>
    <w:p>
      <w:pPr>
        <w:spacing w:after="0" w:line="181"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In the YoY evolution, structural loans registered 14.1% growth in quarter-end balances. FX Neutral, structural loans rose 14.8%, driven by the same segments responsible for QoQ growth. Taking into account the decline in GP loans, total loans increased 5.1% YoY.</w:t>
      </w:r>
    </w:p>
    <w:p>
      <w:pPr>
        <w:spacing w:after="0" w:line="310"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19" w:name="page20"/>
    <w:bookmarkEnd w:id="19"/>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Portfolio Quality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Structural Portfolio Quality (in Quarter-end Balances)</w:t>
      </w:r>
      <w:r>
        <w:rPr>
          <w:rFonts w:ascii="Times New Roman" w:cs="Times New Roman" w:eastAsia="Times New Roman" w:hAnsi="Times New Roman"/>
          <w:sz w:val="27"/>
          <w:szCs w:val="27"/>
          <w:b w:val="1"/>
          <w:bCs w:val="1"/>
          <w:color w:val="auto"/>
          <w:vertAlign w:val="superscript"/>
        </w:rPr>
        <w:t>(1)</w:t>
      </w:r>
    </w:p>
    <w:p>
      <w:pPr>
        <w:spacing w:after="0" w:line="35" w:lineRule="exact"/>
        <w:rPr>
          <w:sz w:val="20"/>
          <w:szCs w:val="20"/>
          <w:color w:val="auto"/>
        </w:rPr>
      </w:pPr>
    </w:p>
    <w:tbl>
      <w:tblPr>
        <w:tblLayout w:type="fixed"/>
        <w:tblInd w:w="570" w:type="dxa"/>
        <w:tblCellMar>
          <w:top w:w="0" w:type="dxa"/>
          <w:left w:w="0" w:type="dxa"/>
          <w:bottom w:w="0" w:type="dxa"/>
          <w:right w:w="0" w:type="dxa"/>
        </w:tblCellMar>
      </w:tblPr>
      <w:tr>
        <w:trPr>
          <w:trHeight w:val="138"/>
        </w:trPr>
        <w:tc>
          <w:tcPr>
            <w:tcW w:w="4420" w:type="dxa"/>
            <w:vAlign w:val="bottom"/>
            <w:tcBorders>
              <w:top w:val="single" w:sz="8" w:color="auto"/>
              <w:left w:val="single" w:sz="8" w:color="auto"/>
              <w:right w:val="single" w:sz="8" w:color="auto"/>
            </w:tcBorders>
            <w:shd w:val="clear" w:color="auto" w:fill="33CCCC"/>
          </w:tcPr>
          <w:p>
            <w:pPr>
              <w:ind w:left="20"/>
              <w:spacing w:after="0" w:line="139" w:lineRule="exact"/>
              <w:rPr>
                <w:sz w:val="20"/>
                <w:szCs w:val="20"/>
                <w:color w:val="auto"/>
              </w:rPr>
            </w:pPr>
            <w:r>
              <w:rPr>
                <w:rFonts w:ascii="Arial" w:cs="Arial" w:eastAsia="Arial" w:hAnsi="Arial"/>
                <w:sz w:val="13"/>
                <w:szCs w:val="13"/>
                <w:b w:val="1"/>
                <w:bCs w:val="1"/>
                <w:color w:val="FFFFFF"/>
              </w:rPr>
              <w:t>Structural Portfolio quality and Delinquency ratios</w:t>
            </w:r>
          </w:p>
        </w:tc>
        <w:tc>
          <w:tcPr>
            <w:tcW w:w="1340" w:type="dxa"/>
            <w:vAlign w:val="bottom"/>
            <w:tcBorders>
              <w:top w:val="single" w:sz="8" w:color="auto"/>
            </w:tcBorders>
            <w:shd w:val="clear" w:color="auto" w:fill="33CCCC"/>
          </w:tcPr>
          <w:p>
            <w:pPr>
              <w:spacing w:after="0"/>
              <w:rPr>
                <w:sz w:val="12"/>
                <w:szCs w:val="12"/>
                <w:color w:val="auto"/>
              </w:rPr>
            </w:pPr>
          </w:p>
        </w:tc>
        <w:tc>
          <w:tcPr>
            <w:tcW w:w="1160" w:type="dxa"/>
            <w:vAlign w:val="bottom"/>
            <w:tcBorders>
              <w:top w:val="single" w:sz="8" w:color="auto"/>
            </w:tcBorders>
            <w:shd w:val="clear" w:color="auto" w:fill="33CCCC"/>
          </w:tcPr>
          <w:p>
            <w:pPr>
              <w:jc w:val="right"/>
              <w:ind w:right="535"/>
              <w:spacing w:after="0" w:line="139" w:lineRule="exact"/>
              <w:rPr>
                <w:sz w:val="20"/>
                <w:szCs w:val="20"/>
                <w:color w:val="auto"/>
              </w:rPr>
            </w:pPr>
            <w:r>
              <w:rPr>
                <w:rFonts w:ascii="Arial" w:cs="Arial" w:eastAsia="Arial" w:hAnsi="Arial"/>
                <w:sz w:val="13"/>
                <w:szCs w:val="13"/>
                <w:b w:val="1"/>
                <w:bCs w:val="1"/>
                <w:color w:val="FFFFFF"/>
              </w:rPr>
              <w:t>As of</w:t>
            </w:r>
          </w:p>
        </w:tc>
        <w:tc>
          <w:tcPr>
            <w:tcW w:w="1020" w:type="dxa"/>
            <w:vAlign w:val="bottom"/>
            <w:tcBorders>
              <w:top w:val="single" w:sz="8" w:color="auto"/>
              <w:right w:val="single" w:sz="8" w:color="auto"/>
            </w:tcBorders>
            <w:shd w:val="clear" w:color="auto" w:fill="33CCCC"/>
          </w:tcPr>
          <w:p>
            <w:pPr>
              <w:spacing w:after="0"/>
              <w:rPr>
                <w:sz w:val="12"/>
                <w:szCs w:val="12"/>
                <w:color w:val="auto"/>
              </w:rPr>
            </w:pPr>
          </w:p>
        </w:tc>
        <w:tc>
          <w:tcPr>
            <w:tcW w:w="780" w:type="dxa"/>
            <w:vAlign w:val="bottom"/>
            <w:tcBorders>
              <w:top w:val="single" w:sz="8" w:color="auto"/>
            </w:tcBorders>
            <w:shd w:val="clear" w:color="auto" w:fill="33CCCC"/>
          </w:tcPr>
          <w:p>
            <w:pPr>
              <w:spacing w:after="0"/>
              <w:rPr>
                <w:sz w:val="12"/>
                <w:szCs w:val="12"/>
                <w:color w:val="auto"/>
              </w:rPr>
            </w:pPr>
          </w:p>
        </w:tc>
        <w:tc>
          <w:tcPr>
            <w:tcW w:w="1420" w:type="dxa"/>
            <w:vAlign w:val="bottom"/>
            <w:tcBorders>
              <w:top w:val="single" w:sz="8" w:color="auto"/>
            </w:tcBorders>
            <w:shd w:val="clear" w:color="auto" w:fill="33CCCC"/>
          </w:tcPr>
          <w:p>
            <w:pPr>
              <w:spacing w:after="0" w:line="139" w:lineRule="exact"/>
              <w:rPr>
                <w:sz w:val="20"/>
                <w:szCs w:val="20"/>
                <w:color w:val="auto"/>
              </w:rPr>
            </w:pPr>
            <w:r>
              <w:rPr>
                <w:rFonts w:ascii="Arial" w:cs="Arial" w:eastAsia="Arial" w:hAnsi="Arial"/>
                <w:sz w:val="13"/>
                <w:szCs w:val="13"/>
                <w:b w:val="1"/>
                <w:bCs w:val="1"/>
                <w:color w:val="FFFFFF"/>
              </w:rPr>
              <w:t>% change</w:t>
            </w:r>
          </w:p>
        </w:tc>
        <w:tc>
          <w:tcPr>
            <w:tcW w:w="20" w:type="dxa"/>
            <w:vAlign w:val="bottom"/>
          </w:tcPr>
          <w:p>
            <w:pPr>
              <w:spacing w:after="0"/>
              <w:rPr>
                <w:sz w:val="12"/>
                <w:szCs w:val="12"/>
                <w:color w:val="auto"/>
              </w:rPr>
            </w:pPr>
          </w:p>
        </w:tc>
      </w:tr>
      <w:tr>
        <w:trPr>
          <w:trHeight w:val="146"/>
        </w:trPr>
        <w:tc>
          <w:tcPr>
            <w:tcW w:w="4420" w:type="dxa"/>
            <w:vAlign w:val="bottom"/>
            <w:tcBorders>
              <w:left w:val="single" w:sz="8" w:color="auto"/>
              <w:bottom w:val="single" w:sz="8" w:color="auto"/>
              <w:right w:val="single" w:sz="8" w:color="auto"/>
            </w:tcBorders>
            <w:shd w:val="clear" w:color="auto" w:fill="33CCCC"/>
          </w:tcPr>
          <w:p>
            <w:pPr>
              <w:ind w:left="20"/>
              <w:spacing w:after="0" w:line="146" w:lineRule="exact"/>
              <w:rPr>
                <w:sz w:val="20"/>
                <w:szCs w:val="20"/>
                <w:color w:val="auto"/>
              </w:rPr>
            </w:pPr>
            <w:r>
              <w:rPr>
                <w:rFonts w:ascii="Arial" w:cs="Arial" w:eastAsia="Arial" w:hAnsi="Arial"/>
                <w:sz w:val="13"/>
                <w:szCs w:val="13"/>
                <w:b w:val="1"/>
                <w:bCs w:val="1"/>
                <w:color w:val="FFFFFF"/>
              </w:rPr>
              <w:t>S/ 000</w:t>
            </w:r>
          </w:p>
        </w:tc>
        <w:tc>
          <w:tcPr>
            <w:tcW w:w="1340" w:type="dxa"/>
            <w:vAlign w:val="bottom"/>
            <w:tcBorders>
              <w:bottom w:val="single" w:sz="8" w:color="auto"/>
            </w:tcBorders>
            <w:shd w:val="clear" w:color="auto" w:fill="33CCCC"/>
          </w:tcPr>
          <w:p>
            <w:pPr>
              <w:jc w:val="right"/>
              <w:ind w:right="495"/>
              <w:spacing w:after="0" w:line="146" w:lineRule="exact"/>
              <w:rPr>
                <w:sz w:val="20"/>
                <w:szCs w:val="20"/>
                <w:color w:val="auto"/>
              </w:rPr>
            </w:pPr>
            <w:r>
              <w:rPr>
                <w:rFonts w:ascii="Arial" w:cs="Arial" w:eastAsia="Arial" w:hAnsi="Arial"/>
                <w:sz w:val="13"/>
                <w:szCs w:val="13"/>
                <w:b w:val="1"/>
                <w:bCs w:val="1"/>
                <w:color w:val="FFFFFF"/>
              </w:rPr>
              <w:t>Jun 21</w:t>
            </w:r>
          </w:p>
        </w:tc>
        <w:tc>
          <w:tcPr>
            <w:tcW w:w="1160" w:type="dxa"/>
            <w:vAlign w:val="bottom"/>
            <w:tcBorders>
              <w:bottom w:val="single" w:sz="8" w:color="auto"/>
            </w:tcBorders>
            <w:shd w:val="clear" w:color="auto" w:fill="33CCCC"/>
          </w:tcPr>
          <w:p>
            <w:pPr>
              <w:jc w:val="right"/>
              <w:ind w:right="495"/>
              <w:spacing w:after="0" w:line="146" w:lineRule="exact"/>
              <w:rPr>
                <w:sz w:val="20"/>
                <w:szCs w:val="20"/>
                <w:color w:val="auto"/>
              </w:rPr>
            </w:pPr>
            <w:r>
              <w:rPr>
                <w:rFonts w:ascii="Arial" w:cs="Arial" w:eastAsia="Arial" w:hAnsi="Arial"/>
                <w:sz w:val="13"/>
                <w:szCs w:val="13"/>
                <w:b w:val="1"/>
                <w:bCs w:val="1"/>
                <w:color w:val="FFFFFF"/>
              </w:rPr>
              <w:t>Mar 22</w:t>
            </w:r>
          </w:p>
        </w:tc>
        <w:tc>
          <w:tcPr>
            <w:tcW w:w="1020" w:type="dxa"/>
            <w:vAlign w:val="bottom"/>
            <w:tcBorders>
              <w:bottom w:val="single" w:sz="8" w:color="auto"/>
              <w:right w:val="single" w:sz="8" w:color="auto"/>
            </w:tcBorders>
            <w:shd w:val="clear" w:color="auto" w:fill="33CCCC"/>
          </w:tcPr>
          <w:p>
            <w:pPr>
              <w:jc w:val="right"/>
              <w:ind w:right="355"/>
              <w:spacing w:after="0" w:line="146" w:lineRule="exact"/>
              <w:rPr>
                <w:sz w:val="20"/>
                <w:szCs w:val="20"/>
                <w:color w:val="auto"/>
              </w:rPr>
            </w:pPr>
            <w:r>
              <w:rPr>
                <w:rFonts w:ascii="Arial" w:cs="Arial" w:eastAsia="Arial" w:hAnsi="Arial"/>
                <w:sz w:val="13"/>
                <w:szCs w:val="13"/>
                <w:b w:val="1"/>
                <w:bCs w:val="1"/>
                <w:color w:val="FFFFFF"/>
              </w:rPr>
              <w:t>Jun 22</w:t>
            </w:r>
          </w:p>
        </w:tc>
        <w:tc>
          <w:tcPr>
            <w:tcW w:w="780" w:type="dxa"/>
            <w:vAlign w:val="bottom"/>
            <w:tcBorders>
              <w:bottom w:val="single" w:sz="8" w:color="auto"/>
            </w:tcBorders>
            <w:shd w:val="clear" w:color="auto" w:fill="33CCCC"/>
          </w:tcPr>
          <w:p>
            <w:pPr>
              <w:jc w:val="center"/>
              <w:ind w:left="195"/>
              <w:spacing w:after="0" w:line="146" w:lineRule="exact"/>
              <w:rPr>
                <w:sz w:val="20"/>
                <w:szCs w:val="20"/>
                <w:color w:val="auto"/>
              </w:rPr>
            </w:pPr>
            <w:r>
              <w:rPr>
                <w:rFonts w:ascii="Arial" w:cs="Arial" w:eastAsia="Arial" w:hAnsi="Arial"/>
                <w:sz w:val="13"/>
                <w:szCs w:val="13"/>
                <w:b w:val="1"/>
                <w:bCs w:val="1"/>
                <w:color w:val="FFFFFF"/>
                <w:w w:val="99"/>
              </w:rPr>
              <w:t>QoQ</w:t>
            </w:r>
          </w:p>
        </w:tc>
        <w:tc>
          <w:tcPr>
            <w:tcW w:w="1420" w:type="dxa"/>
            <w:vAlign w:val="bottom"/>
            <w:tcBorders>
              <w:bottom w:val="single" w:sz="8" w:color="auto"/>
            </w:tcBorders>
            <w:shd w:val="clear" w:color="auto" w:fill="33CCCC"/>
          </w:tcPr>
          <w:p>
            <w:pPr>
              <w:jc w:val="center"/>
              <w:ind w:left="215"/>
              <w:spacing w:after="0" w:line="146" w:lineRule="exact"/>
              <w:rPr>
                <w:sz w:val="20"/>
                <w:szCs w:val="20"/>
                <w:color w:val="auto"/>
              </w:rPr>
            </w:pPr>
            <w:r>
              <w:rPr>
                <w:rFonts w:ascii="Arial" w:cs="Arial" w:eastAsia="Arial" w:hAnsi="Arial"/>
                <w:sz w:val="13"/>
                <w:szCs w:val="13"/>
                <w:b w:val="1"/>
                <w:bCs w:val="1"/>
                <w:color w:val="FFFFFF"/>
              </w:rPr>
              <w:t>YoY</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2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rPr>
              <w:t>Structural loans (Quarter-end balance)</w:t>
            </w:r>
          </w:p>
        </w:tc>
        <w:tc>
          <w:tcPr>
            <w:tcW w:w="13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120,095,401</w:t>
            </w:r>
          </w:p>
        </w:tc>
        <w:tc>
          <w:tcPr>
            <w:tcW w:w="11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128,265,640</w:t>
            </w:r>
          </w:p>
        </w:tc>
        <w:tc>
          <w:tcPr>
            <w:tcW w:w="10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137,036,175</w:t>
            </w:r>
          </w:p>
        </w:tc>
        <w:tc>
          <w:tcPr>
            <w:tcW w:w="78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b w:val="1"/>
                <w:bCs w:val="1"/>
                <w:color w:val="auto"/>
              </w:rPr>
              <w:t>6.8%</w:t>
            </w:r>
          </w:p>
        </w:tc>
        <w:tc>
          <w:tcPr>
            <w:tcW w:w="142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b w:val="1"/>
                <w:bCs w:val="1"/>
                <w:color w:val="auto"/>
              </w:rPr>
              <w:t>14.1%</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2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Structural Allowance for loan losses</w:t>
            </w:r>
          </w:p>
        </w:tc>
        <w:tc>
          <w:tcPr>
            <w:tcW w:w="13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9,245,140</w:t>
            </w:r>
          </w:p>
        </w:tc>
        <w:tc>
          <w:tcPr>
            <w:tcW w:w="11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8,061,670</w:t>
            </w:r>
          </w:p>
        </w:tc>
        <w:tc>
          <w:tcPr>
            <w:tcW w:w="10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8,112,356</w:t>
            </w:r>
          </w:p>
        </w:tc>
        <w:tc>
          <w:tcPr>
            <w:tcW w:w="78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rPr>
              <w:t>0.6%</w:t>
            </w:r>
          </w:p>
        </w:tc>
        <w:tc>
          <w:tcPr>
            <w:tcW w:w="142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rPr>
              <w:t>-12.3%</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2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Structural Write-offs</w:t>
            </w:r>
          </w:p>
        </w:tc>
        <w:tc>
          <w:tcPr>
            <w:tcW w:w="13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742,211</w:t>
            </w:r>
          </w:p>
        </w:tc>
        <w:tc>
          <w:tcPr>
            <w:tcW w:w="11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378,093</w:t>
            </w:r>
          </w:p>
        </w:tc>
        <w:tc>
          <w:tcPr>
            <w:tcW w:w="102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413,501</w:t>
            </w:r>
          </w:p>
        </w:tc>
        <w:tc>
          <w:tcPr>
            <w:tcW w:w="78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rPr>
              <w:t>9.4%</w:t>
            </w:r>
          </w:p>
        </w:tc>
        <w:tc>
          <w:tcPr>
            <w:tcW w:w="142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rPr>
              <w:t>-44.3%</w:t>
            </w:r>
          </w:p>
        </w:tc>
        <w:tc>
          <w:tcPr>
            <w:tcW w:w="20" w:type="dxa"/>
            <w:vAlign w:val="bottom"/>
            <w:tcBorders>
              <w:bottom w:val="single" w:sz="8" w:color="auto"/>
            </w:tcBorders>
            <w:shd w:val="clear" w:color="auto" w:fill="000000"/>
          </w:tcPr>
          <w:p>
            <w:pPr>
              <w:spacing w:after="0"/>
              <w:rPr>
                <w:sz w:val="12"/>
                <w:szCs w:val="12"/>
                <w:color w:val="auto"/>
              </w:rPr>
            </w:pPr>
          </w:p>
        </w:tc>
      </w:tr>
      <w:tr>
        <w:trPr>
          <w:trHeight w:val="131"/>
        </w:trPr>
        <w:tc>
          <w:tcPr>
            <w:tcW w:w="442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Structural IOLs</w:t>
            </w:r>
          </w:p>
        </w:tc>
        <w:tc>
          <w:tcPr>
            <w:tcW w:w="1340" w:type="dxa"/>
            <w:vAlign w:val="bottom"/>
          </w:tcPr>
          <w:p>
            <w:pPr>
              <w:jc w:val="right"/>
              <w:ind w:right="135"/>
              <w:spacing w:after="0" w:line="131" w:lineRule="exact"/>
              <w:rPr>
                <w:sz w:val="20"/>
                <w:szCs w:val="20"/>
                <w:color w:val="auto"/>
              </w:rPr>
            </w:pPr>
            <w:r>
              <w:rPr>
                <w:rFonts w:ascii="Arial" w:cs="Arial" w:eastAsia="Arial" w:hAnsi="Arial"/>
                <w:sz w:val="13"/>
                <w:szCs w:val="13"/>
                <w:color w:val="auto"/>
              </w:rPr>
              <w:t>4,913,569</w:t>
            </w:r>
          </w:p>
        </w:tc>
        <w:tc>
          <w:tcPr>
            <w:tcW w:w="1160" w:type="dxa"/>
            <w:vAlign w:val="bottom"/>
          </w:tcPr>
          <w:p>
            <w:pPr>
              <w:jc w:val="right"/>
              <w:ind w:right="115"/>
              <w:spacing w:after="0" w:line="131" w:lineRule="exact"/>
              <w:rPr>
                <w:sz w:val="20"/>
                <w:szCs w:val="20"/>
                <w:color w:val="auto"/>
              </w:rPr>
            </w:pPr>
            <w:r>
              <w:rPr>
                <w:rFonts w:ascii="Arial" w:cs="Arial" w:eastAsia="Arial" w:hAnsi="Arial"/>
                <w:sz w:val="13"/>
                <w:szCs w:val="13"/>
                <w:color w:val="auto"/>
              </w:rPr>
              <w:t>4,841,329</w:t>
            </w:r>
          </w:p>
        </w:tc>
        <w:tc>
          <w:tcPr>
            <w:tcW w:w="10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color w:val="auto"/>
              </w:rPr>
              <w:t>5,077,879</w:t>
            </w:r>
          </w:p>
        </w:tc>
        <w:tc>
          <w:tcPr>
            <w:tcW w:w="780" w:type="dxa"/>
            <w:vAlign w:val="bottom"/>
          </w:tcPr>
          <w:p>
            <w:pPr>
              <w:jc w:val="center"/>
              <w:ind w:left="215"/>
              <w:spacing w:after="0" w:line="131" w:lineRule="exact"/>
              <w:rPr>
                <w:sz w:val="20"/>
                <w:szCs w:val="20"/>
                <w:color w:val="auto"/>
              </w:rPr>
            </w:pPr>
            <w:r>
              <w:rPr>
                <w:rFonts w:ascii="Arial" w:cs="Arial" w:eastAsia="Arial" w:hAnsi="Arial"/>
                <w:sz w:val="13"/>
                <w:szCs w:val="13"/>
                <w:color w:val="auto"/>
              </w:rPr>
              <w:t>4.9%</w:t>
            </w:r>
          </w:p>
        </w:tc>
        <w:tc>
          <w:tcPr>
            <w:tcW w:w="1420" w:type="dxa"/>
            <w:vAlign w:val="bottom"/>
          </w:tcPr>
          <w:p>
            <w:pPr>
              <w:jc w:val="center"/>
              <w:ind w:left="215"/>
              <w:spacing w:after="0" w:line="131" w:lineRule="exact"/>
              <w:rPr>
                <w:sz w:val="20"/>
                <w:szCs w:val="20"/>
                <w:color w:val="auto"/>
              </w:rPr>
            </w:pPr>
            <w:r>
              <w:rPr>
                <w:rFonts w:ascii="Arial" w:cs="Arial" w:eastAsia="Arial" w:hAnsi="Arial"/>
                <w:sz w:val="13"/>
                <w:szCs w:val="13"/>
                <w:color w:val="auto"/>
              </w:rPr>
              <w:t>3.3%</w:t>
            </w:r>
          </w:p>
        </w:tc>
        <w:tc>
          <w:tcPr>
            <w:tcW w:w="20" w:type="dxa"/>
            <w:vAlign w:val="bottom"/>
            <w:shd w:val="clear" w:color="auto" w:fill="000000"/>
          </w:tcPr>
          <w:p>
            <w:pPr>
              <w:spacing w:after="0"/>
              <w:rPr>
                <w:sz w:val="11"/>
                <w:szCs w:val="11"/>
                <w:color w:val="auto"/>
              </w:rPr>
            </w:pPr>
          </w:p>
        </w:tc>
      </w:tr>
      <w:tr>
        <w:trPr>
          <w:trHeight w:val="146"/>
        </w:trPr>
        <w:tc>
          <w:tcPr>
            <w:tcW w:w="44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Structural Refinanced loans</w:t>
            </w:r>
          </w:p>
        </w:tc>
        <w:tc>
          <w:tcPr>
            <w:tcW w:w="134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1,800,076</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1,714,074</w:t>
            </w:r>
          </w:p>
        </w:tc>
        <w:tc>
          <w:tcPr>
            <w:tcW w:w="10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1,686,186</w:t>
            </w:r>
          </w:p>
        </w:tc>
        <w:tc>
          <w:tcPr>
            <w:tcW w:w="78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9"/>
              </w:rPr>
              <w:t>-1.6%</w:t>
            </w:r>
          </w:p>
        </w:tc>
        <w:tc>
          <w:tcPr>
            <w:tcW w:w="142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9"/>
              </w:rPr>
              <w:t>-6.3%</w:t>
            </w:r>
          </w:p>
        </w:tc>
        <w:tc>
          <w:tcPr>
            <w:tcW w:w="20" w:type="dxa"/>
            <w:vAlign w:val="bottom"/>
            <w:shd w:val="clear" w:color="auto" w:fill="000000"/>
          </w:tcPr>
          <w:p>
            <w:pPr>
              <w:spacing w:after="0"/>
              <w:rPr>
                <w:sz w:val="12"/>
                <w:szCs w:val="12"/>
                <w:color w:val="auto"/>
              </w:rPr>
            </w:pPr>
          </w:p>
        </w:tc>
      </w:tr>
      <w:tr>
        <w:trPr>
          <w:trHeight w:val="154"/>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NPLs</w:t>
            </w: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6,713,645</w:t>
            </w: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6,555,403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6,764,066</w:t>
            </w:r>
          </w:p>
        </w:tc>
        <w:tc>
          <w:tcPr>
            <w:tcW w:w="780" w:type="dxa"/>
            <w:vAlign w:val="bottom"/>
            <w:tcBorders>
              <w:bottom w:val="single" w:sz="8" w:color="auto"/>
            </w:tcBorders>
          </w:tcPr>
          <w:p>
            <w:pPr>
              <w:jc w:val="center"/>
              <w:ind w:left="215"/>
              <w:spacing w:after="0"/>
              <w:rPr>
                <w:sz w:val="20"/>
                <w:szCs w:val="20"/>
                <w:color w:val="auto"/>
              </w:rPr>
            </w:pPr>
            <w:r>
              <w:rPr>
                <w:rFonts w:ascii="Arial" w:cs="Arial" w:eastAsia="Arial" w:hAnsi="Arial"/>
                <w:sz w:val="13"/>
                <w:szCs w:val="13"/>
                <w:color w:val="auto"/>
              </w:rPr>
              <w:t>3.2%</w:t>
            </w:r>
          </w:p>
        </w:tc>
        <w:tc>
          <w:tcPr>
            <w:tcW w:w="1420" w:type="dxa"/>
            <w:vAlign w:val="bottom"/>
            <w:tcBorders>
              <w:bottom w:val="single" w:sz="8" w:color="auto"/>
            </w:tcBorders>
          </w:tcPr>
          <w:p>
            <w:pPr>
              <w:jc w:val="center"/>
              <w:ind w:left="215"/>
              <w:spacing w:after="0"/>
              <w:rPr>
                <w:sz w:val="20"/>
                <w:szCs w:val="20"/>
                <w:color w:val="auto"/>
              </w:rPr>
            </w:pPr>
            <w:r>
              <w:rPr>
                <w:rFonts w:ascii="Arial" w:cs="Arial" w:eastAsia="Arial" w:hAnsi="Arial"/>
                <w:sz w:val="13"/>
                <w:szCs w:val="13"/>
                <w:color w:val="auto"/>
              </w:rPr>
              <w:t>0.8%</w:t>
            </w:r>
          </w:p>
        </w:tc>
        <w:tc>
          <w:tcPr>
            <w:tcW w:w="20" w:type="dxa"/>
            <w:vAlign w:val="bottom"/>
            <w:tcBorders>
              <w:bottom w:val="single" w:sz="8" w:color="auto"/>
            </w:tcBorders>
            <w:shd w:val="clear" w:color="auto" w:fill="000000"/>
          </w:tcPr>
          <w:p>
            <w:pPr>
              <w:spacing w:after="0"/>
              <w:rPr>
                <w:sz w:val="13"/>
                <w:szCs w:val="13"/>
                <w:color w:val="auto"/>
              </w:rPr>
            </w:pPr>
          </w:p>
        </w:tc>
      </w:tr>
      <w:tr>
        <w:trPr>
          <w:trHeight w:val="131"/>
        </w:trPr>
        <w:tc>
          <w:tcPr>
            <w:tcW w:w="442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rPr>
              <w:t>Structural IOL ratio</w:t>
            </w:r>
          </w:p>
        </w:tc>
        <w:tc>
          <w:tcPr>
            <w:tcW w:w="1340" w:type="dxa"/>
            <w:vAlign w:val="bottom"/>
          </w:tcPr>
          <w:p>
            <w:pPr>
              <w:jc w:val="right"/>
              <w:ind w:right="135"/>
              <w:spacing w:after="0" w:line="131" w:lineRule="exact"/>
              <w:rPr>
                <w:sz w:val="20"/>
                <w:szCs w:val="20"/>
                <w:color w:val="auto"/>
              </w:rPr>
            </w:pPr>
            <w:r>
              <w:rPr>
                <w:rFonts w:ascii="Arial" w:cs="Arial" w:eastAsia="Arial" w:hAnsi="Arial"/>
                <w:sz w:val="13"/>
                <w:szCs w:val="13"/>
                <w:b w:val="1"/>
                <w:bCs w:val="1"/>
                <w:color w:val="auto"/>
              </w:rPr>
              <w:t>4.09%</w:t>
            </w:r>
          </w:p>
        </w:tc>
        <w:tc>
          <w:tcPr>
            <w:tcW w:w="1160" w:type="dxa"/>
            <w:vAlign w:val="bottom"/>
          </w:tcPr>
          <w:p>
            <w:pPr>
              <w:jc w:val="right"/>
              <w:ind w:right="115"/>
              <w:spacing w:after="0" w:line="131" w:lineRule="exact"/>
              <w:rPr>
                <w:sz w:val="20"/>
                <w:szCs w:val="20"/>
                <w:color w:val="auto"/>
              </w:rPr>
            </w:pPr>
            <w:r>
              <w:rPr>
                <w:rFonts w:ascii="Arial" w:cs="Arial" w:eastAsia="Arial" w:hAnsi="Arial"/>
                <w:sz w:val="13"/>
                <w:szCs w:val="13"/>
                <w:b w:val="1"/>
                <w:bCs w:val="1"/>
                <w:color w:val="auto"/>
              </w:rPr>
              <w:t>3.77%</w:t>
            </w:r>
          </w:p>
        </w:tc>
        <w:tc>
          <w:tcPr>
            <w:tcW w:w="10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3.71%</w:t>
            </w:r>
          </w:p>
        </w:tc>
        <w:tc>
          <w:tcPr>
            <w:tcW w:w="780" w:type="dxa"/>
            <w:vAlign w:val="bottom"/>
          </w:tcPr>
          <w:p>
            <w:pPr>
              <w:jc w:val="center"/>
              <w:ind w:left="195"/>
              <w:spacing w:after="0" w:line="131" w:lineRule="exact"/>
              <w:rPr>
                <w:sz w:val="20"/>
                <w:szCs w:val="20"/>
                <w:color w:val="auto"/>
              </w:rPr>
            </w:pPr>
            <w:r>
              <w:rPr>
                <w:rFonts w:ascii="Arial" w:cs="Arial" w:eastAsia="Arial" w:hAnsi="Arial"/>
                <w:sz w:val="13"/>
                <w:szCs w:val="13"/>
                <w:color w:val="auto"/>
                <w:w w:val="99"/>
              </w:rPr>
              <w:t>-6 bps</w:t>
            </w:r>
          </w:p>
        </w:tc>
        <w:tc>
          <w:tcPr>
            <w:tcW w:w="1420" w:type="dxa"/>
            <w:vAlign w:val="bottom"/>
          </w:tcPr>
          <w:p>
            <w:pPr>
              <w:jc w:val="center"/>
              <w:ind w:left="215"/>
              <w:spacing w:after="0" w:line="131" w:lineRule="exact"/>
              <w:rPr>
                <w:sz w:val="20"/>
                <w:szCs w:val="20"/>
                <w:color w:val="auto"/>
              </w:rPr>
            </w:pPr>
            <w:r>
              <w:rPr>
                <w:rFonts w:ascii="Arial" w:cs="Arial" w:eastAsia="Arial" w:hAnsi="Arial"/>
                <w:sz w:val="13"/>
                <w:szCs w:val="13"/>
                <w:color w:val="auto"/>
                <w:w w:val="96"/>
              </w:rPr>
              <w:t>-38 bps</w:t>
            </w:r>
          </w:p>
        </w:tc>
        <w:tc>
          <w:tcPr>
            <w:tcW w:w="20" w:type="dxa"/>
            <w:vAlign w:val="bottom"/>
            <w:shd w:val="clear" w:color="auto" w:fill="000000"/>
          </w:tcPr>
          <w:p>
            <w:pPr>
              <w:spacing w:after="0"/>
              <w:rPr>
                <w:sz w:val="11"/>
                <w:szCs w:val="11"/>
                <w:color w:val="auto"/>
              </w:rPr>
            </w:pPr>
          </w:p>
        </w:tc>
      </w:tr>
      <w:tr>
        <w:trPr>
          <w:trHeight w:val="146"/>
        </w:trPr>
        <w:tc>
          <w:tcPr>
            <w:tcW w:w="44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Structural NPL ratio</w:t>
            </w:r>
          </w:p>
        </w:tc>
        <w:tc>
          <w:tcPr>
            <w:tcW w:w="1340" w:type="dxa"/>
            <w:vAlign w:val="bottom"/>
          </w:tcPr>
          <w:p>
            <w:pPr>
              <w:jc w:val="right"/>
              <w:ind w:right="135"/>
              <w:spacing w:after="0" w:line="146" w:lineRule="exact"/>
              <w:rPr>
                <w:sz w:val="20"/>
                <w:szCs w:val="20"/>
                <w:color w:val="auto"/>
              </w:rPr>
            </w:pPr>
            <w:r>
              <w:rPr>
                <w:rFonts w:ascii="Arial" w:cs="Arial" w:eastAsia="Arial" w:hAnsi="Arial"/>
                <w:sz w:val="13"/>
                <w:szCs w:val="13"/>
                <w:b w:val="1"/>
                <w:bCs w:val="1"/>
                <w:color w:val="auto"/>
              </w:rPr>
              <w:t>5.59%</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5.11%</w:t>
            </w:r>
          </w:p>
        </w:tc>
        <w:tc>
          <w:tcPr>
            <w:tcW w:w="10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4.94%</w:t>
            </w:r>
          </w:p>
        </w:tc>
        <w:tc>
          <w:tcPr>
            <w:tcW w:w="78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6"/>
              </w:rPr>
              <w:t>-17 bps</w:t>
            </w:r>
          </w:p>
        </w:tc>
        <w:tc>
          <w:tcPr>
            <w:tcW w:w="142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6"/>
              </w:rPr>
              <w:t>-65 bps</w:t>
            </w:r>
          </w:p>
        </w:tc>
        <w:tc>
          <w:tcPr>
            <w:tcW w:w="20" w:type="dxa"/>
            <w:vAlign w:val="bottom"/>
            <w:shd w:val="clear" w:color="auto" w:fill="000000"/>
          </w:tcPr>
          <w:p>
            <w:pPr>
              <w:spacing w:after="0"/>
              <w:rPr>
                <w:sz w:val="12"/>
                <w:szCs w:val="12"/>
                <w:color w:val="auto"/>
              </w:rPr>
            </w:pPr>
          </w:p>
        </w:tc>
      </w:tr>
      <w:tr>
        <w:trPr>
          <w:trHeight w:val="146"/>
        </w:trPr>
        <w:tc>
          <w:tcPr>
            <w:tcW w:w="44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Structural Allowance for loan losses over Structural loans</w:t>
            </w:r>
          </w:p>
        </w:tc>
        <w:tc>
          <w:tcPr>
            <w:tcW w:w="1340" w:type="dxa"/>
            <w:vAlign w:val="bottom"/>
          </w:tcPr>
          <w:p>
            <w:pPr>
              <w:jc w:val="right"/>
              <w:ind w:right="135"/>
              <w:spacing w:after="0" w:line="146" w:lineRule="exact"/>
              <w:rPr>
                <w:sz w:val="20"/>
                <w:szCs w:val="20"/>
                <w:color w:val="auto"/>
              </w:rPr>
            </w:pPr>
            <w:r>
              <w:rPr>
                <w:rFonts w:ascii="Arial" w:cs="Arial" w:eastAsia="Arial" w:hAnsi="Arial"/>
                <w:sz w:val="13"/>
                <w:szCs w:val="13"/>
                <w:b w:val="1"/>
                <w:bCs w:val="1"/>
                <w:color w:val="auto"/>
              </w:rPr>
              <w:t>7.7%</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6.3%</w:t>
            </w:r>
          </w:p>
        </w:tc>
        <w:tc>
          <w:tcPr>
            <w:tcW w:w="10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5.9%</w:t>
            </w:r>
          </w:p>
        </w:tc>
        <w:tc>
          <w:tcPr>
            <w:tcW w:w="78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6"/>
              </w:rPr>
              <w:t>-37 bps</w:t>
            </w:r>
          </w:p>
        </w:tc>
        <w:tc>
          <w:tcPr>
            <w:tcW w:w="142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8"/>
              </w:rPr>
              <w:t>-178 bps</w:t>
            </w:r>
          </w:p>
        </w:tc>
        <w:tc>
          <w:tcPr>
            <w:tcW w:w="20" w:type="dxa"/>
            <w:vAlign w:val="bottom"/>
            <w:shd w:val="clear" w:color="auto" w:fill="000000"/>
          </w:tcPr>
          <w:p>
            <w:pPr>
              <w:spacing w:after="0"/>
              <w:rPr>
                <w:sz w:val="12"/>
                <w:szCs w:val="12"/>
                <w:color w:val="auto"/>
              </w:rPr>
            </w:pPr>
          </w:p>
        </w:tc>
      </w:tr>
      <w:tr>
        <w:trPr>
          <w:trHeight w:val="154"/>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Coverage ratio of NPLs</w:t>
            </w: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137.7%</w:t>
            </w: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123.0%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119.9%</w:t>
            </w:r>
          </w:p>
        </w:tc>
        <w:tc>
          <w:tcPr>
            <w:tcW w:w="780" w:type="dxa"/>
            <w:vAlign w:val="bottom"/>
            <w:tcBorders>
              <w:bottom w:val="single" w:sz="8" w:color="auto"/>
            </w:tcBorders>
          </w:tcPr>
          <w:p>
            <w:pPr>
              <w:jc w:val="center"/>
              <w:ind w:left="215"/>
              <w:spacing w:after="0"/>
              <w:rPr>
                <w:sz w:val="20"/>
                <w:szCs w:val="20"/>
                <w:color w:val="auto"/>
              </w:rPr>
            </w:pPr>
            <w:r>
              <w:rPr>
                <w:rFonts w:ascii="Arial" w:cs="Arial" w:eastAsia="Arial" w:hAnsi="Arial"/>
                <w:sz w:val="13"/>
                <w:szCs w:val="13"/>
                <w:color w:val="auto"/>
                <w:w w:val="98"/>
              </w:rPr>
              <w:t>-305 bps</w:t>
            </w:r>
          </w:p>
        </w:tc>
        <w:tc>
          <w:tcPr>
            <w:tcW w:w="1420" w:type="dxa"/>
            <w:vAlign w:val="bottom"/>
            <w:tcBorders>
              <w:bottom w:val="single" w:sz="8" w:color="auto"/>
            </w:tcBorders>
          </w:tcPr>
          <w:p>
            <w:pPr>
              <w:jc w:val="center"/>
              <w:ind w:left="215"/>
              <w:spacing w:after="0"/>
              <w:rPr>
                <w:sz w:val="20"/>
                <w:szCs w:val="20"/>
                <w:color w:val="auto"/>
              </w:rPr>
            </w:pPr>
            <w:r>
              <w:rPr>
                <w:rFonts w:ascii="Arial" w:cs="Arial" w:eastAsia="Arial" w:hAnsi="Arial"/>
                <w:sz w:val="13"/>
                <w:szCs w:val="13"/>
                <w:color w:val="auto"/>
              </w:rPr>
              <w:t>-1778 bps</w:t>
            </w:r>
          </w:p>
        </w:tc>
        <w:tc>
          <w:tcPr>
            <w:tcW w:w="20" w:type="dxa"/>
            <w:vAlign w:val="bottom"/>
            <w:tcBorders>
              <w:bottom w:val="single" w:sz="8" w:color="auto"/>
            </w:tcBorders>
            <w:shd w:val="clear" w:color="auto" w:fill="000000"/>
          </w:tcPr>
          <w:p>
            <w:pPr>
              <w:spacing w:after="0"/>
              <w:rPr>
                <w:sz w:val="13"/>
                <w:szCs w:val="13"/>
                <w:color w:val="auto"/>
              </w:rPr>
            </w:pPr>
          </w:p>
        </w:tc>
      </w:tr>
    </w:tbl>
    <w:p>
      <w:pPr>
        <w:ind w:left="880" w:hanging="298"/>
        <w:spacing w:after="0"/>
        <w:tabs>
          <w:tab w:leader="none" w:pos="8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Structural Portfolio excludes Government Programs (GP) effects.</w:t>
      </w:r>
    </w:p>
    <w:p>
      <w:pPr>
        <w:spacing w:after="0" w:line="16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structural NPL portfolio grew QoQ and YoY, which was attributable to an uptick in overdue loans and loans under legal collections at SME-Pyme and Wholesale Banking at BCP Stand-alone and, to a lesser extent, to growth at BCP Bolivia. Nevertheless, given that loan growth outstripped the expansion registered in structural NPLs, the structural delinquency ratio improved QoQ and YoY.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NPL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1212215</wp:posOffset>
            </wp:positionH>
            <wp:positionV relativeFrom="paragraph">
              <wp:posOffset>158115</wp:posOffset>
            </wp:positionV>
            <wp:extent cx="4717415" cy="256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7415"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QoQ analysis, the segments that contributed to the increase in the NPL portfolio of structural loans were:</w:t>
      </w:r>
    </w:p>
    <w:p>
      <w:pPr>
        <w:spacing w:after="0" w:line="230" w:lineRule="exact"/>
        <w:rPr>
          <w:sz w:val="20"/>
          <w:szCs w:val="20"/>
          <w:color w:val="auto"/>
        </w:rPr>
      </w:pPr>
    </w:p>
    <w:p>
      <w:pPr>
        <w:jc w:val="both"/>
        <w:ind w:left="740" w:right="20" w:hanging="292"/>
        <w:spacing w:after="0" w:line="251"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SMEs</w:t>
      </w:r>
      <w:r>
        <w:rPr>
          <w:rFonts w:ascii="Arial" w:cs="Arial" w:eastAsia="Arial" w:hAnsi="Arial"/>
          <w:sz w:val="16"/>
          <w:szCs w:val="16"/>
          <w:color w:val="auto"/>
        </w:rPr>
        <w:t>: due to an increase in overdue loans in the early delinquency tranche (&lt;30 days behind), which represents loans that although volatile, tend</w:t>
      </w:r>
      <w:r>
        <w:rPr>
          <w:rFonts w:ascii="Arial" w:cs="Arial" w:eastAsia="Arial" w:hAnsi="Arial"/>
          <w:sz w:val="16"/>
          <w:szCs w:val="16"/>
          <w:b w:val="1"/>
          <w:bCs w:val="1"/>
          <w:color w:val="auto"/>
        </w:rPr>
        <w:t xml:space="preserve"> </w:t>
      </w:r>
      <w:r>
        <w:rPr>
          <w:rFonts w:ascii="Arial" w:cs="Arial" w:eastAsia="Arial" w:hAnsi="Arial"/>
          <w:sz w:val="16"/>
          <w:szCs w:val="16"/>
          <w:color w:val="auto"/>
        </w:rPr>
        <w:t>to be highly recoverable. This increase was driven mainly by SME-Pyme Working Capital loans and from clients that also have GP loans and were unable to service both debts simultaneously. The increase in the NPL portfolio is also due to a drop in write-offs, given that structural loans held by clients that also have GP loans cannot be written-off (for further information see “1.2 Portfolio Quality – Structural Write-offs”);</w:t>
      </w:r>
    </w:p>
    <w:p>
      <w:pPr>
        <w:spacing w:after="0" w:line="32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0" w:name="page21"/>
    <w:bookmarkEnd w:id="2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ind w:left="323" w:hanging="323"/>
        <w:spacing w:after="0"/>
        <w:tabs>
          <w:tab w:leader="none" w:pos="323" w:val="left"/>
        </w:tabs>
        <w:numPr>
          <w:ilvl w:val="0"/>
          <w:numId w:val="19"/>
        </w:numPr>
        <w:rPr>
          <w:rFonts w:ascii="Arial" w:cs="Arial" w:eastAsia="Arial" w:hAnsi="Arial"/>
          <w:sz w:val="19"/>
          <w:szCs w:val="19"/>
          <w:b w:val="1"/>
          <w:bCs w:val="1"/>
          <w:color w:val="FFFFFF"/>
        </w:rPr>
      </w:pPr>
      <w:r>
        <w:rPr>
          <w:rFonts w:ascii="Arial" w:cs="Arial" w:eastAsia="Arial" w:hAnsi="Arial"/>
          <w:sz w:val="19"/>
          <w:szCs w:val="19"/>
          <w:b w:val="1"/>
          <w:bCs w:val="1"/>
          <w:color w:val="FFFFFF"/>
        </w:rPr>
        <w:t>Loan Portfolio</w:t>
      </w:r>
    </w:p>
    <w:p>
      <w:pPr>
        <w:spacing w:after="0" w:line="229" w:lineRule="exact"/>
        <w:rPr>
          <w:rFonts w:ascii="Arial" w:cs="Arial" w:eastAsia="Arial" w:hAnsi="Arial"/>
          <w:sz w:val="19"/>
          <w:szCs w:val="19"/>
          <w:b w:val="1"/>
          <w:bCs w:val="1"/>
          <w:color w:val="FFFFFF"/>
        </w:rPr>
      </w:pPr>
    </w:p>
    <w:p>
      <w:pPr>
        <w:jc w:val="both"/>
        <w:ind w:left="743" w:right="20" w:hanging="292"/>
        <w:spacing w:after="0" w:line="251" w:lineRule="auto"/>
        <w:tabs>
          <w:tab w:leader="none" w:pos="743"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Wholesale Banking</w:t>
      </w:r>
      <w:r>
        <w:rPr>
          <w:rFonts w:ascii="Arial" w:cs="Arial" w:eastAsia="Arial" w:hAnsi="Arial"/>
          <w:sz w:val="16"/>
          <w:szCs w:val="16"/>
          <w:color w:val="auto"/>
        </w:rPr>
        <w:t>: NPL growth is mainly due to the performance of some clients in the real estate (builders and office leasing) and tourism</w:t>
      </w:r>
      <w:r>
        <w:rPr>
          <w:rFonts w:ascii="Arial" w:cs="Arial" w:eastAsia="Arial" w:hAnsi="Arial"/>
          <w:sz w:val="16"/>
          <w:szCs w:val="16"/>
          <w:b w:val="1"/>
          <w:bCs w:val="1"/>
          <w:color w:val="auto"/>
        </w:rPr>
        <w:t xml:space="preserve"> </w:t>
      </w:r>
      <w:r>
        <w:rPr>
          <w:rFonts w:ascii="Arial" w:cs="Arial" w:eastAsia="Arial" w:hAnsi="Arial"/>
          <w:sz w:val="16"/>
          <w:szCs w:val="16"/>
          <w:color w:val="auto"/>
        </w:rPr>
        <w:t>(hotels) sectors, primarily in the Middle Market Banking segment, which were impacted by the pandemic and had been offered debt reprogramming facilities that have already expired. In the coming quarters, we expect an increase of the NPL portfolio. However, this evolution is within our expectations and the exposures are provisioned; and</w:t>
      </w:r>
    </w:p>
    <w:p>
      <w:pPr>
        <w:spacing w:after="0" w:line="180" w:lineRule="exact"/>
        <w:rPr>
          <w:rFonts w:ascii="Arial" w:cs="Arial" w:eastAsia="Arial" w:hAnsi="Arial"/>
          <w:sz w:val="16"/>
          <w:szCs w:val="16"/>
          <w:color w:val="auto"/>
        </w:rPr>
      </w:pPr>
    </w:p>
    <w:p>
      <w:pPr>
        <w:jc w:val="both"/>
        <w:ind w:left="743" w:right="20" w:hanging="292"/>
        <w:spacing w:after="0" w:line="251" w:lineRule="auto"/>
        <w:tabs>
          <w:tab w:leader="none" w:pos="743"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BCP Bolivia</w:t>
      </w:r>
      <w:r>
        <w:rPr>
          <w:rFonts w:ascii="Arial" w:cs="Arial" w:eastAsia="Arial" w:hAnsi="Arial"/>
          <w:sz w:val="16"/>
          <w:szCs w:val="16"/>
          <w:color w:val="auto"/>
        </w:rPr>
        <w:t>: the increase in NPL volumes was in line with expectations, driven by the expiration of grace periods in most of the reprogrammed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giving rise to the payment obligation and reflecting an increase in the overdue portfolio. It is important to note that by the end of 2Q22, the grace periods of the majority of high-risk clients had already expired. As such, we expect the delinquency ratio to stabilize and tend towards pre-pandemic levels in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-1358900</wp:posOffset>
            </wp:positionV>
            <wp:extent cx="7145655" cy="139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61" w:lineRule="exact"/>
        <w:rPr>
          <w:sz w:val="20"/>
          <w:szCs w:val="20"/>
          <w:color w:val="auto"/>
        </w:rPr>
      </w:pPr>
    </w:p>
    <w:p>
      <w:pPr>
        <w:ind w:left="3" w:right="20"/>
        <w:spacing w:after="0" w:line="288" w:lineRule="auto"/>
        <w:rPr>
          <w:sz w:val="20"/>
          <w:szCs w:val="20"/>
          <w:color w:val="auto"/>
        </w:rPr>
      </w:pPr>
      <w:r>
        <w:rPr>
          <w:rFonts w:ascii="Times New Roman" w:cs="Times New Roman" w:eastAsia="Times New Roman" w:hAnsi="Times New Roman"/>
          <w:sz w:val="16"/>
          <w:szCs w:val="16"/>
          <w:color w:val="auto"/>
        </w:rPr>
        <w:t>The aforementioned was partially attenuated by the positive evolution at Mibanco, which registered an improvement in payment behavior, and by the evolution at Mibanco Colombia, which benefitted from good collections management.</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 the YoY analysis, the uptick in NPL volumes was due to:</w:t>
      </w:r>
    </w:p>
    <w:p>
      <w:pPr>
        <w:spacing w:after="0" w:line="230" w:lineRule="exact"/>
        <w:rPr>
          <w:sz w:val="20"/>
          <w:szCs w:val="20"/>
          <w:color w:val="auto"/>
        </w:rPr>
      </w:pPr>
    </w:p>
    <w:p>
      <w:pPr>
        <w:jc w:val="both"/>
        <w:ind w:left="743" w:hanging="292"/>
        <w:spacing w:after="0" w:line="258" w:lineRule="auto"/>
        <w:tabs>
          <w:tab w:leader="none" w:pos="74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SMEs</w:t>
      </w:r>
      <w:r>
        <w:rPr>
          <w:rFonts w:ascii="Arial" w:cs="Arial" w:eastAsia="Arial" w:hAnsi="Arial"/>
          <w:sz w:val="16"/>
          <w:szCs w:val="16"/>
          <w:color w:val="auto"/>
        </w:rPr>
        <w:t>: growth was driven by the same factors discussed in the QoQ analysis. Additionally, the increase in NPL volumes is due to an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late delinquency tranche (&gt;61 days) of long-term loans in SME-Pyme. The latter reflects the accumulation of pending GP related client’s write-offs, which are expected to be regularized in the coming quarters;</w:t>
      </w:r>
    </w:p>
    <w:p>
      <w:pPr>
        <w:spacing w:after="0" w:line="173" w:lineRule="exact"/>
        <w:rPr>
          <w:rFonts w:ascii="Arial" w:cs="Arial" w:eastAsia="Arial" w:hAnsi="Arial"/>
          <w:sz w:val="16"/>
          <w:szCs w:val="16"/>
          <w:color w:val="auto"/>
        </w:rPr>
      </w:pPr>
    </w:p>
    <w:p>
      <w:pPr>
        <w:ind w:left="743" w:hanging="292"/>
        <w:spacing w:after="0" w:line="278" w:lineRule="auto"/>
        <w:tabs>
          <w:tab w:leader="none" w:pos="74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Wholesale</w:t>
      </w:r>
      <w:r>
        <w:rPr>
          <w:rFonts w:ascii="Arial" w:cs="Arial" w:eastAsia="Arial" w:hAnsi="Arial"/>
          <w:sz w:val="16"/>
          <w:szCs w:val="16"/>
          <w:color w:val="auto"/>
        </w:rPr>
        <w:t>: where the increase in NPLs was driven by the factors outlined in the QoQ analysis. Higher NPLs are within expectations and reflect</w:t>
      </w:r>
      <w:r>
        <w:rPr>
          <w:rFonts w:ascii="Arial" w:cs="Arial" w:eastAsia="Arial" w:hAnsi="Arial"/>
          <w:sz w:val="16"/>
          <w:szCs w:val="16"/>
          <w:b w:val="1"/>
          <w:bCs w:val="1"/>
          <w:color w:val="auto"/>
        </w:rPr>
        <w:t xml:space="preserve"> </w:t>
      </w:r>
      <w:r>
        <w:rPr>
          <w:rFonts w:ascii="Arial" w:cs="Arial" w:eastAsia="Arial" w:hAnsi="Arial"/>
          <w:sz w:val="16"/>
          <w:szCs w:val="16"/>
          <w:color w:val="auto"/>
        </w:rPr>
        <w:t>the real delinquency of clients affected since the pandemic started; and</w:t>
      </w:r>
    </w:p>
    <w:p>
      <w:pPr>
        <w:spacing w:after="0" w:line="158" w:lineRule="exact"/>
        <w:rPr>
          <w:rFonts w:ascii="Arial" w:cs="Arial" w:eastAsia="Arial" w:hAnsi="Arial"/>
          <w:sz w:val="16"/>
          <w:szCs w:val="16"/>
          <w:color w:val="auto"/>
        </w:rPr>
      </w:pPr>
    </w:p>
    <w:p>
      <w:pPr>
        <w:jc w:val="both"/>
        <w:ind w:left="743" w:right="20" w:hanging="292"/>
        <w:spacing w:after="0" w:line="258" w:lineRule="auto"/>
        <w:tabs>
          <w:tab w:leader="none" w:pos="74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BCP Bolivia</w:t>
      </w:r>
      <w:r>
        <w:rPr>
          <w:rFonts w:ascii="Arial" w:cs="Arial" w:eastAsia="Arial" w:hAnsi="Arial"/>
          <w:sz w:val="16"/>
          <w:szCs w:val="16"/>
          <w:color w:val="auto"/>
        </w:rPr>
        <w:t>: where delinquency was spurred by the same drivers as those outlined in the QoQ analysis. It is important to note that the NPL</w:t>
      </w:r>
      <w:r>
        <w:rPr>
          <w:rFonts w:ascii="Arial" w:cs="Arial" w:eastAsia="Arial" w:hAnsi="Arial"/>
          <w:sz w:val="16"/>
          <w:szCs w:val="16"/>
          <w:b w:val="1"/>
          <w:bCs w:val="1"/>
          <w:color w:val="auto"/>
        </w:rPr>
        <w:t xml:space="preserve"> </w:t>
      </w:r>
      <w:r>
        <w:rPr>
          <w:rFonts w:ascii="Arial" w:cs="Arial" w:eastAsia="Arial" w:hAnsi="Arial"/>
          <w:sz w:val="16"/>
          <w:szCs w:val="16"/>
          <w:color w:val="auto"/>
        </w:rPr>
        <w:t>volumes in 2Q21 was lower in YoY terms due to the fact that a portion of loans were reprogrammed, which led overdue loans to be reclassified as current.</w:t>
      </w:r>
    </w:p>
    <w:p>
      <w:pPr>
        <w:spacing w:after="0" w:line="308"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The aforementioned evolution in NPL levels was partially attenuated by the positive performance of both Mibanco, which has bolstered its collections capabilities, and of Individuals at BCP Stand-alone, where payment behavior improved alongside an uptick in personal liquidity following fund releases from AFPs (Pension Funds) and Severance Indemnity (CTS) accounts.</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Structural Write-offs (in Quarter-end balances – S/ thousands)</w:t>
      </w:r>
    </w:p>
    <w:p>
      <w:pPr>
        <w:spacing w:after="0" w:line="232"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QoQ, growth in structural write-offs (+9.4%) was driven by BCP Stand-alone, which registered upticks through Individuals and Wholesale Banking. This was partially attenuated by a drop in write-offs at Mibanco and BCP Bolivia. Despite the increase of structural write-offs, the structural write-offs over total structural loans ratio continued to fall below pre-pandemic levels.</w:t>
      </w:r>
    </w:p>
    <w:p>
      <w:pPr>
        <w:spacing w:after="0" w:line="181" w:lineRule="exact"/>
        <w:rPr>
          <w:sz w:val="20"/>
          <w:szCs w:val="20"/>
          <w:color w:val="auto"/>
        </w:rPr>
      </w:pPr>
    </w:p>
    <w:p>
      <w:pPr>
        <w:jc w:val="both"/>
        <w:ind w:left="3" w:right="5860"/>
        <w:spacing w:after="0" w:line="259" w:lineRule="auto"/>
        <w:rPr>
          <w:sz w:val="20"/>
          <w:szCs w:val="20"/>
          <w:color w:val="auto"/>
        </w:rPr>
      </w:pPr>
      <w:r>
        <w:rPr>
          <w:rFonts w:ascii="Times New Roman" w:cs="Times New Roman" w:eastAsia="Times New Roman" w:hAnsi="Times New Roman"/>
          <w:sz w:val="16"/>
          <w:szCs w:val="16"/>
          <w:color w:val="auto"/>
        </w:rPr>
        <w:t>YoY, contraction was attributable to Individuals and SMEs at BCP Stand-alone and, to a lesser extent, to Mibanco. This reflects atypically high write-offs in 2Q21, after regulatory restrictions on write-offs (instituted in 2020) were lifted and qualifying loans were allowed to progress to write-off status. It is important to note that new regulatory requirements to report write-offs for clients that simultaneously hold Reactiva loans has been announced. This regulation will go into effect in August and will lead to additional write-offs in 2H22.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-871220</wp:posOffset>
            </wp:positionV>
            <wp:extent cx="2792095" cy="1314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209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21" w:name="page22"/>
    <w:bookmarkEnd w:id="2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NPL Coverage Ratio for Structural NPL Loans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-104140</wp:posOffset>
            </wp:positionV>
            <wp:extent cx="3263265" cy="14770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63265" cy="1477010"/>
                    </a:xfrm>
                    <a:prstGeom prst="rect">
                      <a:avLst/>
                    </a:prstGeom>
                    <a:noFill/>
                  </pic:spPr>
                </pic:pic>
              </a:graphicData>
            </a:graphic>
          </wp:anchor>
        </w:drawing>
      </w:r>
    </w:p>
    <w:p>
      <w:pPr>
        <w:spacing w:after="0" w:line="212"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Credicorp’s Coverage ratio fell QoQ. This was attributable to an uptick in NPL loans (+3.2%), driven primarily by BCP Stand-alone and BCP Bolivia, which outpaced growth in the Allowances balance (+0.6%). In this context, the NPL coverage ratio stood near pre-pandemic levels.</w:t>
      </w:r>
    </w:p>
    <w:p>
      <w:pPr>
        <w:spacing w:after="0" w:line="186"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YoY, the NPL coverage ratio continues to follow a downward trend. This reflects a reduction in the Allowances balance, which was driven by a better-than-expected improvement in payment behavior and by a slight increase in the NPL portfolio. It should be noted</w:t>
      </w:r>
    </w:p>
    <w:p>
      <w:pPr>
        <w:spacing w:after="0" w:line="105" w:lineRule="exact"/>
        <w:rPr>
          <w:sz w:val="20"/>
          <w:szCs w:val="20"/>
          <w:color w:val="auto"/>
        </w:rPr>
      </w:pPr>
    </w:p>
    <w:p>
      <w:pPr>
        <w:ind w:right="400"/>
        <w:spacing w:after="0" w:line="264" w:lineRule="auto"/>
        <w:rPr>
          <w:sz w:val="20"/>
          <w:szCs w:val="20"/>
          <w:color w:val="auto"/>
        </w:rPr>
      </w:pPr>
      <w:r>
        <w:rPr>
          <w:rFonts w:ascii="Arial" w:cs="Arial" w:eastAsia="Arial" w:hAnsi="Arial"/>
          <w:sz w:val="15"/>
          <w:szCs w:val="15"/>
          <w:color w:val="auto"/>
        </w:rPr>
        <w:t>that the significant drop in NPL Coverage at BCP Bolivia is due to the fact that grace periods for loans that had been reprogrammed under government mandate in 2021 began to expire and were reflected in the NPL portfolio recently in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NPL Loans in the Government Program Portfolio (in quarter-end balances – S/ thousands)</w:t>
      </w:r>
    </w:p>
    <w:p>
      <w:pPr>
        <w:spacing w:after="0" w:line="232" w:lineRule="exact"/>
        <w:rPr>
          <w:sz w:val="20"/>
          <w:szCs w:val="20"/>
          <w:color w:val="auto"/>
        </w:rPr>
      </w:pPr>
    </w:p>
    <w:p>
      <w:pPr>
        <w:jc w:val="both"/>
        <w:ind w:right="5860"/>
        <w:spacing w:after="0" w:line="271" w:lineRule="auto"/>
        <w:rPr>
          <w:sz w:val="20"/>
          <w:szCs w:val="20"/>
          <w:color w:val="auto"/>
        </w:rPr>
      </w:pPr>
      <w:r>
        <w:rPr>
          <w:rFonts w:ascii="Times New Roman" w:cs="Times New Roman" w:eastAsia="Times New Roman" w:hAnsi="Times New Roman"/>
          <w:sz w:val="16"/>
          <w:szCs w:val="16"/>
          <w:color w:val="auto"/>
        </w:rPr>
        <w:t>At the end of June 2022, NPL loans in the GP portfolio fell slightly QoQ after honoring processes for SME-Pyme loans were completed. This was attenuated by deterioration at Mibanco and within 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-384810</wp:posOffset>
            </wp:positionV>
            <wp:extent cx="3178175" cy="1423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78175" cy="1423035"/>
                    </a:xfrm>
                    <a:prstGeom prst="rect">
                      <a:avLst/>
                    </a:prstGeom>
                    <a:noFill/>
                  </pic:spPr>
                </pic:pic>
              </a:graphicData>
            </a:graphic>
          </wp:anchor>
        </w:drawing>
      </w:r>
    </w:p>
    <w:p>
      <w:pPr>
        <w:spacing w:after="0" w:line="161"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6"/>
          <w:szCs w:val="16"/>
          <w:color w:val="auto"/>
        </w:rPr>
        <w:t>Honoring processes are being executed through state-backed guarantees for loans that are more than 90 days past due. Average coverages under these guarantees stands at 84%, 91% and 97% for Wholesale Banking, Retail Banking and Mibanco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Finally, the reprogrammed portfolio represented 45% of the total GP portfolio at quarter-end (vs 42% in March 2022) due to new reprogramming facilities.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Quality of the Total Portfolio (in Quarter-end Balances)</w:t>
      </w:r>
    </w:p>
    <w:p>
      <w:pPr>
        <w:spacing w:after="0" w:line="229" w:lineRule="exact"/>
        <w:rPr>
          <w:sz w:val="20"/>
          <w:szCs w:val="20"/>
          <w:color w:val="auto"/>
        </w:rPr>
      </w:pPr>
    </w:p>
    <w:tbl>
      <w:tblPr>
        <w:tblLayout w:type="fixed"/>
        <w:tblInd w:w="570" w:type="dxa"/>
        <w:tblCellMar>
          <w:top w:w="0" w:type="dxa"/>
          <w:left w:w="0" w:type="dxa"/>
          <w:bottom w:w="0" w:type="dxa"/>
          <w:right w:w="0" w:type="dxa"/>
        </w:tblCellMar>
      </w:tblPr>
      <w:tr>
        <w:trPr>
          <w:trHeight w:val="158"/>
        </w:trPr>
        <w:tc>
          <w:tcPr>
            <w:tcW w:w="44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Loan Portfolio Quality and Delinquency Ratios</w:t>
            </w:r>
          </w:p>
        </w:tc>
        <w:tc>
          <w:tcPr>
            <w:tcW w:w="1340" w:type="dxa"/>
            <w:vAlign w:val="bottom"/>
            <w:tcBorders>
              <w:top w:val="single" w:sz="8" w:color="auto"/>
            </w:tcBorders>
            <w:shd w:val="clear" w:color="auto" w:fill="33CCCC"/>
          </w:tcPr>
          <w:p>
            <w:pPr>
              <w:spacing w:after="0"/>
              <w:rPr>
                <w:sz w:val="13"/>
                <w:szCs w:val="13"/>
                <w:color w:val="auto"/>
              </w:rPr>
            </w:pPr>
          </w:p>
        </w:tc>
        <w:tc>
          <w:tcPr>
            <w:tcW w:w="1120" w:type="dxa"/>
            <w:vAlign w:val="bottom"/>
            <w:tcBorders>
              <w:top w:val="single" w:sz="8" w:color="auto"/>
            </w:tcBorders>
            <w:shd w:val="clear" w:color="auto" w:fill="33CCCC"/>
          </w:tcPr>
          <w:p>
            <w:pPr>
              <w:jc w:val="right"/>
              <w:ind w:right="535"/>
              <w:spacing w:after="0"/>
              <w:rPr>
                <w:sz w:val="20"/>
                <w:szCs w:val="20"/>
                <w:color w:val="auto"/>
              </w:rPr>
            </w:pPr>
            <w:r>
              <w:rPr>
                <w:rFonts w:ascii="Arial" w:cs="Arial" w:eastAsia="Arial" w:hAnsi="Arial"/>
                <w:sz w:val="13"/>
                <w:szCs w:val="13"/>
                <w:b w:val="1"/>
                <w:bCs w:val="1"/>
                <w:color w:val="FFFFFF"/>
              </w:rPr>
              <w:t>As of</w:t>
            </w:r>
          </w:p>
        </w:tc>
        <w:tc>
          <w:tcPr>
            <w:tcW w:w="960" w:type="dxa"/>
            <w:vAlign w:val="bottom"/>
            <w:tcBorders>
              <w:top w:val="single" w:sz="8" w:color="auto"/>
              <w:right w:val="single" w:sz="8" w:color="auto"/>
            </w:tcBorders>
            <w:shd w:val="clear" w:color="auto" w:fill="33CCCC"/>
          </w:tcPr>
          <w:p>
            <w:pPr>
              <w:spacing w:after="0"/>
              <w:rPr>
                <w:sz w:val="13"/>
                <w:szCs w:val="13"/>
                <w:color w:val="auto"/>
              </w:rPr>
            </w:pPr>
          </w:p>
        </w:tc>
        <w:tc>
          <w:tcPr>
            <w:tcW w:w="800" w:type="dxa"/>
            <w:vAlign w:val="bottom"/>
            <w:tcBorders>
              <w:top w:val="single" w:sz="8" w:color="auto"/>
            </w:tcBorders>
            <w:shd w:val="clear" w:color="auto" w:fill="33CCCC"/>
          </w:tcPr>
          <w:p>
            <w:pPr>
              <w:spacing w:after="0"/>
              <w:rPr>
                <w:sz w:val="13"/>
                <w:szCs w:val="13"/>
                <w:color w:val="auto"/>
              </w:rPr>
            </w:pPr>
          </w:p>
        </w:tc>
        <w:tc>
          <w:tcPr>
            <w:tcW w:w="1440" w:type="dxa"/>
            <w:vAlign w:val="bottom"/>
            <w:tcBorders>
              <w:top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 change</w:t>
            </w:r>
          </w:p>
        </w:tc>
        <w:tc>
          <w:tcPr>
            <w:tcW w:w="20" w:type="dxa"/>
            <w:vAlign w:val="bottom"/>
          </w:tcPr>
          <w:p>
            <w:pPr>
              <w:spacing w:after="0"/>
              <w:rPr>
                <w:sz w:val="13"/>
                <w:szCs w:val="13"/>
                <w:color w:val="auto"/>
              </w:rPr>
            </w:pPr>
          </w:p>
        </w:tc>
      </w:tr>
      <w:tr>
        <w:trPr>
          <w:trHeight w:val="146"/>
        </w:trPr>
        <w:tc>
          <w:tcPr>
            <w:tcW w:w="4480" w:type="dxa"/>
            <w:vAlign w:val="bottom"/>
            <w:tcBorders>
              <w:left w:val="single" w:sz="8" w:color="auto"/>
              <w:bottom w:val="single" w:sz="8" w:color="auto"/>
              <w:right w:val="single" w:sz="8" w:color="auto"/>
            </w:tcBorders>
            <w:shd w:val="clear" w:color="auto" w:fill="33CCCC"/>
          </w:tcPr>
          <w:p>
            <w:pPr>
              <w:ind w:left="20"/>
              <w:spacing w:after="0" w:line="146" w:lineRule="exact"/>
              <w:rPr>
                <w:sz w:val="20"/>
                <w:szCs w:val="20"/>
                <w:color w:val="auto"/>
              </w:rPr>
            </w:pPr>
            <w:r>
              <w:rPr>
                <w:rFonts w:ascii="Arial" w:cs="Arial" w:eastAsia="Arial" w:hAnsi="Arial"/>
                <w:sz w:val="13"/>
                <w:szCs w:val="13"/>
                <w:b w:val="1"/>
                <w:bCs w:val="1"/>
                <w:color w:val="FFFFFF"/>
              </w:rPr>
              <w:t>S/ 000</w:t>
            </w:r>
          </w:p>
        </w:tc>
        <w:tc>
          <w:tcPr>
            <w:tcW w:w="1340" w:type="dxa"/>
            <w:vAlign w:val="bottom"/>
            <w:tcBorders>
              <w:bottom w:val="single" w:sz="8" w:color="auto"/>
            </w:tcBorders>
            <w:shd w:val="clear" w:color="auto" w:fill="33CCCC"/>
          </w:tcPr>
          <w:p>
            <w:pPr>
              <w:jc w:val="right"/>
              <w:ind w:right="495"/>
              <w:spacing w:after="0" w:line="146" w:lineRule="exact"/>
              <w:rPr>
                <w:sz w:val="20"/>
                <w:szCs w:val="20"/>
                <w:color w:val="auto"/>
              </w:rPr>
            </w:pPr>
            <w:r>
              <w:rPr>
                <w:rFonts w:ascii="Arial" w:cs="Arial" w:eastAsia="Arial" w:hAnsi="Arial"/>
                <w:sz w:val="13"/>
                <w:szCs w:val="13"/>
                <w:b w:val="1"/>
                <w:bCs w:val="1"/>
                <w:color w:val="FFFFFF"/>
              </w:rPr>
              <w:t>Jun 21</w:t>
            </w:r>
          </w:p>
        </w:tc>
        <w:tc>
          <w:tcPr>
            <w:tcW w:w="1120" w:type="dxa"/>
            <w:vAlign w:val="bottom"/>
            <w:tcBorders>
              <w:bottom w:val="single" w:sz="8" w:color="auto"/>
            </w:tcBorders>
            <w:shd w:val="clear" w:color="auto" w:fill="33CCCC"/>
          </w:tcPr>
          <w:p>
            <w:pPr>
              <w:jc w:val="right"/>
              <w:ind w:right="455"/>
              <w:spacing w:after="0" w:line="146" w:lineRule="exact"/>
              <w:rPr>
                <w:sz w:val="20"/>
                <w:szCs w:val="20"/>
                <w:color w:val="auto"/>
              </w:rPr>
            </w:pPr>
            <w:r>
              <w:rPr>
                <w:rFonts w:ascii="Arial" w:cs="Arial" w:eastAsia="Arial" w:hAnsi="Arial"/>
                <w:sz w:val="13"/>
                <w:szCs w:val="13"/>
                <w:b w:val="1"/>
                <w:bCs w:val="1"/>
                <w:color w:val="FFFFFF"/>
              </w:rPr>
              <w:t>Mar 22</w:t>
            </w:r>
          </w:p>
        </w:tc>
        <w:tc>
          <w:tcPr>
            <w:tcW w:w="960" w:type="dxa"/>
            <w:vAlign w:val="bottom"/>
            <w:tcBorders>
              <w:bottom w:val="single" w:sz="8" w:color="auto"/>
              <w:right w:val="single" w:sz="8" w:color="auto"/>
            </w:tcBorders>
            <w:shd w:val="clear" w:color="auto" w:fill="33CCCC"/>
          </w:tcPr>
          <w:p>
            <w:pPr>
              <w:jc w:val="right"/>
              <w:ind w:right="315"/>
              <w:spacing w:after="0" w:line="146" w:lineRule="exact"/>
              <w:rPr>
                <w:sz w:val="20"/>
                <w:szCs w:val="20"/>
                <w:color w:val="auto"/>
              </w:rPr>
            </w:pPr>
            <w:r>
              <w:rPr>
                <w:rFonts w:ascii="Arial" w:cs="Arial" w:eastAsia="Arial" w:hAnsi="Arial"/>
                <w:sz w:val="13"/>
                <w:szCs w:val="13"/>
                <w:b w:val="1"/>
                <w:bCs w:val="1"/>
                <w:color w:val="FFFFFF"/>
              </w:rPr>
              <w:t>Jun 22</w:t>
            </w:r>
          </w:p>
        </w:tc>
        <w:tc>
          <w:tcPr>
            <w:tcW w:w="800" w:type="dxa"/>
            <w:vAlign w:val="bottom"/>
            <w:tcBorders>
              <w:bottom w:val="single" w:sz="8" w:color="auto"/>
            </w:tcBorders>
            <w:shd w:val="clear" w:color="auto" w:fill="33CCCC"/>
          </w:tcPr>
          <w:p>
            <w:pPr>
              <w:jc w:val="center"/>
              <w:ind w:left="235"/>
              <w:spacing w:after="0" w:line="146" w:lineRule="exact"/>
              <w:rPr>
                <w:sz w:val="20"/>
                <w:szCs w:val="20"/>
                <w:color w:val="auto"/>
              </w:rPr>
            </w:pPr>
            <w:r>
              <w:rPr>
                <w:rFonts w:ascii="Arial" w:cs="Arial" w:eastAsia="Arial" w:hAnsi="Arial"/>
                <w:sz w:val="13"/>
                <w:szCs w:val="13"/>
                <w:b w:val="1"/>
                <w:bCs w:val="1"/>
                <w:color w:val="FFFFFF"/>
              </w:rPr>
              <w:t>QoQ</w:t>
            </w:r>
          </w:p>
        </w:tc>
        <w:tc>
          <w:tcPr>
            <w:tcW w:w="1440" w:type="dxa"/>
            <w:vAlign w:val="bottom"/>
            <w:tcBorders>
              <w:bottom w:val="single" w:sz="8" w:color="auto"/>
            </w:tcBorders>
            <w:shd w:val="clear" w:color="auto" w:fill="33CCCC"/>
          </w:tcPr>
          <w:p>
            <w:pPr>
              <w:jc w:val="center"/>
              <w:ind w:left="215"/>
              <w:spacing w:after="0" w:line="146" w:lineRule="exact"/>
              <w:rPr>
                <w:sz w:val="20"/>
                <w:szCs w:val="20"/>
                <w:color w:val="auto"/>
              </w:rPr>
            </w:pPr>
            <w:r>
              <w:rPr>
                <w:rFonts w:ascii="Arial" w:cs="Arial" w:eastAsia="Arial" w:hAnsi="Arial"/>
                <w:sz w:val="13"/>
                <w:szCs w:val="13"/>
                <w:b w:val="1"/>
                <w:bCs w:val="1"/>
                <w:color w:val="FFFFFF"/>
                <w:w w:val="94"/>
              </w:rPr>
              <w:t>YoY</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8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b w:val="1"/>
                <w:bCs w:val="1"/>
                <w:color w:val="auto"/>
              </w:rPr>
              <w:t>Total loans (Quarter-end balance)</w:t>
            </w:r>
          </w:p>
        </w:tc>
        <w:tc>
          <w:tcPr>
            <w:tcW w:w="134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b w:val="1"/>
                <w:bCs w:val="1"/>
                <w:color w:val="auto"/>
              </w:rPr>
              <w:t>143,091,752</w:t>
            </w:r>
          </w:p>
        </w:tc>
        <w:tc>
          <w:tcPr>
            <w:tcW w:w="112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144,621,513</w:t>
            </w:r>
          </w:p>
        </w:tc>
        <w:tc>
          <w:tcPr>
            <w:tcW w:w="96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150,370,184</w:t>
            </w:r>
          </w:p>
        </w:tc>
        <w:tc>
          <w:tcPr>
            <w:tcW w:w="800" w:type="dxa"/>
            <w:vAlign w:val="bottom"/>
            <w:tcBorders>
              <w:bottom w:val="single" w:sz="8" w:color="auto"/>
            </w:tcBorders>
          </w:tcPr>
          <w:p>
            <w:pPr>
              <w:jc w:val="center"/>
              <w:ind w:left="235"/>
              <w:spacing w:after="0" w:line="139" w:lineRule="exact"/>
              <w:rPr>
                <w:sz w:val="20"/>
                <w:szCs w:val="20"/>
                <w:color w:val="auto"/>
              </w:rPr>
            </w:pPr>
            <w:r>
              <w:rPr>
                <w:rFonts w:ascii="Arial" w:cs="Arial" w:eastAsia="Arial" w:hAnsi="Arial"/>
                <w:sz w:val="13"/>
                <w:szCs w:val="13"/>
                <w:b w:val="1"/>
                <w:bCs w:val="1"/>
                <w:color w:val="auto"/>
              </w:rPr>
              <w:t>4.0%</w:t>
            </w:r>
          </w:p>
        </w:tc>
        <w:tc>
          <w:tcPr>
            <w:tcW w:w="1440" w:type="dxa"/>
            <w:vAlign w:val="bottom"/>
            <w:tcBorders>
              <w:bottom w:val="single" w:sz="8" w:color="auto"/>
            </w:tcBorders>
          </w:tcPr>
          <w:p>
            <w:pPr>
              <w:jc w:val="center"/>
              <w:ind w:left="235"/>
              <w:spacing w:after="0" w:line="139" w:lineRule="exact"/>
              <w:rPr>
                <w:sz w:val="20"/>
                <w:szCs w:val="20"/>
                <w:color w:val="auto"/>
              </w:rPr>
            </w:pPr>
            <w:r>
              <w:rPr>
                <w:rFonts w:ascii="Arial" w:cs="Arial" w:eastAsia="Arial" w:hAnsi="Arial"/>
                <w:sz w:val="13"/>
                <w:szCs w:val="13"/>
                <w:b w:val="1"/>
                <w:bCs w:val="1"/>
                <w:color w:val="auto"/>
              </w:rPr>
              <w:t>5.1%</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8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Allowance for loan losses</w:t>
            </w:r>
          </w:p>
        </w:tc>
        <w:tc>
          <w:tcPr>
            <w:tcW w:w="134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9,391,151</w:t>
            </w:r>
          </w:p>
        </w:tc>
        <w:tc>
          <w:tcPr>
            <w:tcW w:w="112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8,262,383</w:t>
            </w:r>
          </w:p>
        </w:tc>
        <w:tc>
          <w:tcPr>
            <w:tcW w:w="96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8,306,500</w:t>
            </w:r>
          </w:p>
        </w:tc>
        <w:tc>
          <w:tcPr>
            <w:tcW w:w="800" w:type="dxa"/>
            <w:vAlign w:val="bottom"/>
            <w:tcBorders>
              <w:bottom w:val="single" w:sz="8" w:color="auto"/>
            </w:tcBorders>
          </w:tcPr>
          <w:p>
            <w:pPr>
              <w:jc w:val="center"/>
              <w:ind w:left="235"/>
              <w:spacing w:after="0" w:line="139" w:lineRule="exact"/>
              <w:rPr>
                <w:sz w:val="20"/>
                <w:szCs w:val="20"/>
                <w:color w:val="auto"/>
              </w:rPr>
            </w:pPr>
            <w:r>
              <w:rPr>
                <w:rFonts w:ascii="Arial" w:cs="Arial" w:eastAsia="Arial" w:hAnsi="Arial"/>
                <w:sz w:val="13"/>
                <w:szCs w:val="13"/>
                <w:color w:val="auto"/>
              </w:rPr>
              <w:t>0.5%</w:t>
            </w:r>
          </w:p>
        </w:tc>
        <w:tc>
          <w:tcPr>
            <w:tcW w:w="144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w w:val="97"/>
              </w:rPr>
              <w:t>-11.5%</w:t>
            </w: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48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Write-offs</w:t>
            </w:r>
          </w:p>
        </w:tc>
        <w:tc>
          <w:tcPr>
            <w:tcW w:w="134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742,211</w:t>
            </w:r>
          </w:p>
        </w:tc>
        <w:tc>
          <w:tcPr>
            <w:tcW w:w="112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378,093</w:t>
            </w:r>
          </w:p>
        </w:tc>
        <w:tc>
          <w:tcPr>
            <w:tcW w:w="96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413,501</w:t>
            </w:r>
          </w:p>
        </w:tc>
        <w:tc>
          <w:tcPr>
            <w:tcW w:w="800" w:type="dxa"/>
            <w:vAlign w:val="bottom"/>
            <w:tcBorders>
              <w:bottom w:val="single" w:sz="8" w:color="auto"/>
            </w:tcBorders>
          </w:tcPr>
          <w:p>
            <w:pPr>
              <w:jc w:val="center"/>
              <w:ind w:left="235"/>
              <w:spacing w:after="0" w:line="139" w:lineRule="exact"/>
              <w:rPr>
                <w:sz w:val="20"/>
                <w:szCs w:val="20"/>
                <w:color w:val="auto"/>
              </w:rPr>
            </w:pPr>
            <w:r>
              <w:rPr>
                <w:rFonts w:ascii="Arial" w:cs="Arial" w:eastAsia="Arial" w:hAnsi="Arial"/>
                <w:sz w:val="13"/>
                <w:szCs w:val="13"/>
                <w:color w:val="auto"/>
              </w:rPr>
              <w:t>9.4%</w:t>
            </w:r>
          </w:p>
        </w:tc>
        <w:tc>
          <w:tcPr>
            <w:tcW w:w="1440" w:type="dxa"/>
            <w:vAlign w:val="bottom"/>
            <w:tcBorders>
              <w:bottom w:val="single" w:sz="8" w:color="auto"/>
            </w:tcBorders>
          </w:tcPr>
          <w:p>
            <w:pPr>
              <w:jc w:val="center"/>
              <w:ind w:left="215"/>
              <w:spacing w:after="0" w:line="139" w:lineRule="exact"/>
              <w:rPr>
                <w:sz w:val="20"/>
                <w:szCs w:val="20"/>
                <w:color w:val="auto"/>
              </w:rPr>
            </w:pPr>
            <w:r>
              <w:rPr>
                <w:rFonts w:ascii="Arial" w:cs="Arial" w:eastAsia="Arial" w:hAnsi="Arial"/>
                <w:sz w:val="13"/>
                <w:szCs w:val="13"/>
                <w:color w:val="auto"/>
                <w:w w:val="97"/>
              </w:rPr>
              <w:t>-44.3%</w:t>
            </w:r>
          </w:p>
        </w:tc>
        <w:tc>
          <w:tcPr>
            <w:tcW w:w="20" w:type="dxa"/>
            <w:vAlign w:val="bottom"/>
            <w:tcBorders>
              <w:bottom w:val="single" w:sz="8" w:color="auto"/>
            </w:tcBorders>
            <w:shd w:val="clear" w:color="auto" w:fill="000000"/>
          </w:tcPr>
          <w:p>
            <w:pPr>
              <w:spacing w:after="0"/>
              <w:rPr>
                <w:sz w:val="12"/>
                <w:szCs w:val="12"/>
                <w:color w:val="auto"/>
              </w:rPr>
            </w:pPr>
          </w:p>
        </w:tc>
      </w:tr>
      <w:tr>
        <w:trPr>
          <w:trHeight w:val="116"/>
        </w:trPr>
        <w:tc>
          <w:tcPr>
            <w:tcW w:w="448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9"/>
                <w:szCs w:val="9"/>
                <w:color w:val="auto"/>
              </w:rPr>
              <w:t xml:space="preserve">Internal overdue loans (IOLs) </w:t>
            </w:r>
            <w:r>
              <w:rPr>
                <w:rFonts w:ascii="Arial" w:cs="Arial" w:eastAsia="Arial" w:hAnsi="Arial"/>
                <w:sz w:val="13"/>
                <w:szCs w:val="13"/>
                <w:color w:val="auto"/>
                <w:vertAlign w:val="superscript"/>
              </w:rPr>
              <w:t>(1)(2)</w:t>
            </w:r>
          </w:p>
        </w:tc>
        <w:tc>
          <w:tcPr>
            <w:tcW w:w="1340" w:type="dxa"/>
            <w:vAlign w:val="bottom"/>
          </w:tcPr>
          <w:p>
            <w:pPr>
              <w:jc w:val="right"/>
              <w:ind w:right="95"/>
              <w:spacing w:after="0" w:line="116" w:lineRule="exact"/>
              <w:rPr>
                <w:sz w:val="20"/>
                <w:szCs w:val="20"/>
                <w:color w:val="auto"/>
              </w:rPr>
            </w:pPr>
            <w:r>
              <w:rPr>
                <w:rFonts w:ascii="Arial" w:cs="Arial" w:eastAsia="Arial" w:hAnsi="Arial"/>
                <w:sz w:val="13"/>
                <w:szCs w:val="13"/>
                <w:color w:val="auto"/>
              </w:rPr>
              <w:t>5,054,353</w:t>
            </w:r>
          </w:p>
        </w:tc>
        <w:tc>
          <w:tcPr>
            <w:tcW w:w="1120" w:type="dxa"/>
            <w:vAlign w:val="bottom"/>
          </w:tcPr>
          <w:p>
            <w:pPr>
              <w:jc w:val="right"/>
              <w:ind w:right="115"/>
              <w:spacing w:after="0" w:line="116" w:lineRule="exact"/>
              <w:rPr>
                <w:sz w:val="20"/>
                <w:szCs w:val="20"/>
                <w:color w:val="auto"/>
              </w:rPr>
            </w:pPr>
            <w:r>
              <w:rPr>
                <w:rFonts w:ascii="Arial" w:cs="Arial" w:eastAsia="Arial" w:hAnsi="Arial"/>
                <w:sz w:val="13"/>
                <w:szCs w:val="13"/>
                <w:color w:val="auto"/>
              </w:rPr>
              <w:t>5,872,999</w:t>
            </w:r>
          </w:p>
        </w:tc>
        <w:tc>
          <w:tcPr>
            <w:tcW w:w="96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3"/>
                <w:szCs w:val="13"/>
                <w:color w:val="auto"/>
              </w:rPr>
              <w:t>6,105,256</w:t>
            </w:r>
          </w:p>
        </w:tc>
        <w:tc>
          <w:tcPr>
            <w:tcW w:w="800" w:type="dxa"/>
            <w:vAlign w:val="bottom"/>
          </w:tcPr>
          <w:p>
            <w:pPr>
              <w:jc w:val="center"/>
              <w:ind w:left="235"/>
              <w:spacing w:after="0" w:line="116" w:lineRule="exact"/>
              <w:rPr>
                <w:sz w:val="20"/>
                <w:szCs w:val="20"/>
                <w:color w:val="auto"/>
              </w:rPr>
            </w:pPr>
            <w:r>
              <w:rPr>
                <w:rFonts w:ascii="Arial" w:cs="Arial" w:eastAsia="Arial" w:hAnsi="Arial"/>
                <w:sz w:val="13"/>
                <w:szCs w:val="13"/>
                <w:color w:val="auto"/>
              </w:rPr>
              <w:t>4.0%</w:t>
            </w:r>
          </w:p>
        </w:tc>
        <w:tc>
          <w:tcPr>
            <w:tcW w:w="1440" w:type="dxa"/>
            <w:vAlign w:val="bottom"/>
          </w:tcPr>
          <w:p>
            <w:pPr>
              <w:jc w:val="center"/>
              <w:ind w:left="215"/>
              <w:spacing w:after="0" w:line="116" w:lineRule="exact"/>
              <w:rPr>
                <w:sz w:val="20"/>
                <w:szCs w:val="20"/>
                <w:color w:val="auto"/>
              </w:rPr>
            </w:pPr>
            <w:r>
              <w:rPr>
                <w:rFonts w:ascii="Arial" w:cs="Arial" w:eastAsia="Arial" w:hAnsi="Arial"/>
                <w:sz w:val="13"/>
                <w:szCs w:val="13"/>
                <w:color w:val="auto"/>
                <w:w w:val="97"/>
              </w:rPr>
              <w:t>20.8%</w:t>
            </w:r>
          </w:p>
        </w:tc>
        <w:tc>
          <w:tcPr>
            <w:tcW w:w="20" w:type="dxa"/>
            <w:vAlign w:val="bottom"/>
            <w:shd w:val="clear" w:color="auto" w:fill="000000"/>
          </w:tcPr>
          <w:p>
            <w:pPr>
              <w:spacing w:after="0"/>
              <w:rPr>
                <w:sz w:val="10"/>
                <w:szCs w:val="10"/>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Internal overdue loans over 90-days </w:t>
            </w:r>
            <w:r>
              <w:rPr>
                <w:rFonts w:ascii="Arial" w:cs="Arial" w:eastAsia="Arial" w:hAnsi="Arial"/>
                <w:sz w:val="16"/>
                <w:szCs w:val="16"/>
                <w:color w:val="auto"/>
                <w:vertAlign w:val="superscript"/>
              </w:rPr>
              <w:t>(1)</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3,817,463</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4,424,384</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4,596,259</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rPr>
              <w:t>3.9%</w:t>
            </w:r>
          </w:p>
        </w:tc>
        <w:tc>
          <w:tcPr>
            <w:tcW w:w="1440" w:type="dxa"/>
            <w:vAlign w:val="bottom"/>
          </w:tcPr>
          <w:p>
            <w:pPr>
              <w:jc w:val="center"/>
              <w:ind w:left="215"/>
              <w:spacing w:after="0" w:line="146" w:lineRule="exact"/>
              <w:rPr>
                <w:sz w:val="20"/>
                <w:szCs w:val="20"/>
                <w:color w:val="auto"/>
              </w:rPr>
            </w:pPr>
            <w:r>
              <w:rPr>
                <w:rFonts w:ascii="Arial" w:cs="Arial" w:eastAsia="Arial" w:hAnsi="Arial"/>
                <w:sz w:val="13"/>
                <w:szCs w:val="13"/>
                <w:color w:val="auto"/>
                <w:w w:val="97"/>
              </w:rPr>
              <w:t>20.4%</w:t>
            </w:r>
          </w:p>
        </w:tc>
        <w:tc>
          <w:tcPr>
            <w:tcW w:w="20" w:type="dxa"/>
            <w:vAlign w:val="bottom"/>
            <w:shd w:val="clear" w:color="auto" w:fill="000000"/>
          </w:tcPr>
          <w:p>
            <w:pPr>
              <w:spacing w:after="0"/>
              <w:rPr>
                <w:sz w:val="12"/>
                <w:szCs w:val="12"/>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Refinanced loans </w:t>
            </w:r>
            <w:r>
              <w:rPr>
                <w:rFonts w:ascii="Arial" w:cs="Arial" w:eastAsia="Arial" w:hAnsi="Arial"/>
                <w:sz w:val="16"/>
                <w:szCs w:val="16"/>
                <w:color w:val="auto"/>
                <w:vertAlign w:val="superscript"/>
              </w:rPr>
              <w:t>(2)</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1,800,076</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1,714,074</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1,686,186</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9"/>
              </w:rPr>
              <w:t>-1.6%</w:t>
            </w:r>
          </w:p>
        </w:tc>
        <w:tc>
          <w:tcPr>
            <w:tcW w:w="144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9"/>
              </w:rPr>
              <w:t>-6.3%</w:t>
            </w:r>
          </w:p>
        </w:tc>
        <w:tc>
          <w:tcPr>
            <w:tcW w:w="20" w:type="dxa"/>
            <w:vAlign w:val="bottom"/>
            <w:shd w:val="clear" w:color="auto" w:fill="000000"/>
          </w:tcPr>
          <w:p>
            <w:pPr>
              <w:spacing w:after="0"/>
              <w:rPr>
                <w:sz w:val="12"/>
                <w:szCs w:val="12"/>
                <w:color w:val="auto"/>
              </w:rPr>
            </w:pPr>
          </w:p>
        </w:tc>
      </w:tr>
      <w:tr>
        <w:trPr>
          <w:trHeight w:val="169"/>
        </w:trPr>
        <w:tc>
          <w:tcPr>
            <w:tcW w:w="448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Arial" w:cs="Arial" w:eastAsia="Arial" w:hAnsi="Arial"/>
                <w:sz w:val="12"/>
                <w:szCs w:val="12"/>
                <w:color w:val="auto"/>
              </w:rPr>
              <w:t xml:space="preserve">Non-performing loans (NPLs) </w:t>
            </w:r>
            <w:r>
              <w:rPr>
                <w:rFonts w:ascii="Arial" w:cs="Arial" w:eastAsia="Arial" w:hAnsi="Arial"/>
                <w:sz w:val="19"/>
                <w:szCs w:val="19"/>
                <w:color w:val="auto"/>
                <w:vertAlign w:val="superscript"/>
              </w:rPr>
              <w:t>(3)</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6,854,429</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7,587,073</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7,791,442</w:t>
            </w:r>
          </w:p>
        </w:tc>
        <w:tc>
          <w:tcPr>
            <w:tcW w:w="80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rPr>
              <w:t>2.7%</w:t>
            </w:r>
          </w:p>
        </w:tc>
        <w:tc>
          <w:tcPr>
            <w:tcW w:w="1440" w:type="dxa"/>
            <w:vAlign w:val="bottom"/>
            <w:tcBorders>
              <w:bottom w:val="single" w:sz="8" w:color="auto"/>
            </w:tcBorders>
          </w:tcPr>
          <w:p>
            <w:pPr>
              <w:jc w:val="center"/>
              <w:ind w:left="215"/>
              <w:spacing w:after="0"/>
              <w:rPr>
                <w:sz w:val="20"/>
                <w:szCs w:val="20"/>
                <w:color w:val="auto"/>
              </w:rPr>
            </w:pPr>
            <w:r>
              <w:rPr>
                <w:rFonts w:ascii="Arial" w:cs="Arial" w:eastAsia="Arial" w:hAnsi="Arial"/>
                <w:sz w:val="13"/>
                <w:szCs w:val="13"/>
                <w:color w:val="auto"/>
                <w:w w:val="97"/>
              </w:rPr>
              <w:t>13.7%</w:t>
            </w:r>
          </w:p>
        </w:tc>
        <w:tc>
          <w:tcPr>
            <w:tcW w:w="20" w:type="dxa"/>
            <w:vAlign w:val="bottom"/>
            <w:tcBorders>
              <w:bottom w:val="single" w:sz="8" w:color="auto"/>
            </w:tcBorders>
            <w:shd w:val="clear" w:color="auto" w:fill="000000"/>
          </w:tcPr>
          <w:p>
            <w:pPr>
              <w:spacing w:after="0"/>
              <w:rPr>
                <w:sz w:val="14"/>
                <w:szCs w:val="14"/>
                <w:color w:val="auto"/>
              </w:rPr>
            </w:pPr>
          </w:p>
        </w:tc>
      </w:tr>
      <w:tr>
        <w:trPr>
          <w:trHeight w:val="131"/>
        </w:trPr>
        <w:tc>
          <w:tcPr>
            <w:tcW w:w="448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rPr>
              <w:t>IOL ratio</w:t>
            </w:r>
          </w:p>
        </w:tc>
        <w:tc>
          <w:tcPr>
            <w:tcW w:w="1340" w:type="dxa"/>
            <w:vAlign w:val="bottom"/>
          </w:tcPr>
          <w:p>
            <w:pPr>
              <w:jc w:val="right"/>
              <w:ind w:right="95"/>
              <w:spacing w:after="0" w:line="131" w:lineRule="exact"/>
              <w:rPr>
                <w:sz w:val="20"/>
                <w:szCs w:val="20"/>
                <w:color w:val="auto"/>
              </w:rPr>
            </w:pPr>
            <w:r>
              <w:rPr>
                <w:rFonts w:ascii="Arial" w:cs="Arial" w:eastAsia="Arial" w:hAnsi="Arial"/>
                <w:sz w:val="13"/>
                <w:szCs w:val="13"/>
                <w:b w:val="1"/>
                <w:bCs w:val="1"/>
                <w:color w:val="auto"/>
              </w:rPr>
              <w:t>3.53%</w:t>
            </w:r>
          </w:p>
        </w:tc>
        <w:tc>
          <w:tcPr>
            <w:tcW w:w="1120" w:type="dxa"/>
            <w:vAlign w:val="bottom"/>
          </w:tcPr>
          <w:p>
            <w:pPr>
              <w:jc w:val="right"/>
              <w:ind w:right="115"/>
              <w:spacing w:after="0" w:line="131" w:lineRule="exact"/>
              <w:rPr>
                <w:sz w:val="20"/>
                <w:szCs w:val="20"/>
                <w:color w:val="auto"/>
              </w:rPr>
            </w:pPr>
            <w:r>
              <w:rPr>
                <w:rFonts w:ascii="Arial" w:cs="Arial" w:eastAsia="Arial" w:hAnsi="Arial"/>
                <w:sz w:val="13"/>
                <w:szCs w:val="13"/>
                <w:b w:val="1"/>
                <w:bCs w:val="1"/>
                <w:color w:val="auto"/>
              </w:rPr>
              <w:t>4.06%</w:t>
            </w:r>
          </w:p>
        </w:tc>
        <w:tc>
          <w:tcPr>
            <w:tcW w:w="9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4.06%</w:t>
            </w:r>
          </w:p>
        </w:tc>
        <w:tc>
          <w:tcPr>
            <w:tcW w:w="800" w:type="dxa"/>
            <w:vAlign w:val="bottom"/>
          </w:tcPr>
          <w:p>
            <w:pPr>
              <w:jc w:val="center"/>
              <w:ind w:left="235"/>
              <w:spacing w:after="0" w:line="131" w:lineRule="exact"/>
              <w:rPr>
                <w:sz w:val="20"/>
                <w:szCs w:val="20"/>
                <w:color w:val="auto"/>
              </w:rPr>
            </w:pPr>
            <w:r>
              <w:rPr>
                <w:rFonts w:ascii="Arial" w:cs="Arial" w:eastAsia="Arial" w:hAnsi="Arial"/>
                <w:sz w:val="13"/>
                <w:szCs w:val="13"/>
                <w:color w:val="auto"/>
                <w:w w:val="94"/>
              </w:rPr>
              <w:t>0 bps</w:t>
            </w:r>
          </w:p>
        </w:tc>
        <w:tc>
          <w:tcPr>
            <w:tcW w:w="1440" w:type="dxa"/>
            <w:vAlign w:val="bottom"/>
          </w:tcPr>
          <w:p>
            <w:pPr>
              <w:jc w:val="center"/>
              <w:ind w:left="215"/>
              <w:spacing w:after="0" w:line="131" w:lineRule="exact"/>
              <w:rPr>
                <w:sz w:val="20"/>
                <w:szCs w:val="20"/>
                <w:color w:val="auto"/>
              </w:rPr>
            </w:pPr>
            <w:r>
              <w:rPr>
                <w:rFonts w:ascii="Arial" w:cs="Arial" w:eastAsia="Arial" w:hAnsi="Arial"/>
                <w:sz w:val="13"/>
                <w:szCs w:val="13"/>
                <w:color w:val="auto"/>
              </w:rPr>
              <w:t>53 bps</w:t>
            </w:r>
          </w:p>
        </w:tc>
        <w:tc>
          <w:tcPr>
            <w:tcW w:w="20" w:type="dxa"/>
            <w:vAlign w:val="bottom"/>
            <w:shd w:val="clear" w:color="auto" w:fill="000000"/>
          </w:tcPr>
          <w:p>
            <w:pPr>
              <w:spacing w:after="0"/>
              <w:rPr>
                <w:sz w:val="11"/>
                <w:szCs w:val="11"/>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IOL over 90-days ratio</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2.67%</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3.06%</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3.06%</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4"/>
              </w:rPr>
              <w:t>0 bps</w:t>
            </w:r>
          </w:p>
        </w:tc>
        <w:tc>
          <w:tcPr>
            <w:tcW w:w="144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39 bps</w:t>
            </w:r>
          </w:p>
        </w:tc>
        <w:tc>
          <w:tcPr>
            <w:tcW w:w="20" w:type="dxa"/>
            <w:vAlign w:val="bottom"/>
            <w:shd w:val="clear" w:color="auto" w:fill="000000"/>
          </w:tcPr>
          <w:p>
            <w:pPr>
              <w:spacing w:after="0"/>
              <w:rPr>
                <w:sz w:val="12"/>
                <w:szCs w:val="12"/>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NPL ratio</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4.79%</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5.25%</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5.18%</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rPr>
              <w:t>-7 bps</w:t>
            </w:r>
          </w:p>
        </w:tc>
        <w:tc>
          <w:tcPr>
            <w:tcW w:w="1440" w:type="dxa"/>
            <w:vAlign w:val="bottom"/>
          </w:tcPr>
          <w:p>
            <w:pPr>
              <w:jc w:val="center"/>
              <w:ind w:left="215"/>
              <w:spacing w:after="0" w:line="146" w:lineRule="exact"/>
              <w:rPr>
                <w:sz w:val="20"/>
                <w:szCs w:val="20"/>
                <w:color w:val="auto"/>
              </w:rPr>
            </w:pPr>
            <w:r>
              <w:rPr>
                <w:rFonts w:ascii="Arial" w:cs="Arial" w:eastAsia="Arial" w:hAnsi="Arial"/>
                <w:sz w:val="13"/>
                <w:szCs w:val="13"/>
                <w:color w:val="auto"/>
              </w:rPr>
              <w:t>39 bps</w:t>
            </w:r>
          </w:p>
        </w:tc>
        <w:tc>
          <w:tcPr>
            <w:tcW w:w="20" w:type="dxa"/>
            <w:vAlign w:val="bottom"/>
            <w:shd w:val="clear" w:color="auto" w:fill="000000"/>
          </w:tcPr>
          <w:p>
            <w:pPr>
              <w:spacing w:after="0"/>
              <w:rPr>
                <w:sz w:val="12"/>
                <w:szCs w:val="12"/>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Allowance for loan losses over Total loans</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6.6%</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5.7%</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5.5%</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6"/>
              </w:rPr>
              <w:t>-19 bps</w:t>
            </w:r>
          </w:p>
        </w:tc>
        <w:tc>
          <w:tcPr>
            <w:tcW w:w="144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8"/>
              </w:rPr>
              <w:t>-104 bps</w:t>
            </w:r>
          </w:p>
        </w:tc>
        <w:tc>
          <w:tcPr>
            <w:tcW w:w="20" w:type="dxa"/>
            <w:vAlign w:val="bottom"/>
            <w:shd w:val="clear" w:color="auto" w:fill="000000"/>
          </w:tcPr>
          <w:p>
            <w:pPr>
              <w:spacing w:after="0"/>
              <w:rPr>
                <w:sz w:val="12"/>
                <w:szCs w:val="12"/>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Coverage ratio of IOLs</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185.8%</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140.7%</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136.1%</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8"/>
              </w:rPr>
              <w:t>-463 bps</w:t>
            </w:r>
          </w:p>
        </w:tc>
        <w:tc>
          <w:tcPr>
            <w:tcW w:w="1440" w:type="dxa"/>
            <w:vAlign w:val="bottom"/>
          </w:tcPr>
          <w:p>
            <w:pPr>
              <w:jc w:val="center"/>
              <w:ind w:left="235"/>
              <w:spacing w:after="0" w:line="146" w:lineRule="exact"/>
              <w:rPr>
                <w:sz w:val="20"/>
                <w:szCs w:val="20"/>
                <w:color w:val="auto"/>
              </w:rPr>
            </w:pPr>
            <w:r>
              <w:rPr>
                <w:rFonts w:ascii="Arial" w:cs="Arial" w:eastAsia="Arial" w:hAnsi="Arial"/>
                <w:sz w:val="13"/>
                <w:szCs w:val="13"/>
                <w:color w:val="auto"/>
              </w:rPr>
              <w:t>-4975 bps</w:t>
            </w:r>
          </w:p>
        </w:tc>
        <w:tc>
          <w:tcPr>
            <w:tcW w:w="20" w:type="dxa"/>
            <w:vAlign w:val="bottom"/>
            <w:shd w:val="clear" w:color="auto" w:fill="000000"/>
          </w:tcPr>
          <w:p>
            <w:pPr>
              <w:spacing w:after="0"/>
              <w:rPr>
                <w:sz w:val="12"/>
                <w:szCs w:val="12"/>
                <w:color w:val="auto"/>
              </w:rPr>
            </w:pPr>
          </w:p>
        </w:tc>
      </w:tr>
      <w:tr>
        <w:trPr>
          <w:trHeight w:val="146"/>
        </w:trPr>
        <w:tc>
          <w:tcPr>
            <w:tcW w:w="44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Coverage ratio of IOL 90-days</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246.0%</w:t>
            </w:r>
          </w:p>
        </w:tc>
        <w:tc>
          <w:tcPr>
            <w:tcW w:w="112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186.7%</w:t>
            </w:r>
          </w:p>
        </w:tc>
        <w:tc>
          <w:tcPr>
            <w:tcW w:w="9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180.7%</w:t>
            </w:r>
          </w:p>
        </w:tc>
        <w:tc>
          <w:tcPr>
            <w:tcW w:w="800" w:type="dxa"/>
            <w:vAlign w:val="bottom"/>
          </w:tcPr>
          <w:p>
            <w:pPr>
              <w:jc w:val="center"/>
              <w:ind w:left="235"/>
              <w:spacing w:after="0" w:line="146" w:lineRule="exact"/>
              <w:rPr>
                <w:sz w:val="20"/>
                <w:szCs w:val="20"/>
                <w:color w:val="auto"/>
              </w:rPr>
            </w:pPr>
            <w:r>
              <w:rPr>
                <w:rFonts w:ascii="Arial" w:cs="Arial" w:eastAsia="Arial" w:hAnsi="Arial"/>
                <w:sz w:val="13"/>
                <w:szCs w:val="13"/>
                <w:color w:val="auto"/>
                <w:w w:val="98"/>
              </w:rPr>
              <w:t>-603 bps</w:t>
            </w:r>
          </w:p>
        </w:tc>
        <w:tc>
          <w:tcPr>
            <w:tcW w:w="1440" w:type="dxa"/>
            <w:vAlign w:val="bottom"/>
          </w:tcPr>
          <w:p>
            <w:pPr>
              <w:jc w:val="center"/>
              <w:ind w:left="235"/>
              <w:spacing w:after="0" w:line="146" w:lineRule="exact"/>
              <w:rPr>
                <w:sz w:val="20"/>
                <w:szCs w:val="20"/>
                <w:color w:val="auto"/>
              </w:rPr>
            </w:pPr>
            <w:r>
              <w:rPr>
                <w:rFonts w:ascii="Arial" w:cs="Arial" w:eastAsia="Arial" w:hAnsi="Arial"/>
                <w:sz w:val="13"/>
                <w:szCs w:val="13"/>
                <w:color w:val="auto"/>
              </w:rPr>
              <w:t>-6529 bps</w:t>
            </w:r>
          </w:p>
        </w:tc>
        <w:tc>
          <w:tcPr>
            <w:tcW w:w="20" w:type="dxa"/>
            <w:vAlign w:val="bottom"/>
            <w:shd w:val="clear" w:color="auto" w:fill="000000"/>
          </w:tcPr>
          <w:p>
            <w:pPr>
              <w:spacing w:after="0"/>
              <w:rPr>
                <w:sz w:val="12"/>
                <w:szCs w:val="12"/>
                <w:color w:val="auto"/>
              </w:rPr>
            </w:pPr>
          </w:p>
        </w:tc>
      </w:tr>
      <w:tr>
        <w:trPr>
          <w:trHeight w:val="154"/>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Coverage ratio of NPLs</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137.0%</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108.9%</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106.6%</w:t>
            </w:r>
          </w:p>
        </w:tc>
        <w:tc>
          <w:tcPr>
            <w:tcW w:w="80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w w:val="98"/>
              </w:rPr>
              <w:t>-229 bps</w:t>
            </w:r>
          </w:p>
        </w:tc>
        <w:tc>
          <w:tcPr>
            <w:tcW w:w="144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rPr>
              <w:t>-3040 bps</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211" w:lineRule="exact"/>
        <w:rPr>
          <w:sz w:val="20"/>
          <w:szCs w:val="20"/>
          <w:color w:val="auto"/>
        </w:rPr>
      </w:pPr>
    </w:p>
    <w:p>
      <w:pPr>
        <w:ind w:left="580" w:hanging="144"/>
        <w:spacing w:after="0"/>
        <w:tabs>
          <w:tab w:leader="none" w:pos="5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Overdue Loans and Loans under legal collection. (Quarter-end balances net of deferred earnings).</w:t>
      </w:r>
    </w:p>
    <w:p>
      <w:pPr>
        <w:spacing w:after="0" w:line="7" w:lineRule="exact"/>
        <w:rPr>
          <w:rFonts w:ascii="Times New Roman" w:cs="Times New Roman" w:eastAsia="Times New Roman" w:hAnsi="Times New Roman"/>
          <w:sz w:val="11"/>
          <w:szCs w:val="11"/>
          <w:color w:val="auto"/>
        </w:rPr>
      </w:pPr>
    </w:p>
    <w:p>
      <w:pPr>
        <w:ind w:left="580" w:hanging="144"/>
        <w:spacing w:after="0" w:line="231" w:lineRule="auto"/>
        <w:tabs>
          <w:tab w:leader="none" w:pos="5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Figures net of deferred earnings.</w:t>
      </w:r>
    </w:p>
    <w:p>
      <w:pPr>
        <w:ind w:left="580" w:hanging="144"/>
        <w:spacing w:after="0"/>
        <w:tabs>
          <w:tab w:leader="none" w:pos="5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Non-performing Loans include Internal overdue loans and Refinanced loans. (Quarter-end balances net of deferred earnings).</w:t>
      </w:r>
    </w:p>
    <w:p>
      <w:pPr>
        <w:spacing w:after="0" w:line="9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In the aforementioned context, Credicorp’s NPL ratio fell 7bps QoQ due to the positive evolution of the structural portfolio. YoY, however, the ratio increased 39bps due to the deterioration and amortization of GP loans.</w:t>
      </w:r>
    </w:p>
    <w:p>
      <w:pPr>
        <w:spacing w:after="0" w:line="31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2" w:name="page23"/>
    <w:bookmarkEnd w:id="22"/>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E93CAC"/>
        </w:rPr>
        <w:t xml:space="preserve">02 </w:t>
      </w:r>
      <w:r>
        <w:rPr>
          <w:rFonts w:ascii="Times New Roman" w:cs="Times New Roman" w:eastAsia="Times New Roman" w:hAnsi="Times New Roman"/>
          <w:sz w:val="29"/>
          <w:szCs w:val="29"/>
          <w:color w:val="E93C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45655" cy="1508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1508125"/>
                    </a:xfrm>
                    <a:prstGeom prst="rect">
                      <a:avLst/>
                    </a:prstGeom>
                    <a:noFill/>
                  </pic:spPr>
                </pic:pic>
              </a:graphicData>
            </a:graphic>
          </wp:anchor>
        </w:drawing>
      </w:r>
    </w:p>
    <w:p>
      <w:pPr>
        <w:spacing w:after="0" w:line="318" w:lineRule="exact"/>
        <w:rPr>
          <w:sz w:val="20"/>
          <w:szCs w:val="20"/>
          <w:color w:val="auto"/>
        </w:rPr>
      </w:pPr>
    </w:p>
    <w:p>
      <w:pPr>
        <w:jc w:val="both"/>
        <w:ind w:left="120" w:right="120"/>
        <w:spacing w:after="0" w:line="258" w:lineRule="auto"/>
        <w:rPr>
          <w:sz w:val="20"/>
          <w:szCs w:val="20"/>
          <w:color w:val="auto"/>
        </w:rPr>
      </w:pPr>
      <w:r>
        <w:rPr>
          <w:rFonts w:ascii="Arial" w:cs="Arial" w:eastAsia="Arial" w:hAnsi="Arial"/>
          <w:sz w:val="16"/>
          <w:szCs w:val="16"/>
          <w:color w:val="FFFFFF"/>
        </w:rPr>
        <w:t>At the end of 2Q22, 72.2% of Credicorp’s deposit volume was low-cost, which represents a competitive advantage in a context of rising funding costs. In YoY terms, low-cost deposits (FX Neutral) fell 5.1%, driven by a decrease in demand deposits in LC clients moved to amortize GP loans. Likewise, Severance Indemnity deposits (CTS) dropped 23.6% (FX neutral) YoY after the government decreed that funds be released for withdrawal.</w:t>
      </w:r>
    </w:p>
    <w:p>
      <w:pPr>
        <w:spacing w:after="0" w:line="76" w:lineRule="exact"/>
        <w:rPr>
          <w:sz w:val="20"/>
          <w:szCs w:val="20"/>
          <w:color w:val="auto"/>
        </w:rPr>
      </w:pPr>
    </w:p>
    <w:p>
      <w:pPr>
        <w:jc w:val="both"/>
        <w:ind w:left="120" w:right="120"/>
        <w:spacing w:after="0" w:line="278" w:lineRule="auto"/>
        <w:rPr>
          <w:sz w:val="20"/>
          <w:szCs w:val="20"/>
          <w:color w:val="auto"/>
        </w:rPr>
      </w:pPr>
      <w:r>
        <w:rPr>
          <w:rFonts w:ascii="Arial" w:cs="Arial" w:eastAsia="Arial" w:hAnsi="Arial"/>
          <w:sz w:val="16"/>
          <w:szCs w:val="16"/>
          <w:color w:val="FFFFFF"/>
        </w:rPr>
        <w:t>Over the same period, Time Deposits registered an increase after a migration from low-cost deposits to this deposit type to take advantage of higher interest rates.</w:t>
      </w:r>
    </w:p>
    <w:p>
      <w:pPr>
        <w:spacing w:after="0" w:line="256" w:lineRule="exact"/>
        <w:rPr>
          <w:sz w:val="20"/>
          <w:szCs w:val="20"/>
          <w:color w:val="auto"/>
        </w:rPr>
      </w:pPr>
    </w:p>
    <w:p>
      <w:pPr>
        <w:jc w:val="both"/>
        <w:ind w:left="120" w:right="300"/>
        <w:spacing w:after="0" w:line="258" w:lineRule="auto"/>
        <w:rPr>
          <w:sz w:val="20"/>
          <w:szCs w:val="20"/>
          <w:color w:val="auto"/>
        </w:rPr>
      </w:pPr>
      <w:r>
        <w:rPr>
          <w:rFonts w:ascii="Arial" w:cs="Arial" w:eastAsia="Arial" w:hAnsi="Arial"/>
          <w:sz w:val="16"/>
          <w:szCs w:val="16"/>
          <w:color w:val="FFFFFF"/>
        </w:rPr>
        <w:t>At the end of May 2022, BCP Stand-alone’s share of total deposits stood at 32.4% (-100 bps with regard to June 2021). This evolution was triggered by drop in demand deposits related to the amortization of Reactiva loans. Mibanco reported an MS of 2.5% (+30bps with regard to June 2021) in a context marked by an uptick in time deposits after retail clients that had withdrawn funds last year due to unfavorable juncture migrated back.</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660" w:type="dxa"/>
            <w:vAlign w:val="bottom"/>
            <w:tcBorders>
              <w:top w:val="single" w:sz="8" w:color="auto"/>
              <w:left w:val="single" w:sz="8" w:color="auto"/>
              <w:right w:val="single" w:sz="8" w:color="auto"/>
            </w:tcBorders>
            <w:shd w:val="clear" w:color="auto" w:fill="33CCCC"/>
          </w:tcPr>
          <w:p>
            <w:pPr>
              <w:spacing w:after="0" w:line="178" w:lineRule="exact"/>
              <w:rPr>
                <w:sz w:val="20"/>
                <w:szCs w:val="20"/>
                <w:color w:val="auto"/>
              </w:rPr>
            </w:pPr>
            <w:r>
              <w:rPr>
                <w:rFonts w:ascii="Arial" w:cs="Arial" w:eastAsia="Arial" w:hAnsi="Arial"/>
                <w:sz w:val="16"/>
                <w:szCs w:val="16"/>
                <w:b w:val="1"/>
                <w:bCs w:val="1"/>
                <w:color w:val="FFFFFF"/>
              </w:rPr>
              <w:t>Deposits</w:t>
            </w:r>
          </w:p>
        </w:tc>
        <w:tc>
          <w:tcPr>
            <w:tcW w:w="1460" w:type="dxa"/>
            <w:vAlign w:val="bottom"/>
            <w:tcBorders>
              <w:top w:val="single" w:sz="8" w:color="auto"/>
            </w:tcBorders>
            <w:shd w:val="clear" w:color="auto" w:fill="33CCCC"/>
          </w:tcPr>
          <w:p>
            <w:pPr>
              <w:spacing w:after="0"/>
              <w:rPr>
                <w:sz w:val="15"/>
                <w:szCs w:val="15"/>
                <w:color w:val="auto"/>
              </w:rPr>
            </w:pPr>
          </w:p>
        </w:tc>
        <w:tc>
          <w:tcPr>
            <w:tcW w:w="1300" w:type="dxa"/>
            <w:vAlign w:val="bottom"/>
            <w:tcBorders>
              <w:top w:val="single" w:sz="8" w:color="auto"/>
            </w:tcBorders>
            <w:shd w:val="clear" w:color="auto" w:fill="33CCCC"/>
          </w:tcPr>
          <w:p>
            <w:pPr>
              <w:jc w:val="right"/>
              <w:ind w:right="519"/>
              <w:spacing w:after="0" w:line="178" w:lineRule="exact"/>
              <w:rPr>
                <w:sz w:val="20"/>
                <w:szCs w:val="20"/>
                <w:color w:val="auto"/>
              </w:rPr>
            </w:pPr>
            <w:r>
              <w:rPr>
                <w:rFonts w:ascii="Arial" w:cs="Arial" w:eastAsia="Arial" w:hAnsi="Arial"/>
                <w:sz w:val="16"/>
                <w:szCs w:val="16"/>
                <w:b w:val="1"/>
                <w:bCs w:val="1"/>
                <w:color w:val="FFFFFF"/>
              </w:rPr>
              <w:t>As of</w:t>
            </w:r>
          </w:p>
        </w:tc>
        <w:tc>
          <w:tcPr>
            <w:tcW w:w="1180" w:type="dxa"/>
            <w:vAlign w:val="bottom"/>
            <w:tcBorders>
              <w:top w:val="single" w:sz="8" w:color="auto"/>
              <w:right w:val="single" w:sz="8" w:color="auto"/>
            </w:tcBorders>
            <w:shd w:val="clear" w:color="auto" w:fill="33CCCC"/>
          </w:tcPr>
          <w:p>
            <w:pPr>
              <w:spacing w:after="0"/>
              <w:rPr>
                <w:sz w:val="15"/>
                <w:szCs w:val="15"/>
                <w:color w:val="auto"/>
              </w:rPr>
            </w:pPr>
          </w:p>
        </w:tc>
        <w:tc>
          <w:tcPr>
            <w:tcW w:w="2340" w:type="dxa"/>
            <w:vAlign w:val="bottom"/>
            <w:tcBorders>
              <w:top w:val="single" w:sz="8" w:color="auto"/>
              <w:right w:val="single" w:sz="8" w:color="auto"/>
            </w:tcBorders>
            <w:gridSpan w:val="2"/>
            <w:shd w:val="clear" w:color="auto" w:fill="33CCCC"/>
          </w:tcPr>
          <w:p>
            <w:pPr>
              <w:ind w:left="780"/>
              <w:spacing w:after="0" w:line="178" w:lineRule="exact"/>
              <w:rPr>
                <w:sz w:val="20"/>
                <w:szCs w:val="20"/>
                <w:color w:val="auto"/>
              </w:rPr>
            </w:pPr>
            <w:r>
              <w:rPr>
                <w:rFonts w:ascii="Arial" w:cs="Arial" w:eastAsia="Arial" w:hAnsi="Arial"/>
                <w:sz w:val="16"/>
                <w:szCs w:val="16"/>
                <w:b w:val="1"/>
                <w:bCs w:val="1"/>
                <w:color w:val="FFFFFF"/>
              </w:rPr>
              <w:t>% change</w:t>
            </w:r>
          </w:p>
        </w:tc>
        <w:tc>
          <w:tcPr>
            <w:tcW w:w="2320" w:type="dxa"/>
            <w:vAlign w:val="bottom"/>
            <w:tcBorders>
              <w:top w:val="single" w:sz="8" w:color="auto"/>
            </w:tcBorders>
            <w:gridSpan w:val="2"/>
            <w:shd w:val="clear" w:color="auto" w:fill="33CCCC"/>
          </w:tcPr>
          <w:p>
            <w:pPr>
              <w:ind w:left="800"/>
              <w:spacing w:after="0" w:line="178" w:lineRule="exact"/>
              <w:rPr>
                <w:sz w:val="20"/>
                <w:szCs w:val="20"/>
                <w:color w:val="auto"/>
              </w:rPr>
            </w:pPr>
            <w:r>
              <w:rPr>
                <w:rFonts w:ascii="Arial" w:cs="Arial" w:eastAsia="Arial" w:hAnsi="Arial"/>
                <w:sz w:val="16"/>
                <w:szCs w:val="16"/>
                <w:b w:val="1"/>
                <w:bCs w:val="1"/>
                <w:color w:val="FFFFFF"/>
              </w:rPr>
              <w:t>Currency</w:t>
            </w:r>
          </w:p>
        </w:tc>
        <w:tc>
          <w:tcPr>
            <w:tcW w:w="20" w:type="dxa"/>
            <w:vAlign w:val="bottom"/>
          </w:tcPr>
          <w:p>
            <w:pPr>
              <w:spacing w:after="0"/>
              <w:rPr>
                <w:sz w:val="15"/>
                <w:szCs w:val="15"/>
                <w:color w:val="auto"/>
              </w:rPr>
            </w:pPr>
          </w:p>
        </w:tc>
      </w:tr>
      <w:tr>
        <w:trPr>
          <w:trHeight w:val="212"/>
        </w:trPr>
        <w:tc>
          <w:tcPr>
            <w:tcW w:w="266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 000</w:t>
            </w:r>
          </w:p>
        </w:tc>
        <w:tc>
          <w:tcPr>
            <w:tcW w:w="1460" w:type="dxa"/>
            <w:vAlign w:val="bottom"/>
            <w:tcBorders>
              <w:bottom w:val="single" w:sz="8" w:color="auto"/>
            </w:tcBorders>
            <w:shd w:val="clear" w:color="auto" w:fill="33CCCC"/>
          </w:tcPr>
          <w:p>
            <w:pPr>
              <w:jc w:val="right"/>
              <w:ind w:right="499"/>
              <w:spacing w:after="0"/>
              <w:rPr>
                <w:sz w:val="20"/>
                <w:szCs w:val="20"/>
                <w:color w:val="auto"/>
              </w:rPr>
            </w:pPr>
            <w:r>
              <w:rPr>
                <w:rFonts w:ascii="Arial" w:cs="Arial" w:eastAsia="Arial" w:hAnsi="Arial"/>
                <w:sz w:val="16"/>
                <w:szCs w:val="16"/>
                <w:b w:val="1"/>
                <w:bCs w:val="1"/>
                <w:color w:val="FFFFFF"/>
              </w:rPr>
              <w:t>Jun 21</w:t>
            </w:r>
          </w:p>
        </w:tc>
        <w:tc>
          <w:tcPr>
            <w:tcW w:w="1300" w:type="dxa"/>
            <w:vAlign w:val="bottom"/>
            <w:tcBorders>
              <w:bottom w:val="single" w:sz="8" w:color="auto"/>
            </w:tcBorders>
            <w:shd w:val="clear" w:color="auto" w:fill="33CCCC"/>
          </w:tcPr>
          <w:p>
            <w:pPr>
              <w:jc w:val="right"/>
              <w:ind w:right="519"/>
              <w:spacing w:after="0"/>
              <w:rPr>
                <w:sz w:val="20"/>
                <w:szCs w:val="20"/>
                <w:color w:val="auto"/>
              </w:rPr>
            </w:pPr>
            <w:r>
              <w:rPr>
                <w:rFonts w:ascii="Arial" w:cs="Arial" w:eastAsia="Arial" w:hAnsi="Arial"/>
                <w:sz w:val="16"/>
                <w:szCs w:val="16"/>
                <w:b w:val="1"/>
                <w:bCs w:val="1"/>
                <w:color w:val="FFFFFF"/>
              </w:rPr>
              <w:t>Mar 22</w:t>
            </w:r>
          </w:p>
        </w:tc>
        <w:tc>
          <w:tcPr>
            <w:tcW w:w="1180" w:type="dxa"/>
            <w:vAlign w:val="bottom"/>
            <w:tcBorders>
              <w:bottom w:val="single" w:sz="8" w:color="auto"/>
              <w:right w:val="single" w:sz="8" w:color="auto"/>
            </w:tcBorders>
            <w:shd w:val="clear" w:color="auto" w:fill="33CCCC"/>
          </w:tcPr>
          <w:p>
            <w:pPr>
              <w:jc w:val="right"/>
              <w:ind w:right="359"/>
              <w:spacing w:after="0"/>
              <w:rPr>
                <w:sz w:val="20"/>
                <w:szCs w:val="20"/>
                <w:color w:val="auto"/>
              </w:rPr>
            </w:pPr>
            <w:r>
              <w:rPr>
                <w:rFonts w:ascii="Arial" w:cs="Arial" w:eastAsia="Arial" w:hAnsi="Arial"/>
                <w:sz w:val="16"/>
                <w:szCs w:val="16"/>
                <w:b w:val="1"/>
                <w:bCs w:val="1"/>
                <w:color w:val="FFFFFF"/>
              </w:rPr>
              <w:t>Jun 22</w:t>
            </w:r>
          </w:p>
        </w:tc>
        <w:tc>
          <w:tcPr>
            <w:tcW w:w="114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6"/>
                <w:szCs w:val="16"/>
                <w:b w:val="1"/>
                <w:bCs w:val="1"/>
                <w:color w:val="FFFFFF"/>
              </w:rPr>
              <w:t>QoQ</w:t>
            </w:r>
          </w:p>
        </w:tc>
        <w:tc>
          <w:tcPr>
            <w:tcW w:w="120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6"/>
                <w:szCs w:val="16"/>
                <w:b w:val="1"/>
                <w:bCs w:val="1"/>
                <w:color w:val="FFFFFF"/>
              </w:rPr>
              <w:t>YoY</w:t>
            </w:r>
          </w:p>
        </w:tc>
        <w:tc>
          <w:tcPr>
            <w:tcW w:w="11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LC</w:t>
            </w:r>
          </w:p>
        </w:tc>
        <w:tc>
          <w:tcPr>
            <w:tcW w:w="11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FC</w:t>
            </w:r>
          </w:p>
        </w:tc>
        <w:tc>
          <w:tcPr>
            <w:tcW w:w="20" w:type="dxa"/>
            <w:vAlign w:val="bottom"/>
            <w:tcBorders>
              <w:bottom w:val="single" w:sz="8" w:color="auto"/>
            </w:tcBorders>
            <w:shd w:val="clear" w:color="auto" w:fill="000000"/>
          </w:tcPr>
          <w:p>
            <w:pPr>
              <w:spacing w:after="0"/>
              <w:rPr>
                <w:sz w:val="18"/>
                <w:szCs w:val="18"/>
                <w:color w:val="auto"/>
              </w:rPr>
            </w:pPr>
          </w:p>
        </w:tc>
      </w:tr>
      <w:tr>
        <w:trPr>
          <w:trHeight w:val="158"/>
        </w:trPr>
        <w:tc>
          <w:tcPr>
            <w:tcW w:w="266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Demand deposits</w:t>
            </w:r>
          </w:p>
        </w:tc>
        <w:tc>
          <w:tcPr>
            <w:tcW w:w="1460" w:type="dxa"/>
            <w:vAlign w:val="bottom"/>
          </w:tcPr>
          <w:p>
            <w:pPr>
              <w:jc w:val="right"/>
              <w:ind w:right="119"/>
              <w:spacing w:after="0" w:line="158" w:lineRule="exact"/>
              <w:rPr>
                <w:sz w:val="20"/>
                <w:szCs w:val="20"/>
                <w:color w:val="auto"/>
              </w:rPr>
            </w:pPr>
            <w:r>
              <w:rPr>
                <w:rFonts w:ascii="Arial" w:cs="Arial" w:eastAsia="Arial" w:hAnsi="Arial"/>
                <w:sz w:val="16"/>
                <w:szCs w:val="16"/>
                <w:color w:val="auto"/>
              </w:rPr>
              <w:t>59,998,764</w:t>
            </w:r>
          </w:p>
        </w:tc>
        <w:tc>
          <w:tcPr>
            <w:tcW w:w="1300" w:type="dxa"/>
            <w:vAlign w:val="bottom"/>
          </w:tcPr>
          <w:p>
            <w:pPr>
              <w:jc w:val="right"/>
              <w:ind w:right="119"/>
              <w:spacing w:after="0" w:line="158" w:lineRule="exact"/>
              <w:rPr>
                <w:sz w:val="20"/>
                <w:szCs w:val="20"/>
                <w:color w:val="auto"/>
              </w:rPr>
            </w:pPr>
            <w:r>
              <w:rPr>
                <w:rFonts w:ascii="Arial" w:cs="Arial" w:eastAsia="Arial" w:hAnsi="Arial"/>
                <w:sz w:val="16"/>
                <w:szCs w:val="16"/>
                <w:color w:val="auto"/>
              </w:rPr>
              <w:t>56,923,859</w:t>
            </w:r>
          </w:p>
        </w:tc>
        <w:tc>
          <w:tcPr>
            <w:tcW w:w="118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51,554,195</w:t>
            </w:r>
          </w:p>
        </w:tc>
        <w:tc>
          <w:tcPr>
            <w:tcW w:w="1140" w:type="dxa"/>
            <w:vAlign w:val="bottom"/>
          </w:tcPr>
          <w:p>
            <w:pPr>
              <w:jc w:val="center"/>
              <w:spacing w:after="0" w:line="158" w:lineRule="exact"/>
              <w:rPr>
                <w:sz w:val="20"/>
                <w:szCs w:val="20"/>
                <w:color w:val="auto"/>
              </w:rPr>
            </w:pPr>
            <w:r>
              <w:rPr>
                <w:rFonts w:ascii="Arial" w:cs="Arial" w:eastAsia="Arial" w:hAnsi="Arial"/>
                <w:sz w:val="16"/>
                <w:szCs w:val="16"/>
                <w:color w:val="auto"/>
              </w:rPr>
              <w:t>-9.4%</w:t>
            </w:r>
          </w:p>
        </w:tc>
        <w:tc>
          <w:tcPr>
            <w:tcW w:w="12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-14.1%</w:t>
            </w:r>
          </w:p>
        </w:tc>
        <w:tc>
          <w:tcPr>
            <w:tcW w:w="1140" w:type="dxa"/>
            <w:vAlign w:val="bottom"/>
          </w:tcPr>
          <w:p>
            <w:pPr>
              <w:jc w:val="center"/>
              <w:spacing w:after="0" w:line="158" w:lineRule="exact"/>
              <w:rPr>
                <w:sz w:val="20"/>
                <w:szCs w:val="20"/>
                <w:color w:val="auto"/>
              </w:rPr>
            </w:pPr>
            <w:r>
              <w:rPr>
                <w:rFonts w:ascii="Arial" w:cs="Arial" w:eastAsia="Arial" w:hAnsi="Arial"/>
                <w:sz w:val="16"/>
                <w:szCs w:val="16"/>
                <w:color w:val="auto"/>
              </w:rPr>
              <w:t>41.9%</w:t>
            </w:r>
          </w:p>
        </w:tc>
        <w:tc>
          <w:tcPr>
            <w:tcW w:w="1180" w:type="dxa"/>
            <w:vAlign w:val="bottom"/>
          </w:tcPr>
          <w:p>
            <w:pPr>
              <w:jc w:val="center"/>
              <w:spacing w:after="0" w:line="158" w:lineRule="exact"/>
              <w:rPr>
                <w:sz w:val="20"/>
                <w:szCs w:val="20"/>
                <w:color w:val="auto"/>
              </w:rPr>
            </w:pPr>
            <w:r>
              <w:rPr>
                <w:rFonts w:ascii="Arial" w:cs="Arial" w:eastAsia="Arial" w:hAnsi="Arial"/>
                <w:sz w:val="16"/>
                <w:szCs w:val="16"/>
                <w:color w:val="auto"/>
              </w:rPr>
              <w:t>58.1%</w:t>
            </w:r>
          </w:p>
        </w:tc>
        <w:tc>
          <w:tcPr>
            <w:tcW w:w="20" w:type="dxa"/>
            <w:vAlign w:val="bottom"/>
            <w:shd w:val="clear" w:color="auto" w:fill="000000"/>
          </w:tcPr>
          <w:p>
            <w:pPr>
              <w:spacing w:after="0"/>
              <w:rPr>
                <w:sz w:val="13"/>
                <w:szCs w:val="13"/>
                <w:color w:val="auto"/>
              </w:rPr>
            </w:pPr>
          </w:p>
        </w:tc>
      </w:tr>
      <w:tr>
        <w:trPr>
          <w:trHeight w:val="183"/>
        </w:trPr>
        <w:tc>
          <w:tcPr>
            <w:tcW w:w="266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Saving deposits</w:t>
            </w:r>
          </w:p>
        </w:tc>
        <w:tc>
          <w:tcPr>
            <w:tcW w:w="146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52,687,270</w:t>
            </w:r>
          </w:p>
        </w:tc>
        <w:tc>
          <w:tcPr>
            <w:tcW w:w="13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56,454,479</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54,936,107</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-2.7%</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4.3%</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52.9%</w:t>
            </w: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rPr>
              <w:t>47.1%</w:t>
            </w:r>
          </w:p>
        </w:tc>
        <w:tc>
          <w:tcPr>
            <w:tcW w:w="20" w:type="dxa"/>
            <w:vAlign w:val="bottom"/>
            <w:shd w:val="clear" w:color="auto" w:fill="000000"/>
          </w:tcPr>
          <w:p>
            <w:pPr>
              <w:spacing w:after="0"/>
              <w:rPr>
                <w:sz w:val="15"/>
                <w:szCs w:val="15"/>
                <w:color w:val="auto"/>
              </w:rPr>
            </w:pPr>
          </w:p>
        </w:tc>
      </w:tr>
      <w:tr>
        <w:trPr>
          <w:trHeight w:val="183"/>
        </w:trPr>
        <w:tc>
          <w:tcPr>
            <w:tcW w:w="266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Time deposits</w:t>
            </w:r>
          </w:p>
        </w:tc>
        <w:tc>
          <w:tcPr>
            <w:tcW w:w="146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30,302,103</w:t>
            </w:r>
          </w:p>
        </w:tc>
        <w:tc>
          <w:tcPr>
            <w:tcW w:w="13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30,029,261</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35,923,266</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19.6%</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18.6%</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48.4%</w:t>
            </w: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rPr>
              <w:t>51.6%</w:t>
            </w:r>
          </w:p>
        </w:tc>
        <w:tc>
          <w:tcPr>
            <w:tcW w:w="20" w:type="dxa"/>
            <w:vAlign w:val="bottom"/>
            <w:shd w:val="clear" w:color="auto" w:fill="000000"/>
          </w:tcPr>
          <w:p>
            <w:pPr>
              <w:spacing w:after="0"/>
              <w:rPr>
                <w:sz w:val="15"/>
                <w:szCs w:val="15"/>
                <w:color w:val="auto"/>
              </w:rPr>
            </w:pPr>
          </w:p>
        </w:tc>
      </w:tr>
      <w:tr>
        <w:trPr>
          <w:trHeight w:val="183"/>
        </w:trPr>
        <w:tc>
          <w:tcPr>
            <w:tcW w:w="266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Severance indemnity deposits</w:t>
            </w:r>
          </w:p>
        </w:tc>
        <w:tc>
          <w:tcPr>
            <w:tcW w:w="146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5,456,510</w:t>
            </w:r>
          </w:p>
        </w:tc>
        <w:tc>
          <w:tcPr>
            <w:tcW w:w="13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3,750,593</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4,155,932</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10.8%</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-23.8%</w:t>
            </w:r>
          </w:p>
        </w:tc>
        <w:tc>
          <w:tcPr>
            <w:tcW w:w="1140" w:type="dxa"/>
            <w:vAlign w:val="bottom"/>
          </w:tcPr>
          <w:p>
            <w:pPr>
              <w:jc w:val="center"/>
              <w:spacing w:after="0" w:line="183" w:lineRule="exact"/>
              <w:rPr>
                <w:sz w:val="20"/>
                <w:szCs w:val="20"/>
                <w:color w:val="auto"/>
              </w:rPr>
            </w:pPr>
            <w:r>
              <w:rPr>
                <w:rFonts w:ascii="Arial" w:cs="Arial" w:eastAsia="Arial" w:hAnsi="Arial"/>
                <w:sz w:val="16"/>
                <w:szCs w:val="16"/>
                <w:color w:val="auto"/>
              </w:rPr>
              <w:t>70.1%</w:t>
            </w: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rPr>
              <w:t>29.9%</w:t>
            </w:r>
          </w:p>
        </w:tc>
        <w:tc>
          <w:tcPr>
            <w:tcW w:w="20" w:type="dxa"/>
            <w:vAlign w:val="bottom"/>
            <w:shd w:val="clear" w:color="auto" w:fill="000000"/>
          </w:tcPr>
          <w:p>
            <w:pPr>
              <w:spacing w:after="0"/>
              <w:rPr>
                <w:sz w:val="15"/>
                <w:szCs w:val="15"/>
                <w:color w:val="auto"/>
              </w:rPr>
            </w:pPr>
          </w:p>
        </w:tc>
      </w:tr>
      <w:tr>
        <w:trPr>
          <w:trHeight w:val="199"/>
        </w:trPr>
        <w:tc>
          <w:tcPr>
            <w:tcW w:w="26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Interest payable</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717,156</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757,772</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871,075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48.2%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51.8%</w:t>
            </w:r>
          </w:p>
        </w:tc>
        <w:tc>
          <w:tcPr>
            <w:tcW w:w="20" w:type="dxa"/>
            <w:vAlign w:val="bottom"/>
            <w:tcBorders>
              <w:bottom w:val="single" w:sz="8" w:color="auto"/>
            </w:tcBorders>
            <w:shd w:val="clear" w:color="auto" w:fill="000000"/>
          </w:tcPr>
          <w:p>
            <w:pPr>
              <w:spacing w:after="0"/>
              <w:rPr>
                <w:sz w:val="17"/>
                <w:szCs w:val="17"/>
                <w:color w:val="auto"/>
              </w:rPr>
            </w:pPr>
          </w:p>
        </w:tc>
      </w:tr>
      <w:tr>
        <w:trPr>
          <w:trHeight w:val="175"/>
        </w:trPr>
        <w:tc>
          <w:tcPr>
            <w:tcW w:w="266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Deposits</w:t>
            </w:r>
          </w:p>
        </w:tc>
        <w:tc>
          <w:tcPr>
            <w:tcW w:w="1460" w:type="dxa"/>
            <w:vAlign w:val="bottom"/>
            <w:tcBorders>
              <w:bottom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149,161,803</w:t>
            </w:r>
          </w:p>
        </w:tc>
        <w:tc>
          <w:tcPr>
            <w:tcW w:w="1300" w:type="dxa"/>
            <w:vAlign w:val="bottom"/>
            <w:tcBorders>
              <w:bottom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147,915,964</w:t>
            </w:r>
          </w:p>
        </w:tc>
        <w:tc>
          <w:tcPr>
            <w:tcW w:w="118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147,440,575</w:t>
            </w:r>
          </w:p>
        </w:tc>
        <w:tc>
          <w:tcPr>
            <w:tcW w:w="11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-0.3%</w:t>
            </w:r>
          </w:p>
        </w:tc>
        <w:tc>
          <w:tcPr>
            <w:tcW w:w="12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-1.2%</w:t>
            </w:r>
          </w:p>
        </w:tc>
        <w:tc>
          <w:tcPr>
            <w:tcW w:w="11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48.2%</w:t>
            </w:r>
          </w:p>
        </w:tc>
        <w:tc>
          <w:tcPr>
            <w:tcW w:w="11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51.8%</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deposit base fell 0.3% QoQ. FX neutral fell 2.0% due to:</w:t>
      </w:r>
    </w:p>
    <w:p>
      <w:pPr>
        <w:spacing w:after="0" w:line="230" w:lineRule="exact"/>
        <w:rPr>
          <w:sz w:val="20"/>
          <w:szCs w:val="20"/>
          <w:color w:val="auto"/>
        </w:rPr>
      </w:pPr>
    </w:p>
    <w:p>
      <w:pPr>
        <w:ind w:left="580" w:right="20" w:hanging="290"/>
        <w:spacing w:after="0" w:line="24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 11.2% drop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which was triggered by the fact that Wholesale Clients at BCP Stand-alone used deposit balances to amortize Reactiva loans and to regularize income tax;</w:t>
      </w:r>
    </w:p>
    <w:p>
      <w:pPr>
        <w:spacing w:after="0" w:line="1" w:lineRule="exact"/>
        <w:rPr>
          <w:rFonts w:ascii="Arial" w:cs="Arial" w:eastAsia="Arial" w:hAnsi="Arial"/>
          <w:sz w:val="16"/>
          <w:szCs w:val="16"/>
          <w:color w:val="auto"/>
        </w:rPr>
      </w:pPr>
    </w:p>
    <w:p>
      <w:pPr>
        <w:ind w:left="580" w:right="20" w:hanging="290"/>
        <w:spacing w:after="0" w:line="23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4.2% drop in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which was driven by an outflow from LC funds. The latter was partially offset by an increase in FC after individuals purchased US Dollars at BCP Stand-alone;</w:t>
      </w:r>
    </w:p>
    <w:p>
      <w:pPr>
        <w:ind w:left="580" w:right="20" w:hanging="290"/>
        <w:spacing w:after="0" w:line="23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17.6% increase in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which was driven primarily by evolution at BCP Stand-alone (fund inflows due to rising interest rates) and by an uptick at Mibanco, which also, reflects efforts to capture stable funding.</w:t>
      </w:r>
    </w:p>
    <w:p>
      <w:pPr>
        <w:ind w:left="580" w:right="20" w:hanging="290"/>
        <w:spacing w:after="0" w:line="257"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Growth of 9.7% in </w:t>
      </w:r>
      <w:r>
        <w:rPr>
          <w:rFonts w:ascii="Arial" w:cs="Arial" w:eastAsia="Arial" w:hAnsi="Arial"/>
          <w:sz w:val="16"/>
          <w:szCs w:val="16"/>
          <w:b w:val="1"/>
          <w:bCs w:val="1"/>
          <w:color w:val="auto"/>
        </w:rPr>
        <w:t>Severance Indemnity Deposits,</w:t>
      </w:r>
      <w:r>
        <w:rPr>
          <w:rFonts w:ascii="Arial" w:cs="Arial" w:eastAsia="Arial" w:hAnsi="Arial"/>
          <w:sz w:val="16"/>
          <w:szCs w:val="16"/>
          <w:color w:val="auto"/>
        </w:rPr>
        <w:t xml:space="preserve"> given that statutory payments are deposited in May. The effect of these deposits was partially offset after the government lifted restrictions to fund access.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Low-cost deposits </w:t>
      </w:r>
      <w:r>
        <w:rPr>
          <w:rFonts w:ascii="Times New Roman" w:cs="Times New Roman" w:eastAsia="Times New Roman" w:hAnsi="Times New Roman"/>
          <w:sz w:val="16"/>
          <w:szCs w:val="16"/>
          <w:b w:val="1"/>
          <w:bCs w:val="1"/>
          <w:color w:val="auto"/>
        </w:rPr>
        <w:t>(Demand + savings)</w:t>
      </w:r>
      <w:r>
        <w:rPr>
          <w:rFonts w:ascii="Times New Roman" w:cs="Times New Roman" w:eastAsia="Times New Roman" w:hAnsi="Times New Roman"/>
          <w:sz w:val="16"/>
          <w:szCs w:val="16"/>
          <w:color w:val="auto"/>
        </w:rPr>
        <w:t xml:space="preserve"> represented 72.2% of total deposits, which represented a drop of 4.5 p.p QoQ.</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YoY analysis, deposits fell 1.2%. FX neutral deposits dropped 0.7%, driven by:</w:t>
      </w:r>
    </w:p>
    <w:p>
      <w:pPr>
        <w:spacing w:after="0" w:line="205" w:lineRule="exact"/>
        <w:rPr>
          <w:sz w:val="20"/>
          <w:szCs w:val="20"/>
          <w:color w:val="auto"/>
        </w:rPr>
      </w:pPr>
    </w:p>
    <w:p>
      <w:pPr>
        <w:ind w:left="580" w:hanging="290"/>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13.6% drop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in both currencies after clients used balances to amortize Reactiva loans and meet other liquidity needs.</w:t>
      </w:r>
    </w:p>
    <w:p>
      <w:pPr>
        <w:spacing w:after="0" w:line="14" w:lineRule="exact"/>
        <w:rPr>
          <w:rFonts w:ascii="Arial" w:cs="Arial" w:eastAsia="Arial" w:hAnsi="Arial"/>
          <w:sz w:val="16"/>
          <w:szCs w:val="16"/>
          <w:color w:val="auto"/>
        </w:rPr>
      </w:pPr>
    </w:p>
    <w:p>
      <w:pPr>
        <w:ind w:left="580" w:hanging="290"/>
        <w:spacing w:after="0" w:line="238"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23.6% decrease in </w:t>
      </w:r>
      <w:r>
        <w:rPr>
          <w:rFonts w:ascii="Arial" w:cs="Arial" w:eastAsia="Arial" w:hAnsi="Arial"/>
          <w:sz w:val="16"/>
          <w:szCs w:val="16"/>
          <w:b w:val="1"/>
          <w:bCs w:val="1"/>
          <w:color w:val="auto"/>
        </w:rPr>
        <w:t>Severance Indemnity Deposits</w:t>
      </w:r>
      <w:r>
        <w:rPr>
          <w:rFonts w:ascii="Arial" w:cs="Arial" w:eastAsia="Arial" w:hAnsi="Arial"/>
          <w:sz w:val="16"/>
          <w:szCs w:val="16"/>
          <w:color w:val="auto"/>
        </w:rPr>
        <w:t xml:space="preserve"> after restrictions on fund use were lifted.</w:t>
      </w:r>
    </w:p>
    <w:p>
      <w:pPr>
        <w:jc w:val="both"/>
        <w:ind w:left="580" w:right="20" w:hanging="290"/>
        <w:spacing w:after="0" w:line="238"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19.1% increase in </w:t>
      </w:r>
      <w:r>
        <w:rPr>
          <w:rFonts w:ascii="Arial" w:cs="Arial" w:eastAsia="Arial" w:hAnsi="Arial"/>
          <w:sz w:val="16"/>
          <w:szCs w:val="16"/>
          <w:b w:val="1"/>
          <w:bCs w:val="1"/>
          <w:color w:val="auto"/>
        </w:rPr>
        <w:t>Time Deposits</w:t>
      </w:r>
      <w:r>
        <w:rPr>
          <w:rFonts w:ascii="Arial" w:cs="Arial" w:eastAsia="Arial" w:hAnsi="Arial"/>
          <w:sz w:val="16"/>
          <w:szCs w:val="16"/>
          <w:color w:val="auto"/>
        </w:rPr>
        <w:t>, spurred by outflows from low-cost deposits at BCP Stand-alone to this deposit type to take advantage of higher interest rates and to a lesser extent, by an increase in the Time Deposit volume at Mibanco, after retail clients that had withdrawn funds last year due to the juncture migrated back.</w:t>
      </w:r>
    </w:p>
    <w:p>
      <w:pPr>
        <w:ind w:left="580" w:right="20" w:hanging="290"/>
        <w:spacing w:after="0" w:line="257"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Growth of 4.7% in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after funds were released from AFPs and Severance Indemnity Accounts (CTS) and subsequently deposited in FC to hedge against exchange rate volatility.</w:t>
      </w:r>
    </w:p>
    <w:p>
      <w:pPr>
        <w:spacing w:after="0" w:line="31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3" w:name="page24"/>
    <w:bookmarkEnd w:id="23"/>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 Dollarization Level</w:t>
      </w:r>
    </w:p>
    <w:p>
      <w:pPr>
        <w:sectPr>
          <w:pgSz w:w="11900" w:h="16838" w:orient="portrait"/>
          <w:cols w:equalWidth="0" w:num="1">
            <w:col w:w="11260"/>
          </w:cols>
          <w:pgMar w:left="320" w:top="313" w:right="319" w:bottom="1440" w:gutter="0" w:footer="0" w:header="0"/>
        </w:sectPr>
      </w:pPr>
    </w:p>
    <w:p>
      <w:pPr>
        <w:spacing w:after="0" w:line="22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9"/>
          <w:szCs w:val="19"/>
          <w:b w:val="1"/>
          <w:bCs w:val="1"/>
          <w:color w:val="auto"/>
        </w:rPr>
        <w:t>Deposits by Currency</w:t>
      </w:r>
    </w:p>
    <w:p>
      <w:pPr>
        <w:spacing w:after="0" w:line="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1"/>
          <w:szCs w:val="11"/>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0</wp:posOffset>
            </wp:positionV>
            <wp:extent cx="2142490" cy="10902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2490" cy="1090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color w:val="auto"/>
        </w:rPr>
        <w:t xml:space="preserve">At the end of June 2022, the dollarization level was up 0.6 p.p. QoQ (-0.3 p.p FX neutral) due to an uptick in the exchange rate. </w:t>
      </w:r>
      <w:r>
        <w:rPr>
          <w:rFonts w:ascii="Times New Roman" w:cs="Times New Roman" w:eastAsia="Times New Roman" w:hAnsi="Times New Roman"/>
          <w:sz w:val="16"/>
          <w:szCs w:val="16"/>
          <w:b w:val="1"/>
          <w:bCs w:val="1"/>
          <w:color w:val="auto"/>
        </w:rPr>
        <w:t>Savings Deposits</w:t>
      </w:r>
      <w:r>
        <w:rPr>
          <w:rFonts w:ascii="Times New Roman" w:cs="Times New Roman" w:eastAsia="Times New Roman" w:hAnsi="Times New Roman"/>
          <w:sz w:val="16"/>
          <w:szCs w:val="16"/>
          <w:color w:val="auto"/>
        </w:rPr>
        <w:t xml:space="preserve"> absorbed the brunt of this impact after individuals at BCP Stand-alone moved to purchase dollars. Dollarization levels of </w:t>
      </w:r>
      <w:r>
        <w:rPr>
          <w:rFonts w:ascii="Times New Roman" w:cs="Times New Roman" w:eastAsia="Times New Roman" w:hAnsi="Times New Roman"/>
          <w:sz w:val="16"/>
          <w:szCs w:val="16"/>
          <w:b w:val="1"/>
          <w:bCs w:val="1"/>
          <w:color w:val="auto"/>
        </w:rPr>
        <w:t>Time Deposits</w:t>
      </w:r>
      <w:r>
        <w:rPr>
          <w:rFonts w:ascii="Times New Roman" w:cs="Times New Roman" w:eastAsia="Times New Roman" w:hAnsi="Times New Roman"/>
          <w:sz w:val="16"/>
          <w:szCs w:val="16"/>
          <w:color w:val="auto"/>
        </w:rPr>
        <w:t xml:space="preserve"> fell slightly after LC balances registered growth in a context of interest rate hikes in LC.</w:t>
      </w:r>
    </w:p>
    <w:p>
      <w:pPr>
        <w:spacing w:after="0" w:line="200" w:lineRule="exact"/>
        <w:rPr>
          <w:sz w:val="20"/>
          <w:szCs w:val="20"/>
          <w:color w:val="auto"/>
        </w:rPr>
      </w:pPr>
    </w:p>
    <w:p>
      <w:pPr>
        <w:sectPr>
          <w:pgSz w:w="11900" w:h="16838" w:orient="portrait"/>
          <w:cols w:equalWidth="0" w:num="2">
            <w:col w:w="5120" w:space="720"/>
            <w:col w:w="5420"/>
          </w:cols>
          <w:pgMar w:left="320" w:top="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In YoY terms, dollarization rose. This was primarily driven by 4.3% drop in LC deposits, which was attributable to a decrease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which in turn reflected the consumption of excess liquidity and the use of funds to amortize Reactiva loans. FC balances increased 1.9% (+2.8% with a constant exchange rate), through </w:t>
      </w:r>
      <w:r>
        <w:rPr>
          <w:rFonts w:ascii="Arial" w:cs="Arial" w:eastAsia="Arial" w:hAnsi="Arial"/>
          <w:sz w:val="16"/>
          <w:szCs w:val="16"/>
          <w:b w:val="1"/>
          <w:bCs w:val="1"/>
          <w:color w:val="auto"/>
        </w:rPr>
        <w:t>Time Deposits and Savings Deposits.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Deposits by currency and type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(measured in quarter-end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Loan/Deposit Ratio (L/D Ratio)</w:t>
      </w:r>
    </w:p>
    <w:p>
      <w:pPr>
        <w:spacing w:after="0" w:line="234" w:lineRule="exact"/>
        <w:rPr>
          <w:sz w:val="20"/>
          <w:szCs w:val="20"/>
          <w:color w:val="auto"/>
        </w:rPr>
      </w:pPr>
    </w:p>
    <w:p>
      <w:pPr>
        <w:jc w:val="both"/>
        <w:ind w:left="5840"/>
        <w:spacing w:after="0" w:line="261" w:lineRule="auto"/>
        <w:rPr>
          <w:sz w:val="20"/>
          <w:szCs w:val="20"/>
          <w:color w:val="auto"/>
        </w:rPr>
      </w:pPr>
      <w:r>
        <w:rPr>
          <w:rFonts w:ascii="Times New Roman" w:cs="Times New Roman" w:eastAsia="Times New Roman" w:hAnsi="Times New Roman"/>
          <w:sz w:val="16"/>
          <w:szCs w:val="16"/>
          <w:color w:val="auto"/>
        </w:rPr>
        <w:t xml:space="preserve">The L/D ratio rose 8.7 and 3.9 percentage points YoY at BCP Stand-alone and Mibanco respectively. This growth reflects a significant uptick in loan origination at both subsidiaries due to economic reactivation. In parallel, deposit balances fell, driven by reduced volumes of </w:t>
      </w:r>
      <w:r>
        <w:rPr>
          <w:rFonts w:ascii="Times New Roman" w:cs="Times New Roman" w:eastAsia="Times New Roman" w:hAnsi="Times New Roman"/>
          <w:sz w:val="16"/>
          <w:szCs w:val="16"/>
          <w:b w:val="1"/>
          <w:bCs w:val="1"/>
          <w:color w:val="auto"/>
        </w:rPr>
        <w:t>Demand Deposits</w:t>
      </w:r>
      <w:r>
        <w:rPr>
          <w:rFonts w:ascii="Times New Roman" w:cs="Times New Roman" w:eastAsia="Times New Roman" w:hAnsi="Times New Roman"/>
          <w:sz w:val="16"/>
          <w:szCs w:val="16"/>
          <w:color w:val="auto"/>
        </w:rPr>
        <w:t xml:space="preserve"> in LC, mainly at BCP Individual and triggered by amortization of GP loans. In this scenario, the L/D ratio at Credicorp stood at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-751205</wp:posOffset>
            </wp:positionV>
            <wp:extent cx="1902460" cy="1183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0246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0"/>
        <w:spacing w:after="0"/>
        <w:tabs>
          <w:tab w:leader="none" w:pos="7340" w:val="left"/>
        </w:tabs>
        <w:rPr>
          <w:sz w:val="20"/>
          <w:szCs w:val="20"/>
          <w:color w:val="auto"/>
        </w:rPr>
      </w:pPr>
      <w:r>
        <w:rPr>
          <w:rFonts w:ascii="Times New Roman" w:cs="Times New Roman" w:eastAsia="Times New Roman" w:hAnsi="Times New Roman"/>
          <w:sz w:val="19"/>
          <w:szCs w:val="19"/>
          <w:b w:val="1"/>
          <w:bCs w:val="1"/>
          <w:color w:val="auto"/>
        </w:rPr>
        <w:t>L/D Ratio Local Currency</w:t>
      </w:r>
      <w:r>
        <w:rPr>
          <w:sz w:val="20"/>
          <w:szCs w:val="20"/>
          <w:color w:val="auto"/>
        </w:rPr>
        <w:tab/>
      </w:r>
      <w:r>
        <w:rPr>
          <w:rFonts w:ascii="Times New Roman" w:cs="Times New Roman" w:eastAsia="Times New Roman" w:hAnsi="Times New Roman"/>
          <w:sz w:val="19"/>
          <w:szCs w:val="19"/>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19050</wp:posOffset>
            </wp:positionV>
            <wp:extent cx="6194425" cy="1206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94425" cy="120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type w:val="continuous"/>
        </w:sectPr>
      </w:pPr>
    </w:p>
    <w:bookmarkStart w:id="24" w:name="page25"/>
    <w:bookmarkEnd w:id="24"/>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5715</wp:posOffset>
            </wp:positionV>
            <wp:extent cx="5250815" cy="1492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5081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At the end of May 2022, the MS of </w:t>
      </w:r>
      <w:r>
        <w:rPr>
          <w:rFonts w:ascii="Times New Roman" w:cs="Times New Roman" w:eastAsia="Times New Roman" w:hAnsi="Times New Roman"/>
          <w:sz w:val="16"/>
          <w:szCs w:val="16"/>
          <w:b w:val="1"/>
          <w:bCs w:val="1"/>
          <w:color w:val="auto"/>
        </w:rPr>
        <w:t>Total Deposits</w:t>
      </w:r>
      <w:r>
        <w:rPr>
          <w:rFonts w:ascii="Times New Roman" w:cs="Times New Roman" w:eastAsia="Times New Roman" w:hAnsi="Times New Roman"/>
          <w:sz w:val="16"/>
          <w:szCs w:val="16"/>
          <w:color w:val="auto"/>
        </w:rPr>
        <w:t xml:space="preserve"> at BCP Stand-alone and Mibanco in Peru was 32.4% and 2.5% (-100bps and +30bps with regard to June 2021 respectively. At BCP Stand-alone </w:t>
      </w:r>
      <w:r>
        <w:rPr>
          <w:rFonts w:ascii="Times New Roman" w:cs="Times New Roman" w:eastAsia="Times New Roman" w:hAnsi="Times New Roman"/>
          <w:sz w:val="16"/>
          <w:szCs w:val="16"/>
          <w:b w:val="1"/>
          <w:bCs w:val="1"/>
          <w:color w:val="auto"/>
        </w:rPr>
        <w:t>Demand Deposits</w:t>
      </w:r>
      <w:r>
        <w:rPr>
          <w:rFonts w:ascii="Times New Roman" w:cs="Times New Roman" w:eastAsia="Times New Roman" w:hAnsi="Times New Roman"/>
          <w:sz w:val="16"/>
          <w:szCs w:val="16"/>
          <w:color w:val="auto"/>
        </w:rPr>
        <w:t xml:space="preserve"> dropped due to amortizations of loans through government programs, where the bank was a major player. The increase of the share of </w:t>
      </w:r>
      <w:r>
        <w:rPr>
          <w:rFonts w:ascii="Times New Roman" w:cs="Times New Roman" w:eastAsia="Times New Roman" w:hAnsi="Times New Roman"/>
          <w:sz w:val="16"/>
          <w:szCs w:val="16"/>
          <w:b w:val="1"/>
          <w:bCs w:val="1"/>
          <w:color w:val="auto"/>
        </w:rPr>
        <w:t>Time Deposits</w:t>
      </w:r>
      <w:r>
        <w:rPr>
          <w:rFonts w:ascii="Times New Roman" w:cs="Times New Roman" w:eastAsia="Times New Roman" w:hAnsi="Times New Roman"/>
          <w:sz w:val="16"/>
          <w:szCs w:val="16"/>
          <w:color w:val="auto"/>
        </w:rPr>
        <w:t xml:space="preserve"> at Mibanco is noteworthy and primarily attributable to a returned of funds from retail clients and secondarily, to the bank’s successful strategy to capture stable funds.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is noteworthy, in a context of higher interest rates, BCP leads the market share of low-cost deposits in the Peruvian financial system.</w:t>
      </w:r>
    </w:p>
    <w:p>
      <w:pPr>
        <w:spacing w:after="0" w:line="34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5" w:name="page26"/>
    <w:bookmarkEnd w:id="25"/>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E93CAC"/>
        </w:rPr>
        <w:t xml:space="preserve">03 </w:t>
      </w:r>
      <w:r>
        <w:rPr>
          <w:rFonts w:ascii="Times New Roman" w:cs="Times New Roman" w:eastAsia="Times New Roman" w:hAnsi="Times New Roman"/>
          <w:sz w:val="29"/>
          <w:szCs w:val="29"/>
          <w:color w:val="E93CAC"/>
        </w:rPr>
        <w:t>Interest-earning assets (“IEAs”)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145655" cy="1144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1144270"/>
                    </a:xfrm>
                    <a:prstGeom prst="rect">
                      <a:avLst/>
                    </a:prstGeom>
                    <a:noFill/>
                  </pic:spPr>
                </pic:pic>
              </a:graphicData>
            </a:graphic>
          </wp:anchor>
        </w:drawing>
      </w:r>
    </w:p>
    <w:p>
      <w:pPr>
        <w:spacing w:after="0" w:line="27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6"/>
          <w:szCs w:val="16"/>
          <w:color w:val="FFFFFF"/>
        </w:rPr>
        <w:t>At the end of 2Q22 IEAs dropped 3.1% YoY, due to a decrease in cash and due from banks and investment’s balances, which was partially offset by growth in structural loans. The decrease in cash and due from banks reflects the drop in the liquidity level of the banking system, the use of liquid assets to fund loan growth and the fact that dividend payments were made this quarter. Investments fell 17.2% YoY, mainly due to the expiration of CDs, which were not renewed. The latter was aimed to maintain liquidity in a context of loan growth but with a reduced funding balance. Structural loans increased 14.1% YoY, driven by growth in economic activity and in client consumption.</w:t>
      </w:r>
    </w:p>
    <w:p>
      <w:pPr>
        <w:spacing w:after="0" w:line="145" w:lineRule="exact"/>
        <w:rPr>
          <w:sz w:val="20"/>
          <w:szCs w:val="20"/>
          <w:color w:val="auto"/>
        </w:rPr>
      </w:pPr>
    </w:p>
    <w:p>
      <w:pPr>
        <w:jc w:val="both"/>
        <w:ind w:left="120" w:right="140"/>
        <w:spacing w:after="0" w:line="278" w:lineRule="auto"/>
        <w:rPr>
          <w:sz w:val="20"/>
          <w:szCs w:val="20"/>
          <w:color w:val="auto"/>
        </w:rPr>
      </w:pPr>
      <w:r>
        <w:rPr>
          <w:rFonts w:ascii="Arial" w:cs="Arial" w:eastAsia="Arial" w:hAnsi="Arial"/>
          <w:sz w:val="16"/>
          <w:szCs w:val="16"/>
          <w:color w:val="FFFFFF"/>
        </w:rPr>
        <w:t>YoY, funding fell 4.6%, spurred by lower balances of BCRP instruments and the utilization of deposits balances by clients, which impacted our low-cost funding base (core deposits).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IEAs</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3800" w:type="dxa"/>
            <w:vAlign w:val="bottom"/>
            <w:tcBorders>
              <w:top w:val="single" w:sz="8" w:color="auto"/>
              <w:left w:val="single" w:sz="8" w:color="auto"/>
              <w:right w:val="single" w:sz="8" w:color="auto"/>
            </w:tcBorders>
            <w:shd w:val="clear" w:color="auto" w:fill="33CCCC"/>
          </w:tcPr>
          <w:p>
            <w:pPr>
              <w:spacing w:after="0" w:line="159" w:lineRule="exact"/>
              <w:rPr>
                <w:sz w:val="20"/>
                <w:szCs w:val="20"/>
                <w:color w:val="auto"/>
              </w:rPr>
            </w:pPr>
            <w:r>
              <w:rPr>
                <w:rFonts w:ascii="Arial" w:cs="Arial" w:eastAsia="Arial" w:hAnsi="Arial"/>
                <w:sz w:val="16"/>
                <w:szCs w:val="16"/>
                <w:b w:val="1"/>
                <w:bCs w:val="1"/>
                <w:color w:val="FFFFFF"/>
              </w:rPr>
              <w:t>Interest Earning Assets</w:t>
            </w:r>
          </w:p>
        </w:tc>
        <w:tc>
          <w:tcPr>
            <w:tcW w:w="1780" w:type="dxa"/>
            <w:vAlign w:val="bottom"/>
            <w:tcBorders>
              <w:top w:val="single" w:sz="8" w:color="auto"/>
            </w:tcBorders>
            <w:shd w:val="clear" w:color="auto" w:fill="33CCCC"/>
          </w:tcPr>
          <w:p>
            <w:pPr>
              <w:spacing w:after="0"/>
              <w:rPr>
                <w:sz w:val="13"/>
                <w:szCs w:val="13"/>
                <w:color w:val="auto"/>
              </w:rPr>
            </w:pPr>
          </w:p>
        </w:tc>
        <w:tc>
          <w:tcPr>
            <w:tcW w:w="1540" w:type="dxa"/>
            <w:vAlign w:val="bottom"/>
            <w:tcBorders>
              <w:top w:val="single" w:sz="8" w:color="auto"/>
            </w:tcBorders>
            <w:shd w:val="clear" w:color="auto" w:fill="33CCCC"/>
          </w:tcPr>
          <w:p>
            <w:pPr>
              <w:jc w:val="right"/>
              <w:ind w:right="719"/>
              <w:spacing w:after="0" w:line="159" w:lineRule="exact"/>
              <w:rPr>
                <w:sz w:val="20"/>
                <w:szCs w:val="20"/>
                <w:color w:val="auto"/>
              </w:rPr>
            </w:pPr>
            <w:r>
              <w:rPr>
                <w:rFonts w:ascii="Arial" w:cs="Arial" w:eastAsia="Arial" w:hAnsi="Arial"/>
                <w:sz w:val="16"/>
                <w:szCs w:val="16"/>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3"/>
                <w:szCs w:val="13"/>
                <w:color w:val="auto"/>
              </w:rPr>
            </w:pPr>
          </w:p>
        </w:tc>
        <w:tc>
          <w:tcPr>
            <w:tcW w:w="1840" w:type="dxa"/>
            <w:vAlign w:val="bottom"/>
            <w:tcBorders>
              <w:top w:val="single" w:sz="8" w:color="auto"/>
            </w:tcBorders>
            <w:shd w:val="clear" w:color="auto" w:fill="33CCCC"/>
          </w:tcPr>
          <w:p>
            <w:pPr>
              <w:jc w:val="right"/>
              <w:spacing w:after="0" w:line="159" w:lineRule="exact"/>
              <w:rPr>
                <w:sz w:val="20"/>
                <w:szCs w:val="20"/>
                <w:color w:val="auto"/>
              </w:rPr>
            </w:pPr>
            <w:r>
              <w:rPr>
                <w:rFonts w:ascii="Arial" w:cs="Arial" w:eastAsia="Arial" w:hAnsi="Arial"/>
                <w:sz w:val="16"/>
                <w:szCs w:val="16"/>
                <w:b w:val="1"/>
                <w:bCs w:val="1"/>
                <w:color w:val="FFFFFF"/>
              </w:rPr>
              <w:t>% change</w:t>
            </w:r>
          </w:p>
        </w:tc>
        <w:tc>
          <w:tcPr>
            <w:tcW w:w="940" w:type="dxa"/>
            <w:vAlign w:val="bottom"/>
            <w:tcBorders>
              <w:top w:val="single" w:sz="8" w:color="auto"/>
            </w:tcBorders>
            <w:shd w:val="clear" w:color="auto" w:fill="33CCCC"/>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3800" w:type="dxa"/>
            <w:vAlign w:val="bottom"/>
            <w:tcBorders>
              <w:left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S/000</w:t>
            </w:r>
          </w:p>
        </w:tc>
        <w:tc>
          <w:tcPr>
            <w:tcW w:w="1780" w:type="dxa"/>
            <w:vAlign w:val="bottom"/>
            <w:tcBorders>
              <w:bottom w:val="single" w:sz="8" w:color="auto"/>
            </w:tcBorders>
            <w:shd w:val="clear" w:color="auto" w:fill="33CCCC"/>
          </w:tcPr>
          <w:p>
            <w:pPr>
              <w:jc w:val="right"/>
              <w:ind w:right="679"/>
              <w:spacing w:after="0"/>
              <w:rPr>
                <w:sz w:val="20"/>
                <w:szCs w:val="20"/>
                <w:color w:val="auto"/>
              </w:rPr>
            </w:pPr>
            <w:r>
              <w:rPr>
                <w:rFonts w:ascii="Arial" w:cs="Arial" w:eastAsia="Arial" w:hAnsi="Arial"/>
                <w:sz w:val="16"/>
                <w:szCs w:val="16"/>
                <w:b w:val="1"/>
                <w:bCs w:val="1"/>
                <w:color w:val="FFFFFF"/>
              </w:rPr>
              <w:t>Jun 21</w:t>
            </w:r>
          </w:p>
        </w:tc>
        <w:tc>
          <w:tcPr>
            <w:tcW w:w="1540" w:type="dxa"/>
            <w:vAlign w:val="bottom"/>
            <w:tcBorders>
              <w:bottom w:val="single" w:sz="8" w:color="auto"/>
            </w:tcBorders>
            <w:shd w:val="clear" w:color="auto" w:fill="33CCCC"/>
          </w:tcPr>
          <w:p>
            <w:pPr>
              <w:jc w:val="right"/>
              <w:ind w:right="699"/>
              <w:spacing w:after="0"/>
              <w:rPr>
                <w:sz w:val="20"/>
                <w:szCs w:val="20"/>
                <w:color w:val="auto"/>
              </w:rPr>
            </w:pPr>
            <w:r>
              <w:rPr>
                <w:rFonts w:ascii="Arial" w:cs="Arial" w:eastAsia="Arial" w:hAnsi="Arial"/>
                <w:sz w:val="16"/>
                <w:szCs w:val="16"/>
                <w:b w:val="1"/>
                <w:bCs w:val="1"/>
                <w:color w:val="FFFFFF"/>
              </w:rPr>
              <w:t>Mar 22</w:t>
            </w:r>
          </w:p>
        </w:tc>
        <w:tc>
          <w:tcPr>
            <w:tcW w:w="1360" w:type="dxa"/>
            <w:vAlign w:val="bottom"/>
            <w:tcBorders>
              <w:bottom w:val="single" w:sz="8" w:color="auto"/>
              <w:right w:val="single" w:sz="8" w:color="auto"/>
            </w:tcBorders>
            <w:shd w:val="clear" w:color="auto" w:fill="33CCCC"/>
          </w:tcPr>
          <w:p>
            <w:pPr>
              <w:jc w:val="right"/>
              <w:ind w:right="499"/>
              <w:spacing w:after="0"/>
              <w:rPr>
                <w:sz w:val="20"/>
                <w:szCs w:val="20"/>
                <w:color w:val="auto"/>
              </w:rPr>
            </w:pPr>
            <w:r>
              <w:rPr>
                <w:rFonts w:ascii="Arial" w:cs="Arial" w:eastAsia="Arial" w:hAnsi="Arial"/>
                <w:sz w:val="16"/>
                <w:szCs w:val="16"/>
                <w:b w:val="1"/>
                <w:bCs w:val="1"/>
                <w:color w:val="FFFFFF"/>
              </w:rPr>
              <w:t>Jun 22</w:t>
            </w:r>
          </w:p>
        </w:tc>
        <w:tc>
          <w:tcPr>
            <w:tcW w:w="1840" w:type="dxa"/>
            <w:vAlign w:val="bottom"/>
            <w:tcBorders>
              <w:bottom w:val="single" w:sz="8" w:color="auto"/>
            </w:tcBorders>
            <w:shd w:val="clear" w:color="auto" w:fill="33CCCC"/>
          </w:tcPr>
          <w:p>
            <w:pPr>
              <w:jc w:val="right"/>
              <w:ind w:right="899"/>
              <w:spacing w:after="0"/>
              <w:rPr>
                <w:sz w:val="20"/>
                <w:szCs w:val="20"/>
                <w:color w:val="auto"/>
              </w:rPr>
            </w:pPr>
            <w:r>
              <w:rPr>
                <w:rFonts w:ascii="Arial" w:cs="Arial" w:eastAsia="Arial" w:hAnsi="Arial"/>
                <w:sz w:val="16"/>
                <w:szCs w:val="16"/>
                <w:b w:val="1"/>
                <w:bCs w:val="1"/>
                <w:color w:val="FFFFFF"/>
              </w:rPr>
              <w:t>QoQ</w:t>
            </w:r>
          </w:p>
        </w:tc>
        <w:tc>
          <w:tcPr>
            <w:tcW w:w="940" w:type="dxa"/>
            <w:vAlign w:val="bottom"/>
            <w:tcBorders>
              <w:bottom w:val="single" w:sz="8" w:color="auto"/>
            </w:tcBorders>
            <w:shd w:val="clear" w:color="auto" w:fill="33CCCC"/>
          </w:tcPr>
          <w:p>
            <w:pPr>
              <w:jc w:val="right"/>
              <w:ind w:right="479"/>
              <w:spacing w:after="0"/>
              <w:rPr>
                <w:sz w:val="20"/>
                <w:szCs w:val="20"/>
                <w:color w:val="auto"/>
              </w:rPr>
            </w:pPr>
            <w:r>
              <w:rPr>
                <w:rFonts w:ascii="Arial" w:cs="Arial" w:eastAsia="Arial" w:hAnsi="Arial"/>
                <w:sz w:val="16"/>
                <w:szCs w:val="16"/>
                <w:b w:val="1"/>
                <w:bCs w:val="1"/>
                <w:color w:val="FFFFFF"/>
              </w:rPr>
              <w:t>YoY</w:t>
            </w:r>
          </w:p>
        </w:tc>
        <w:tc>
          <w:tcPr>
            <w:tcW w:w="20" w:type="dxa"/>
            <w:vAlign w:val="bottom"/>
            <w:tcBorders>
              <w:bottom w:val="single" w:sz="8" w:color="auto"/>
            </w:tcBorders>
            <w:shd w:val="clear" w:color="auto" w:fill="000000"/>
          </w:tcPr>
          <w:p>
            <w:pPr>
              <w:spacing w:after="0"/>
              <w:rPr>
                <w:sz w:val="18"/>
                <w:szCs w:val="18"/>
                <w:color w:val="auto"/>
              </w:rPr>
            </w:pPr>
          </w:p>
        </w:tc>
      </w:tr>
      <w:tr>
        <w:trPr>
          <w:trHeight w:val="158"/>
        </w:trPr>
        <w:tc>
          <w:tcPr>
            <w:tcW w:w="380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Cash and due from banks</w:t>
            </w:r>
          </w:p>
        </w:tc>
        <w:tc>
          <w:tcPr>
            <w:tcW w:w="1780" w:type="dxa"/>
            <w:vAlign w:val="bottom"/>
          </w:tcPr>
          <w:p>
            <w:pPr>
              <w:jc w:val="right"/>
              <w:ind w:right="159"/>
              <w:spacing w:after="0" w:line="158" w:lineRule="exact"/>
              <w:rPr>
                <w:sz w:val="20"/>
                <w:szCs w:val="20"/>
                <w:color w:val="auto"/>
              </w:rPr>
            </w:pPr>
            <w:r>
              <w:rPr>
                <w:rFonts w:ascii="Arial" w:cs="Arial" w:eastAsia="Arial" w:hAnsi="Arial"/>
                <w:sz w:val="16"/>
                <w:szCs w:val="16"/>
                <w:color w:val="auto"/>
              </w:rPr>
              <w:t>29,058,684</w:t>
            </w:r>
          </w:p>
        </w:tc>
        <w:tc>
          <w:tcPr>
            <w:tcW w:w="1540" w:type="dxa"/>
            <w:vAlign w:val="bottom"/>
          </w:tcPr>
          <w:p>
            <w:pPr>
              <w:jc w:val="right"/>
              <w:ind w:right="199"/>
              <w:spacing w:after="0" w:line="158" w:lineRule="exact"/>
              <w:rPr>
                <w:sz w:val="20"/>
                <w:szCs w:val="20"/>
                <w:color w:val="auto"/>
              </w:rPr>
            </w:pPr>
            <w:r>
              <w:rPr>
                <w:rFonts w:ascii="Arial" w:cs="Arial" w:eastAsia="Arial" w:hAnsi="Arial"/>
                <w:sz w:val="16"/>
                <w:szCs w:val="16"/>
                <w:color w:val="auto"/>
              </w:rPr>
              <w:t>29,560,067</w:t>
            </w:r>
          </w:p>
        </w:tc>
        <w:tc>
          <w:tcPr>
            <w:tcW w:w="13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23,644,089</w:t>
            </w:r>
          </w:p>
        </w:tc>
        <w:tc>
          <w:tcPr>
            <w:tcW w:w="1840" w:type="dxa"/>
            <w:vAlign w:val="bottom"/>
          </w:tcPr>
          <w:p>
            <w:pPr>
              <w:jc w:val="right"/>
              <w:ind w:right="379"/>
              <w:spacing w:after="0" w:line="158" w:lineRule="exact"/>
              <w:rPr>
                <w:sz w:val="20"/>
                <w:szCs w:val="20"/>
                <w:color w:val="auto"/>
              </w:rPr>
            </w:pPr>
            <w:r>
              <w:rPr>
                <w:rFonts w:ascii="Arial" w:cs="Arial" w:eastAsia="Arial" w:hAnsi="Arial"/>
                <w:sz w:val="16"/>
                <w:szCs w:val="16"/>
                <w:color w:val="auto"/>
              </w:rPr>
              <w:t>-20.0%</w:t>
            </w:r>
          </w:p>
        </w:tc>
        <w:tc>
          <w:tcPr>
            <w:tcW w:w="940" w:type="dxa"/>
            <w:vAlign w:val="bottom"/>
          </w:tcPr>
          <w:p>
            <w:pPr>
              <w:jc w:val="right"/>
              <w:spacing w:after="0" w:line="158" w:lineRule="exact"/>
              <w:rPr>
                <w:sz w:val="20"/>
                <w:szCs w:val="20"/>
                <w:color w:val="auto"/>
              </w:rPr>
            </w:pPr>
            <w:r>
              <w:rPr>
                <w:rFonts w:ascii="Arial" w:cs="Arial" w:eastAsia="Arial" w:hAnsi="Arial"/>
                <w:sz w:val="16"/>
                <w:szCs w:val="16"/>
                <w:color w:val="auto"/>
              </w:rPr>
              <w:t>-18.6%</w:t>
            </w:r>
          </w:p>
        </w:tc>
        <w:tc>
          <w:tcPr>
            <w:tcW w:w="20" w:type="dxa"/>
            <w:vAlign w:val="bottom"/>
            <w:shd w:val="clear" w:color="auto" w:fill="000000"/>
          </w:tcPr>
          <w:p>
            <w:pPr>
              <w:spacing w:after="0"/>
              <w:rPr>
                <w:sz w:val="13"/>
                <w:szCs w:val="13"/>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Interbank funds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16,790</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3,445</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187,376</w:t>
            </w:r>
          </w:p>
        </w:tc>
        <w:tc>
          <w:tcPr>
            <w:tcW w:w="184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5339.1%</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1016.0%</w:t>
            </w:r>
          </w:p>
        </w:tc>
        <w:tc>
          <w:tcPr>
            <w:tcW w:w="20" w:type="dxa"/>
            <w:vAlign w:val="bottom"/>
            <w:shd w:val="clear" w:color="auto" w:fill="000000"/>
          </w:tcPr>
          <w:p>
            <w:pPr>
              <w:spacing w:after="0"/>
              <w:rPr>
                <w:sz w:val="15"/>
                <w:szCs w:val="15"/>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Total investments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54,772,644</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48,145,429</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45,342,775</w:t>
            </w:r>
          </w:p>
        </w:tc>
        <w:tc>
          <w:tcPr>
            <w:tcW w:w="184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-5.8%</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-17.2%</w:t>
            </w:r>
          </w:p>
        </w:tc>
        <w:tc>
          <w:tcPr>
            <w:tcW w:w="20" w:type="dxa"/>
            <w:vAlign w:val="bottom"/>
            <w:shd w:val="clear" w:color="auto" w:fill="000000"/>
          </w:tcPr>
          <w:p>
            <w:pPr>
              <w:spacing w:after="0"/>
              <w:rPr>
                <w:sz w:val="15"/>
                <w:szCs w:val="15"/>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Cash collateral, reverse repurchase agreements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1,616,654</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1,516,855</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2,046,209</w:t>
            </w:r>
          </w:p>
        </w:tc>
        <w:tc>
          <w:tcPr>
            <w:tcW w:w="184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34.9%</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26.6%</w:t>
            </w:r>
          </w:p>
        </w:tc>
        <w:tc>
          <w:tcPr>
            <w:tcW w:w="20" w:type="dxa"/>
            <w:vAlign w:val="bottom"/>
            <w:shd w:val="clear" w:color="auto" w:fill="000000"/>
          </w:tcPr>
          <w:p>
            <w:pPr>
              <w:spacing w:after="0"/>
              <w:rPr>
                <w:sz w:val="15"/>
                <w:szCs w:val="15"/>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and securities borrowing</w:t>
            </w:r>
          </w:p>
        </w:tc>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Financial assets designated at fair value through</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921,851</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856,337</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765,195</w:t>
            </w:r>
          </w:p>
        </w:tc>
        <w:tc>
          <w:tcPr>
            <w:tcW w:w="184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-10.6%</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-17.0%</w:t>
            </w:r>
          </w:p>
        </w:tc>
        <w:tc>
          <w:tcPr>
            <w:tcW w:w="20" w:type="dxa"/>
            <w:vAlign w:val="bottom"/>
            <w:shd w:val="clear" w:color="auto" w:fill="000000"/>
          </w:tcPr>
          <w:p>
            <w:pPr>
              <w:spacing w:after="0"/>
              <w:rPr>
                <w:sz w:val="15"/>
                <w:szCs w:val="15"/>
                <w:color w:val="auto"/>
              </w:rPr>
            </w:pPr>
          </w:p>
        </w:tc>
      </w:tr>
      <w:tr>
        <w:trPr>
          <w:trHeight w:val="183"/>
        </w:trPr>
        <w:tc>
          <w:tcPr>
            <w:tcW w:w="38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profit or loss</w:t>
            </w:r>
          </w:p>
        </w:tc>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199"/>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loans</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143,091,752</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144,621,513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150,370,184</w:t>
            </w:r>
          </w:p>
        </w:tc>
        <w:tc>
          <w:tcPr>
            <w:tcW w:w="1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0" w:type="dxa"/>
            <w:vAlign w:val="bottom"/>
            <w:tcBorders>
              <w:bottom w:val="single" w:sz="8" w:color="auto"/>
            </w:tcBorders>
            <w:shd w:val="clear" w:color="auto" w:fill="000000"/>
          </w:tcPr>
          <w:p>
            <w:pPr>
              <w:spacing w:after="0"/>
              <w:rPr>
                <w:sz w:val="17"/>
                <w:szCs w:val="17"/>
                <w:color w:val="auto"/>
              </w:rPr>
            </w:pPr>
          </w:p>
        </w:tc>
      </w:tr>
      <w:tr>
        <w:trPr>
          <w:trHeight w:val="175"/>
        </w:trPr>
        <w:tc>
          <w:tcPr>
            <w:tcW w:w="380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interest earning assets</w:t>
            </w:r>
          </w:p>
        </w:tc>
        <w:tc>
          <w:tcPr>
            <w:tcW w:w="1780" w:type="dxa"/>
            <w:vAlign w:val="bottom"/>
            <w:tcBorders>
              <w:bottom w:val="single" w:sz="8" w:color="auto"/>
            </w:tcBorders>
          </w:tcPr>
          <w:p>
            <w:pPr>
              <w:jc w:val="right"/>
              <w:ind w:right="159"/>
              <w:spacing w:after="0" w:line="175" w:lineRule="exact"/>
              <w:rPr>
                <w:sz w:val="20"/>
                <w:szCs w:val="20"/>
                <w:color w:val="auto"/>
              </w:rPr>
            </w:pPr>
            <w:r>
              <w:rPr>
                <w:rFonts w:ascii="Arial" w:cs="Arial" w:eastAsia="Arial" w:hAnsi="Arial"/>
                <w:sz w:val="16"/>
                <w:szCs w:val="16"/>
                <w:b w:val="1"/>
                <w:bCs w:val="1"/>
                <w:color w:val="auto"/>
              </w:rPr>
              <w:t>229,478,375</w:t>
            </w:r>
          </w:p>
        </w:tc>
        <w:tc>
          <w:tcPr>
            <w:tcW w:w="1540" w:type="dxa"/>
            <w:vAlign w:val="bottom"/>
            <w:tcBorders>
              <w:bottom w:val="single" w:sz="8" w:color="auto"/>
            </w:tcBorders>
          </w:tcPr>
          <w:p>
            <w:pPr>
              <w:jc w:val="right"/>
              <w:ind w:right="199"/>
              <w:spacing w:after="0" w:line="175" w:lineRule="exact"/>
              <w:rPr>
                <w:sz w:val="20"/>
                <w:szCs w:val="20"/>
                <w:color w:val="auto"/>
              </w:rPr>
            </w:pPr>
            <w:r>
              <w:rPr>
                <w:rFonts w:ascii="Arial" w:cs="Arial" w:eastAsia="Arial" w:hAnsi="Arial"/>
                <w:sz w:val="16"/>
                <w:szCs w:val="16"/>
                <w:b w:val="1"/>
                <w:bCs w:val="1"/>
                <w:color w:val="auto"/>
              </w:rPr>
              <w:t>224,703,646</w:t>
            </w:r>
          </w:p>
        </w:tc>
        <w:tc>
          <w:tcPr>
            <w:tcW w:w="1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222,355,828</w:t>
            </w:r>
          </w:p>
        </w:tc>
        <w:tc>
          <w:tcPr>
            <w:tcW w:w="1840" w:type="dxa"/>
            <w:vAlign w:val="bottom"/>
            <w:tcBorders>
              <w:bottom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-1.0%</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-3.1%</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QoQ, IEAs fell 1.0%. This evolution was triggered by a decrease in balances cash and due from banks and investments, which was partially offset by loan growth.</w:t>
      </w:r>
    </w:p>
    <w:p>
      <w:pPr>
        <w:spacing w:after="0" w:line="23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decline in cash and due from banks was associated with (i) a system-wide decrease in liquidity levels due to amortizations of government program (GP) loans, (ii) the use of liquid assets to fund loan growth, and (iii) Credicorp’s dividend payment. The decrease in investments was attributable to the expiration of certificates of deposits, which were not renewed to maintain liquidity in a climate marked by both loan growth and a decrease in the funding base.</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Loans grew 4.0%, spurred by mixed dynamics, where growth was influenced by an exchange rate effect on our dollar-denominated portfolio, and by amortizations in GP loans. If we isolate the exchange rate effect and the effect of variation in the GP loan balance, structural loans grew 4.9%, driven by better dynamics at both the wholesale and retail portfolios.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YoY, IEAs fell 3.1%. This decline was spurred by the same factors identified in the quarterly analysis, but the YoY evolution reflects a larger reduction of investment balances, which was attributable to (i) a drop in the company and system-wide liquidity levels due to the decrease in GP loan balances following amortizations and to (ii) strategies to reduce the portfolio duration. Structural loans rose 14.1% in line with post-pandemic economic recovery while government loans fell 42.0%.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Funding</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3780" w:type="dxa"/>
            <w:vAlign w:val="bottom"/>
            <w:tcBorders>
              <w:top w:val="single" w:sz="8" w:color="auto"/>
              <w:left w:val="single" w:sz="8" w:color="auto"/>
              <w:right w:val="single" w:sz="8" w:color="auto"/>
            </w:tcBorders>
            <w:shd w:val="clear" w:color="auto" w:fill="33CCCC"/>
          </w:tcPr>
          <w:p>
            <w:pPr>
              <w:spacing w:after="0" w:line="159" w:lineRule="exact"/>
              <w:rPr>
                <w:sz w:val="20"/>
                <w:szCs w:val="20"/>
                <w:color w:val="auto"/>
              </w:rPr>
            </w:pPr>
            <w:r>
              <w:rPr>
                <w:rFonts w:ascii="Arial" w:cs="Arial" w:eastAsia="Arial" w:hAnsi="Arial"/>
                <w:sz w:val="16"/>
                <w:szCs w:val="16"/>
                <w:b w:val="1"/>
                <w:bCs w:val="1"/>
                <w:color w:val="FFFFFF"/>
              </w:rPr>
              <w:t>Funding</w:t>
            </w:r>
          </w:p>
        </w:tc>
        <w:tc>
          <w:tcPr>
            <w:tcW w:w="1780" w:type="dxa"/>
            <w:vAlign w:val="bottom"/>
            <w:tcBorders>
              <w:top w:val="single" w:sz="8" w:color="auto"/>
            </w:tcBorders>
            <w:shd w:val="clear" w:color="auto" w:fill="33CCCC"/>
          </w:tcPr>
          <w:p>
            <w:pPr>
              <w:jc w:val="right"/>
              <w:ind w:right="739"/>
              <w:spacing w:after="0" w:line="159" w:lineRule="exact"/>
              <w:rPr>
                <w:sz w:val="20"/>
                <w:szCs w:val="20"/>
                <w:color w:val="auto"/>
              </w:rPr>
            </w:pPr>
            <w:r>
              <w:rPr>
                <w:rFonts w:ascii="Arial" w:cs="Arial" w:eastAsia="Arial" w:hAnsi="Arial"/>
                <w:sz w:val="16"/>
                <w:szCs w:val="16"/>
                <w:b w:val="1"/>
                <w:bCs w:val="1"/>
                <w:color w:val="FFFFFF"/>
              </w:rPr>
              <w:t>As of</w:t>
            </w:r>
          </w:p>
        </w:tc>
        <w:tc>
          <w:tcPr>
            <w:tcW w:w="1540" w:type="dxa"/>
            <w:vAlign w:val="bottom"/>
            <w:tcBorders>
              <w:top w:val="single" w:sz="8" w:color="auto"/>
            </w:tcBorders>
            <w:shd w:val="clear" w:color="auto" w:fill="33CCCC"/>
          </w:tcPr>
          <w:p>
            <w:pPr>
              <w:spacing w:after="0"/>
              <w:rPr>
                <w:sz w:val="13"/>
                <w:szCs w:val="13"/>
                <w:color w:val="auto"/>
              </w:rPr>
            </w:pPr>
          </w:p>
        </w:tc>
        <w:tc>
          <w:tcPr>
            <w:tcW w:w="1360" w:type="dxa"/>
            <w:vAlign w:val="bottom"/>
            <w:tcBorders>
              <w:top w:val="single" w:sz="8" w:color="auto"/>
              <w:right w:val="single" w:sz="8" w:color="auto"/>
            </w:tcBorders>
            <w:shd w:val="clear" w:color="auto" w:fill="33CCCC"/>
          </w:tcPr>
          <w:p>
            <w:pPr>
              <w:spacing w:after="0"/>
              <w:rPr>
                <w:sz w:val="13"/>
                <w:szCs w:val="13"/>
                <w:color w:val="auto"/>
              </w:rPr>
            </w:pPr>
          </w:p>
        </w:tc>
        <w:tc>
          <w:tcPr>
            <w:tcW w:w="1440" w:type="dxa"/>
            <w:vAlign w:val="bottom"/>
            <w:tcBorders>
              <w:top w:val="single" w:sz="8" w:color="auto"/>
            </w:tcBorders>
            <w:shd w:val="clear" w:color="auto" w:fill="33CCCC"/>
          </w:tcPr>
          <w:p>
            <w:pPr>
              <w:jc w:val="center"/>
              <w:spacing w:after="0" w:line="159" w:lineRule="exact"/>
              <w:rPr>
                <w:sz w:val="20"/>
                <w:szCs w:val="20"/>
                <w:color w:val="auto"/>
              </w:rPr>
            </w:pPr>
            <w:r>
              <w:rPr>
                <w:rFonts w:ascii="Arial" w:cs="Arial" w:eastAsia="Arial" w:hAnsi="Arial"/>
                <w:sz w:val="16"/>
                <w:szCs w:val="16"/>
                <w:b w:val="1"/>
                <w:bCs w:val="1"/>
                <w:color w:val="FFFFFF"/>
                <w:w w:val="99"/>
              </w:rPr>
              <w:t>% change</w:t>
            </w:r>
          </w:p>
        </w:tc>
        <w:tc>
          <w:tcPr>
            <w:tcW w:w="1360" w:type="dxa"/>
            <w:vAlign w:val="bottom"/>
            <w:tcBorders>
              <w:top w:val="single" w:sz="8" w:color="auto"/>
              <w:right w:val="single" w:sz="8" w:color="auto"/>
            </w:tcBorders>
            <w:shd w:val="clear" w:color="auto" w:fill="33CCCC"/>
          </w:tcPr>
          <w:p>
            <w:pPr>
              <w:spacing w:after="0"/>
              <w:rPr>
                <w:sz w:val="13"/>
                <w:szCs w:val="13"/>
                <w:color w:val="auto"/>
              </w:rPr>
            </w:pPr>
          </w:p>
        </w:tc>
      </w:tr>
      <w:tr>
        <w:trPr>
          <w:trHeight w:val="199"/>
        </w:trPr>
        <w:tc>
          <w:tcPr>
            <w:tcW w:w="378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 000</w:t>
            </w:r>
          </w:p>
        </w:tc>
        <w:tc>
          <w:tcPr>
            <w:tcW w:w="1780" w:type="dxa"/>
            <w:vAlign w:val="bottom"/>
            <w:tcBorders>
              <w:bottom w:val="single" w:sz="8" w:color="auto"/>
            </w:tcBorders>
            <w:shd w:val="clear" w:color="auto" w:fill="33CCCC"/>
          </w:tcPr>
          <w:p>
            <w:pPr>
              <w:jc w:val="right"/>
              <w:ind w:right="679"/>
              <w:spacing w:after="0"/>
              <w:rPr>
                <w:sz w:val="20"/>
                <w:szCs w:val="20"/>
                <w:color w:val="auto"/>
              </w:rPr>
            </w:pPr>
            <w:r>
              <w:rPr>
                <w:rFonts w:ascii="Arial" w:cs="Arial" w:eastAsia="Arial" w:hAnsi="Arial"/>
                <w:sz w:val="16"/>
                <w:szCs w:val="16"/>
                <w:b w:val="1"/>
                <w:bCs w:val="1"/>
                <w:color w:val="FFFFFF"/>
              </w:rPr>
              <w:t>Jun 21</w:t>
            </w:r>
          </w:p>
        </w:tc>
        <w:tc>
          <w:tcPr>
            <w:tcW w:w="1540" w:type="dxa"/>
            <w:vAlign w:val="bottom"/>
            <w:tcBorders>
              <w:bottom w:val="single" w:sz="8" w:color="auto"/>
            </w:tcBorders>
            <w:shd w:val="clear" w:color="auto" w:fill="33CCCC"/>
          </w:tcPr>
          <w:p>
            <w:pPr>
              <w:jc w:val="right"/>
              <w:ind w:right="679"/>
              <w:spacing w:after="0"/>
              <w:rPr>
                <w:sz w:val="20"/>
                <w:szCs w:val="20"/>
                <w:color w:val="auto"/>
              </w:rPr>
            </w:pPr>
            <w:r>
              <w:rPr>
                <w:rFonts w:ascii="Arial" w:cs="Arial" w:eastAsia="Arial" w:hAnsi="Arial"/>
                <w:sz w:val="16"/>
                <w:szCs w:val="16"/>
                <w:b w:val="1"/>
                <w:bCs w:val="1"/>
                <w:color w:val="FFFFFF"/>
              </w:rPr>
              <w:t>Mar 22</w:t>
            </w:r>
          </w:p>
        </w:tc>
        <w:tc>
          <w:tcPr>
            <w:tcW w:w="1360" w:type="dxa"/>
            <w:vAlign w:val="bottom"/>
            <w:tcBorders>
              <w:bottom w:val="single" w:sz="8" w:color="auto"/>
              <w:right w:val="single" w:sz="8" w:color="auto"/>
            </w:tcBorders>
            <w:shd w:val="clear" w:color="auto" w:fill="33CCCC"/>
          </w:tcPr>
          <w:p>
            <w:pPr>
              <w:jc w:val="right"/>
              <w:ind w:right="479"/>
              <w:spacing w:after="0"/>
              <w:rPr>
                <w:sz w:val="20"/>
                <w:szCs w:val="20"/>
                <w:color w:val="auto"/>
              </w:rPr>
            </w:pPr>
            <w:r>
              <w:rPr>
                <w:rFonts w:ascii="Arial" w:cs="Arial" w:eastAsia="Arial" w:hAnsi="Arial"/>
                <w:sz w:val="16"/>
                <w:szCs w:val="16"/>
                <w:b w:val="1"/>
                <w:bCs w:val="1"/>
                <w:color w:val="FFFFFF"/>
              </w:rPr>
              <w:t>Jun 22</w:t>
            </w:r>
          </w:p>
        </w:tc>
        <w:tc>
          <w:tcPr>
            <w:tcW w:w="14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7"/>
              </w:rPr>
              <w:t>QoQ</w:t>
            </w:r>
          </w:p>
        </w:tc>
        <w:tc>
          <w:tcPr>
            <w:tcW w:w="136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6"/>
                <w:szCs w:val="16"/>
                <w:b w:val="1"/>
                <w:bCs w:val="1"/>
                <w:color w:val="FFFFFF"/>
              </w:rPr>
              <w:t>YoY</w:t>
            </w:r>
          </w:p>
        </w:tc>
      </w:tr>
      <w:tr>
        <w:trPr>
          <w:trHeight w:val="158"/>
        </w:trPr>
        <w:tc>
          <w:tcPr>
            <w:tcW w:w="378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Deposits and obligations</w:t>
            </w:r>
          </w:p>
        </w:tc>
        <w:tc>
          <w:tcPr>
            <w:tcW w:w="1780" w:type="dxa"/>
            <w:vAlign w:val="bottom"/>
          </w:tcPr>
          <w:p>
            <w:pPr>
              <w:jc w:val="right"/>
              <w:ind w:right="159"/>
              <w:spacing w:after="0" w:line="158" w:lineRule="exact"/>
              <w:rPr>
                <w:sz w:val="20"/>
                <w:szCs w:val="20"/>
                <w:color w:val="auto"/>
              </w:rPr>
            </w:pPr>
            <w:r>
              <w:rPr>
                <w:rFonts w:ascii="Arial" w:cs="Arial" w:eastAsia="Arial" w:hAnsi="Arial"/>
                <w:sz w:val="16"/>
                <w:szCs w:val="16"/>
                <w:color w:val="auto"/>
              </w:rPr>
              <w:t>149,161,803</w:t>
            </w:r>
          </w:p>
        </w:tc>
        <w:tc>
          <w:tcPr>
            <w:tcW w:w="1540" w:type="dxa"/>
            <w:vAlign w:val="bottom"/>
          </w:tcPr>
          <w:p>
            <w:pPr>
              <w:jc w:val="right"/>
              <w:ind w:right="199"/>
              <w:spacing w:after="0" w:line="158" w:lineRule="exact"/>
              <w:rPr>
                <w:sz w:val="20"/>
                <w:szCs w:val="20"/>
                <w:color w:val="auto"/>
              </w:rPr>
            </w:pPr>
            <w:r>
              <w:rPr>
                <w:rFonts w:ascii="Arial" w:cs="Arial" w:eastAsia="Arial" w:hAnsi="Arial"/>
                <w:sz w:val="16"/>
                <w:szCs w:val="16"/>
                <w:color w:val="auto"/>
              </w:rPr>
              <w:t>147,915,964</w:t>
            </w:r>
          </w:p>
        </w:tc>
        <w:tc>
          <w:tcPr>
            <w:tcW w:w="13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147,440,575</w:t>
            </w:r>
          </w:p>
        </w:tc>
        <w:tc>
          <w:tcPr>
            <w:tcW w:w="1440" w:type="dxa"/>
            <w:vAlign w:val="bottom"/>
          </w:tcPr>
          <w:p>
            <w:pPr>
              <w:jc w:val="center"/>
              <w:spacing w:after="0" w:line="158" w:lineRule="exact"/>
              <w:rPr>
                <w:sz w:val="20"/>
                <w:szCs w:val="20"/>
                <w:color w:val="auto"/>
              </w:rPr>
            </w:pPr>
            <w:r>
              <w:rPr>
                <w:rFonts w:ascii="Arial" w:cs="Arial" w:eastAsia="Arial" w:hAnsi="Arial"/>
                <w:sz w:val="16"/>
                <w:szCs w:val="16"/>
                <w:color w:val="auto"/>
              </w:rPr>
              <w:t>-0.3%</w:t>
            </w:r>
          </w:p>
        </w:tc>
        <w:tc>
          <w:tcPr>
            <w:tcW w:w="13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-1.2%</w:t>
            </w:r>
          </w:p>
        </w:tc>
      </w:tr>
      <w:tr>
        <w:trPr>
          <w:trHeight w:val="183"/>
        </w:trPr>
        <w:tc>
          <w:tcPr>
            <w:tcW w:w="37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Due to banks and correspondents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6,239,161</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6,362,990</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6,456,360</w:t>
            </w:r>
          </w:p>
        </w:tc>
        <w:tc>
          <w:tcPr>
            <w:tcW w:w="1440" w:type="dxa"/>
            <w:vAlign w:val="bottom"/>
          </w:tcPr>
          <w:p>
            <w:pPr>
              <w:jc w:val="center"/>
              <w:spacing w:after="0" w:line="183" w:lineRule="exact"/>
              <w:rPr>
                <w:sz w:val="20"/>
                <w:szCs w:val="20"/>
                <w:color w:val="auto"/>
              </w:rPr>
            </w:pPr>
            <w:r>
              <w:rPr>
                <w:rFonts w:ascii="Arial" w:cs="Arial" w:eastAsia="Arial" w:hAnsi="Arial"/>
                <w:sz w:val="16"/>
                <w:szCs w:val="16"/>
                <w:color w:val="auto"/>
              </w:rPr>
              <w:t>1.5%</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3.5%</w:t>
            </w:r>
          </w:p>
        </w:tc>
      </w:tr>
      <w:tr>
        <w:trPr>
          <w:trHeight w:val="183"/>
        </w:trPr>
        <w:tc>
          <w:tcPr>
            <w:tcW w:w="37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BCRP instruments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23,329,990</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17,532,350</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16,031,618</w:t>
            </w:r>
          </w:p>
        </w:tc>
        <w:tc>
          <w:tcPr>
            <w:tcW w:w="1440" w:type="dxa"/>
            <w:vAlign w:val="bottom"/>
          </w:tcPr>
          <w:p>
            <w:pPr>
              <w:jc w:val="center"/>
              <w:spacing w:after="0" w:line="183" w:lineRule="exact"/>
              <w:rPr>
                <w:sz w:val="20"/>
                <w:szCs w:val="20"/>
                <w:color w:val="auto"/>
              </w:rPr>
            </w:pPr>
            <w:r>
              <w:rPr>
                <w:rFonts w:ascii="Arial" w:cs="Arial" w:eastAsia="Arial" w:hAnsi="Arial"/>
                <w:sz w:val="16"/>
                <w:szCs w:val="16"/>
                <w:color w:val="auto"/>
              </w:rPr>
              <w:t>-8.6%</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-31.3%</w:t>
            </w:r>
          </w:p>
        </w:tc>
      </w:tr>
      <w:tr>
        <w:trPr>
          <w:trHeight w:val="183"/>
        </w:trPr>
        <w:tc>
          <w:tcPr>
            <w:tcW w:w="37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Repurchase agreements</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1,276,678</w:t>
            </w:r>
          </w:p>
        </w:tc>
        <w:tc>
          <w:tcPr>
            <w:tcW w:w="15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1,218,028</w:t>
            </w:r>
          </w:p>
        </w:tc>
        <w:tc>
          <w:tcPr>
            <w:tcW w:w="1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1,340,423</w:t>
            </w:r>
          </w:p>
        </w:tc>
        <w:tc>
          <w:tcPr>
            <w:tcW w:w="1440" w:type="dxa"/>
            <w:vAlign w:val="bottom"/>
          </w:tcPr>
          <w:p>
            <w:pPr>
              <w:jc w:val="center"/>
              <w:spacing w:after="0" w:line="183" w:lineRule="exact"/>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5.0%</w:t>
            </w:r>
          </w:p>
        </w:tc>
      </w:tr>
      <w:tr>
        <w:trPr>
          <w:trHeight w:val="199"/>
        </w:trPr>
        <w:tc>
          <w:tcPr>
            <w:tcW w:w="37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Bonds and notes issued</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16,951,481</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16,044,671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16,579,674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w:t>
            </w:r>
          </w:p>
        </w:tc>
      </w:tr>
      <w:tr>
        <w:trPr>
          <w:trHeight w:val="175"/>
        </w:trPr>
        <w:tc>
          <w:tcPr>
            <w:tcW w:w="378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funding</w:t>
            </w:r>
          </w:p>
        </w:tc>
        <w:tc>
          <w:tcPr>
            <w:tcW w:w="1780" w:type="dxa"/>
            <w:vAlign w:val="bottom"/>
            <w:tcBorders>
              <w:bottom w:val="single" w:sz="8" w:color="auto"/>
            </w:tcBorders>
          </w:tcPr>
          <w:p>
            <w:pPr>
              <w:jc w:val="right"/>
              <w:ind w:right="159"/>
              <w:spacing w:after="0" w:line="175" w:lineRule="exact"/>
              <w:rPr>
                <w:sz w:val="20"/>
                <w:szCs w:val="20"/>
                <w:color w:val="auto"/>
              </w:rPr>
            </w:pPr>
            <w:r>
              <w:rPr>
                <w:rFonts w:ascii="Arial" w:cs="Arial" w:eastAsia="Arial" w:hAnsi="Arial"/>
                <w:sz w:val="16"/>
                <w:szCs w:val="16"/>
                <w:b w:val="1"/>
                <w:bCs w:val="1"/>
                <w:color w:val="auto"/>
              </w:rPr>
              <w:t>196,959,113</w:t>
            </w:r>
          </w:p>
        </w:tc>
        <w:tc>
          <w:tcPr>
            <w:tcW w:w="1540" w:type="dxa"/>
            <w:vAlign w:val="bottom"/>
            <w:tcBorders>
              <w:bottom w:val="single" w:sz="8" w:color="auto"/>
            </w:tcBorders>
          </w:tcPr>
          <w:p>
            <w:pPr>
              <w:jc w:val="right"/>
              <w:ind w:right="199"/>
              <w:spacing w:after="0" w:line="175" w:lineRule="exact"/>
              <w:rPr>
                <w:sz w:val="20"/>
                <w:szCs w:val="20"/>
                <w:color w:val="auto"/>
              </w:rPr>
            </w:pPr>
            <w:r>
              <w:rPr>
                <w:rFonts w:ascii="Arial" w:cs="Arial" w:eastAsia="Arial" w:hAnsi="Arial"/>
                <w:sz w:val="16"/>
                <w:szCs w:val="16"/>
                <w:b w:val="1"/>
                <w:bCs w:val="1"/>
                <w:color w:val="auto"/>
              </w:rPr>
              <w:t>189,074,003</w:t>
            </w:r>
          </w:p>
        </w:tc>
        <w:tc>
          <w:tcPr>
            <w:tcW w:w="1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187,848,650</w:t>
            </w: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-0.6%</w:t>
            </w:r>
          </w:p>
        </w:tc>
        <w:tc>
          <w:tcPr>
            <w:tcW w:w="13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-4.6%</w:t>
            </w:r>
          </w:p>
        </w:tc>
      </w:tr>
    </w:tbl>
    <w:p>
      <w:pPr>
        <w:spacing w:after="0" w:line="20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QoQ, funding fell 0.6% mainly due to a decrease in the BCRP instrument volume, which was attributable to amortizations of GP loans. YoY, funding fell 4.6%. This evolution was driven primarily by amortizations of GP loans and by moves by retail and wholesale clients to use account balances.</w:t>
      </w:r>
    </w:p>
    <w:p>
      <w:pPr>
        <w:spacing w:after="0" w:line="31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6" w:name="page27"/>
    <w:bookmarkEnd w:id="2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E93CAC"/>
        </w:rPr>
        <w:t xml:space="preserve">04 </w:t>
      </w:r>
      <w:r>
        <w:rPr>
          <w:rFonts w:ascii="Times New Roman" w:cs="Times New Roman" w:eastAsia="Times New Roman" w:hAnsi="Times New Roman"/>
          <w:sz w:val="29"/>
          <w:szCs w:val="29"/>
          <w:color w:val="E93C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45655" cy="1152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1152525"/>
                    </a:xfrm>
                    <a:prstGeom prst="rect">
                      <a:avLst/>
                    </a:prstGeom>
                    <a:noFill/>
                  </pic:spPr>
                </pic:pic>
              </a:graphicData>
            </a:graphic>
          </wp:anchor>
        </w:drawing>
      </w:r>
    </w:p>
    <w:p>
      <w:pPr>
        <w:spacing w:after="0" w:line="31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6"/>
          <w:szCs w:val="16"/>
          <w:color w:val="FFFFFF"/>
        </w:rPr>
        <w:t>In 2Q22, Net Interest Income continued to recover. This evolution was attributable to the fact that loans ─our highest yielding asset─ reported strong growth, which was accompanied by our effective repricing strategies. It is worth mentioning that the volume dynamics explained in the IEAs section led to a higher yielding IEA mix. These factors offset the negative effect generated by an increase in the funding cost that was driven by higher interest rates and by a decrease in low-cost funding sources which negatively impacted the funding mix. At the end of 2Q22, 56% of the funding base was composed of low-cost deposits.</w:t>
      </w:r>
    </w:p>
    <w:p>
      <w:pPr>
        <w:spacing w:after="0" w:line="60" w:lineRule="exact"/>
        <w:rPr>
          <w:sz w:val="20"/>
          <w:szCs w:val="20"/>
          <w:color w:val="auto"/>
        </w:rPr>
      </w:pPr>
    </w:p>
    <w:p>
      <w:pPr>
        <w:jc w:val="both"/>
        <w:ind w:left="120" w:right="120"/>
        <w:spacing w:after="0" w:line="278" w:lineRule="auto"/>
        <w:rPr>
          <w:sz w:val="20"/>
          <w:szCs w:val="20"/>
          <w:color w:val="auto"/>
        </w:rPr>
      </w:pPr>
      <w:r>
        <w:rPr>
          <w:rFonts w:ascii="Arial" w:cs="Arial" w:eastAsia="Arial" w:hAnsi="Arial"/>
          <w:sz w:val="16"/>
          <w:szCs w:val="16"/>
          <w:color w:val="FFFFFF"/>
        </w:rPr>
        <w:t>In this context, the Net Interest Margin in 2Q22 rose 46bps QoQ and 89bps YoY to stand at 4.90% while the Structural Net Interest Margin stood at 5.18% (+46bps QoQ, +86pbs YoY).</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18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Net Interest Income / Margin</w:t>
            </w:r>
          </w:p>
        </w:tc>
        <w:tc>
          <w:tcPr>
            <w:tcW w:w="1200" w:type="dxa"/>
            <w:vAlign w:val="bottom"/>
            <w:tcBorders>
              <w:top w:val="single" w:sz="8" w:color="auto"/>
            </w:tcBorders>
            <w:shd w:val="clear" w:color="auto" w:fill="33CCCC"/>
          </w:tcPr>
          <w:p>
            <w:pPr>
              <w:jc w:val="right"/>
              <w:ind w:right="395"/>
              <w:spacing w:after="0"/>
              <w:rPr>
                <w:sz w:val="20"/>
                <w:szCs w:val="20"/>
                <w:color w:val="auto"/>
              </w:rPr>
            </w:pPr>
            <w:r>
              <w:rPr>
                <w:rFonts w:ascii="Arial" w:cs="Arial" w:eastAsia="Arial" w:hAnsi="Arial"/>
                <w:sz w:val="13"/>
                <w:szCs w:val="13"/>
                <w:b w:val="1"/>
                <w:bCs w:val="1"/>
                <w:color w:val="FFFFFF"/>
              </w:rPr>
              <w:t>Quarter</w:t>
            </w:r>
          </w:p>
        </w:tc>
        <w:tc>
          <w:tcPr>
            <w:tcW w:w="1060" w:type="dxa"/>
            <w:vAlign w:val="bottom"/>
            <w:tcBorders>
              <w:top w:val="single" w:sz="8" w:color="auto"/>
            </w:tcBorders>
            <w:shd w:val="clear" w:color="auto" w:fill="33CCCC"/>
          </w:tcPr>
          <w:p>
            <w:pPr>
              <w:spacing w:after="0"/>
              <w:rPr>
                <w:sz w:val="15"/>
                <w:szCs w:val="15"/>
                <w:color w:val="auto"/>
              </w:rPr>
            </w:pPr>
          </w:p>
        </w:tc>
        <w:tc>
          <w:tcPr>
            <w:tcW w:w="920" w:type="dxa"/>
            <w:vAlign w:val="bottom"/>
            <w:tcBorders>
              <w:top w:val="single" w:sz="8" w:color="auto"/>
              <w:right w:val="single" w:sz="8" w:color="auto"/>
            </w:tcBorders>
            <w:shd w:val="clear" w:color="auto" w:fill="33CCCC"/>
          </w:tcPr>
          <w:p>
            <w:pPr>
              <w:spacing w:after="0"/>
              <w:rPr>
                <w:sz w:val="15"/>
                <w:szCs w:val="15"/>
                <w:color w:val="auto"/>
              </w:rPr>
            </w:pPr>
          </w:p>
        </w:tc>
        <w:tc>
          <w:tcPr>
            <w:tcW w:w="1420" w:type="dxa"/>
            <w:vAlign w:val="bottom"/>
            <w:tcBorders>
              <w:top w:val="single" w:sz="8" w:color="auto"/>
              <w:right w:val="single" w:sz="8" w:color="auto"/>
            </w:tcBorders>
            <w:gridSpan w:val="2"/>
            <w:shd w:val="clear" w:color="auto" w:fill="33CCCC"/>
          </w:tcPr>
          <w:p>
            <w:pPr>
              <w:ind w:left="380"/>
              <w:spacing w:after="0"/>
              <w:rPr>
                <w:sz w:val="20"/>
                <w:szCs w:val="20"/>
                <w:color w:val="auto"/>
              </w:rPr>
            </w:pPr>
            <w:r>
              <w:rPr>
                <w:rFonts w:ascii="Arial" w:cs="Arial" w:eastAsia="Arial" w:hAnsi="Arial"/>
                <w:sz w:val="13"/>
                <w:szCs w:val="13"/>
                <w:b w:val="1"/>
                <w:bCs w:val="1"/>
                <w:color w:val="FFFFFF"/>
              </w:rPr>
              <w:t>% change</w:t>
            </w:r>
          </w:p>
        </w:tc>
        <w:tc>
          <w:tcPr>
            <w:tcW w:w="1200" w:type="dxa"/>
            <w:vAlign w:val="bottom"/>
            <w:tcBorders>
              <w:top w:val="single" w:sz="8" w:color="auto"/>
            </w:tcBorders>
            <w:shd w:val="clear" w:color="auto" w:fill="33CCCC"/>
          </w:tcPr>
          <w:p>
            <w:pPr>
              <w:jc w:val="right"/>
              <w:ind w:right="455"/>
              <w:spacing w:after="0"/>
              <w:rPr>
                <w:sz w:val="20"/>
                <w:szCs w:val="20"/>
                <w:color w:val="auto"/>
              </w:rPr>
            </w:pPr>
            <w:r>
              <w:rPr>
                <w:rFonts w:ascii="Arial" w:cs="Arial" w:eastAsia="Arial" w:hAnsi="Arial"/>
                <w:sz w:val="13"/>
                <w:szCs w:val="13"/>
                <w:b w:val="1"/>
                <w:bCs w:val="1"/>
                <w:color w:val="FFFFFF"/>
              </w:rPr>
              <w:t>As of</w:t>
            </w:r>
          </w:p>
        </w:tc>
        <w:tc>
          <w:tcPr>
            <w:tcW w:w="920" w:type="dxa"/>
            <w:vAlign w:val="bottom"/>
            <w:tcBorders>
              <w:top w:val="single" w:sz="8" w:color="auto"/>
              <w:right w:val="single" w:sz="8" w:color="auto"/>
            </w:tcBorders>
            <w:shd w:val="clear" w:color="auto" w:fill="33CCCC"/>
          </w:tcPr>
          <w:p>
            <w:pPr>
              <w:spacing w:after="0"/>
              <w:rPr>
                <w:sz w:val="15"/>
                <w:szCs w:val="15"/>
                <w:color w:val="auto"/>
              </w:rPr>
            </w:pPr>
          </w:p>
        </w:tc>
        <w:tc>
          <w:tcPr>
            <w:tcW w:w="13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46"/>
        </w:trPr>
        <w:tc>
          <w:tcPr>
            <w:tcW w:w="3180" w:type="dxa"/>
            <w:vAlign w:val="bottom"/>
            <w:tcBorders>
              <w:left w:val="single" w:sz="8" w:color="auto"/>
              <w:bottom w:val="single" w:sz="8" w:color="auto"/>
              <w:right w:val="single" w:sz="8" w:color="auto"/>
            </w:tcBorders>
            <w:shd w:val="clear" w:color="auto" w:fill="33CCCC"/>
          </w:tcPr>
          <w:p>
            <w:pPr>
              <w:spacing w:after="0" w:line="146" w:lineRule="exact"/>
              <w:rPr>
                <w:sz w:val="20"/>
                <w:szCs w:val="20"/>
                <w:color w:val="auto"/>
              </w:rPr>
            </w:pPr>
            <w:r>
              <w:rPr>
                <w:rFonts w:ascii="Arial" w:cs="Arial" w:eastAsia="Arial" w:hAnsi="Arial"/>
                <w:sz w:val="13"/>
                <w:szCs w:val="13"/>
                <w:b w:val="1"/>
                <w:bCs w:val="1"/>
                <w:color w:val="FFFFFF"/>
              </w:rPr>
              <w:t>S/ 000</w:t>
            </w:r>
          </w:p>
        </w:tc>
        <w:tc>
          <w:tcPr>
            <w:tcW w:w="1200" w:type="dxa"/>
            <w:vAlign w:val="bottom"/>
            <w:tcBorders>
              <w:bottom w:val="single" w:sz="8" w:color="auto"/>
            </w:tcBorders>
            <w:shd w:val="clear" w:color="auto" w:fill="33CCCC"/>
          </w:tcPr>
          <w:p>
            <w:pPr>
              <w:jc w:val="right"/>
              <w:ind w:right="475"/>
              <w:spacing w:after="0" w:line="146" w:lineRule="exact"/>
              <w:rPr>
                <w:sz w:val="20"/>
                <w:szCs w:val="20"/>
                <w:color w:val="auto"/>
              </w:rPr>
            </w:pPr>
            <w:r>
              <w:rPr>
                <w:rFonts w:ascii="Arial" w:cs="Arial" w:eastAsia="Arial" w:hAnsi="Arial"/>
                <w:sz w:val="13"/>
                <w:szCs w:val="13"/>
                <w:b w:val="1"/>
                <w:bCs w:val="1"/>
                <w:color w:val="FFFFFF"/>
              </w:rPr>
              <w:t>2Q21</w:t>
            </w:r>
          </w:p>
        </w:tc>
        <w:tc>
          <w:tcPr>
            <w:tcW w:w="1060" w:type="dxa"/>
            <w:vAlign w:val="bottom"/>
            <w:tcBorders>
              <w:bottom w:val="single" w:sz="8" w:color="auto"/>
            </w:tcBorders>
            <w:shd w:val="clear" w:color="auto" w:fill="33CCCC"/>
          </w:tcPr>
          <w:p>
            <w:pPr>
              <w:jc w:val="right"/>
              <w:ind w:right="475"/>
              <w:spacing w:after="0" w:line="146" w:lineRule="exact"/>
              <w:rPr>
                <w:sz w:val="20"/>
                <w:szCs w:val="20"/>
                <w:color w:val="auto"/>
              </w:rPr>
            </w:pPr>
            <w:r>
              <w:rPr>
                <w:rFonts w:ascii="Arial" w:cs="Arial" w:eastAsia="Arial" w:hAnsi="Arial"/>
                <w:sz w:val="13"/>
                <w:szCs w:val="13"/>
                <w:b w:val="1"/>
                <w:bCs w:val="1"/>
                <w:color w:val="FFFFFF"/>
              </w:rPr>
              <w:t>1Q22</w:t>
            </w:r>
          </w:p>
        </w:tc>
        <w:tc>
          <w:tcPr>
            <w:tcW w:w="920" w:type="dxa"/>
            <w:vAlign w:val="bottom"/>
            <w:tcBorders>
              <w:bottom w:val="single" w:sz="8" w:color="auto"/>
              <w:right w:val="single" w:sz="8" w:color="auto"/>
            </w:tcBorders>
            <w:shd w:val="clear" w:color="auto" w:fill="33CCCC"/>
          </w:tcPr>
          <w:p>
            <w:pPr>
              <w:jc w:val="right"/>
              <w:ind w:right="335"/>
              <w:spacing w:after="0" w:line="146" w:lineRule="exact"/>
              <w:rPr>
                <w:sz w:val="20"/>
                <w:szCs w:val="20"/>
                <w:color w:val="auto"/>
              </w:rPr>
            </w:pPr>
            <w:r>
              <w:rPr>
                <w:rFonts w:ascii="Arial" w:cs="Arial" w:eastAsia="Arial" w:hAnsi="Arial"/>
                <w:sz w:val="13"/>
                <w:szCs w:val="13"/>
                <w:b w:val="1"/>
                <w:bCs w:val="1"/>
                <w:color w:val="FFFFFF"/>
              </w:rPr>
              <w:t>2Q22</w:t>
            </w:r>
          </w:p>
        </w:tc>
        <w:tc>
          <w:tcPr>
            <w:tcW w:w="680" w:type="dxa"/>
            <w:vAlign w:val="bottom"/>
            <w:tcBorders>
              <w:bottom w:val="single" w:sz="8" w:color="auto"/>
            </w:tcBorders>
            <w:shd w:val="clear" w:color="auto" w:fill="33CCCC"/>
          </w:tcPr>
          <w:p>
            <w:pPr>
              <w:ind w:left="180"/>
              <w:spacing w:after="0" w:line="146" w:lineRule="exact"/>
              <w:rPr>
                <w:sz w:val="20"/>
                <w:szCs w:val="20"/>
                <w:color w:val="auto"/>
              </w:rPr>
            </w:pPr>
            <w:r>
              <w:rPr>
                <w:rFonts w:ascii="Arial" w:cs="Arial" w:eastAsia="Arial" w:hAnsi="Arial"/>
                <w:sz w:val="13"/>
                <w:szCs w:val="13"/>
                <w:b w:val="1"/>
                <w:bCs w:val="1"/>
                <w:color w:val="FFFFFF"/>
              </w:rPr>
              <w:t>QoQ</w:t>
            </w:r>
          </w:p>
        </w:tc>
        <w:tc>
          <w:tcPr>
            <w:tcW w:w="740" w:type="dxa"/>
            <w:vAlign w:val="bottom"/>
            <w:tcBorders>
              <w:bottom w:val="single" w:sz="8" w:color="auto"/>
              <w:right w:val="single" w:sz="8" w:color="auto"/>
            </w:tcBorders>
            <w:shd w:val="clear" w:color="auto" w:fill="33CCCC"/>
          </w:tcPr>
          <w:p>
            <w:pPr>
              <w:ind w:left="220"/>
              <w:spacing w:after="0" w:line="146" w:lineRule="exact"/>
              <w:rPr>
                <w:sz w:val="20"/>
                <w:szCs w:val="20"/>
                <w:color w:val="auto"/>
              </w:rPr>
            </w:pPr>
            <w:r>
              <w:rPr>
                <w:rFonts w:ascii="Arial" w:cs="Arial" w:eastAsia="Arial" w:hAnsi="Arial"/>
                <w:sz w:val="13"/>
                <w:szCs w:val="13"/>
                <w:b w:val="1"/>
                <w:bCs w:val="1"/>
                <w:color w:val="FFFFFF"/>
              </w:rPr>
              <w:t>YoY</w:t>
            </w:r>
          </w:p>
        </w:tc>
        <w:tc>
          <w:tcPr>
            <w:tcW w:w="1200" w:type="dxa"/>
            <w:vAlign w:val="bottom"/>
            <w:tcBorders>
              <w:bottom w:val="single" w:sz="8" w:color="auto"/>
            </w:tcBorders>
            <w:shd w:val="clear" w:color="auto" w:fill="33CCCC"/>
          </w:tcPr>
          <w:p>
            <w:pPr>
              <w:jc w:val="right"/>
              <w:ind w:right="415"/>
              <w:spacing w:after="0" w:line="146" w:lineRule="exact"/>
              <w:rPr>
                <w:sz w:val="20"/>
                <w:szCs w:val="20"/>
                <w:color w:val="auto"/>
              </w:rPr>
            </w:pPr>
            <w:r>
              <w:rPr>
                <w:rFonts w:ascii="Arial" w:cs="Arial" w:eastAsia="Arial" w:hAnsi="Arial"/>
                <w:sz w:val="13"/>
                <w:szCs w:val="13"/>
                <w:b w:val="1"/>
                <w:bCs w:val="1"/>
                <w:color w:val="FFFFFF"/>
              </w:rPr>
              <w:t>Jun 21</w:t>
            </w:r>
          </w:p>
        </w:tc>
        <w:tc>
          <w:tcPr>
            <w:tcW w:w="920" w:type="dxa"/>
            <w:vAlign w:val="bottom"/>
            <w:tcBorders>
              <w:bottom w:val="single" w:sz="8" w:color="auto"/>
              <w:right w:val="single" w:sz="8" w:color="auto"/>
            </w:tcBorders>
            <w:shd w:val="clear" w:color="auto" w:fill="33CCCC"/>
          </w:tcPr>
          <w:p>
            <w:pPr>
              <w:jc w:val="right"/>
              <w:ind w:right="275"/>
              <w:spacing w:after="0" w:line="146" w:lineRule="exact"/>
              <w:rPr>
                <w:sz w:val="20"/>
                <w:szCs w:val="20"/>
                <w:color w:val="auto"/>
              </w:rPr>
            </w:pPr>
            <w:r>
              <w:rPr>
                <w:rFonts w:ascii="Arial" w:cs="Arial" w:eastAsia="Arial" w:hAnsi="Arial"/>
                <w:sz w:val="13"/>
                <w:szCs w:val="13"/>
                <w:b w:val="1"/>
                <w:bCs w:val="1"/>
                <w:color w:val="FFFFFF"/>
              </w:rPr>
              <w:t>Jun 22</w:t>
            </w:r>
          </w:p>
        </w:tc>
        <w:tc>
          <w:tcPr>
            <w:tcW w:w="1360" w:type="dxa"/>
            <w:vAlign w:val="bottom"/>
            <w:tcBorders>
              <w:bottom w:val="single" w:sz="8" w:color="auto"/>
              <w:right w:val="single" w:sz="8" w:color="auto"/>
            </w:tcBorders>
            <w:shd w:val="clear" w:color="auto" w:fill="33CCCC"/>
          </w:tcPr>
          <w:p>
            <w:pPr>
              <w:jc w:val="center"/>
              <w:spacing w:after="0" w:line="146" w:lineRule="exact"/>
              <w:rPr>
                <w:sz w:val="20"/>
                <w:szCs w:val="20"/>
                <w:color w:val="auto"/>
              </w:rPr>
            </w:pPr>
            <w:r>
              <w:rPr>
                <w:rFonts w:ascii="Arial" w:cs="Arial" w:eastAsia="Arial" w:hAnsi="Arial"/>
                <w:sz w:val="13"/>
                <w:szCs w:val="13"/>
                <w:b w:val="1"/>
                <w:bCs w:val="1"/>
                <w:color w:val="FFFFFF"/>
              </w:rPr>
              <w:t>Jun 22 / Jun 21</w:t>
            </w:r>
          </w:p>
        </w:tc>
      </w:tr>
      <w:tr>
        <w:trPr>
          <w:trHeight w:val="131"/>
        </w:trPr>
        <w:tc>
          <w:tcPr>
            <w:tcW w:w="318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3"/>
                <w:szCs w:val="13"/>
                <w:color w:val="auto"/>
              </w:rPr>
              <w:t>Interest Income</w:t>
            </w:r>
          </w:p>
        </w:tc>
        <w:tc>
          <w:tcPr>
            <w:tcW w:w="1200" w:type="dxa"/>
            <w:vAlign w:val="bottom"/>
          </w:tcPr>
          <w:p>
            <w:pPr>
              <w:jc w:val="right"/>
              <w:ind w:right="95"/>
              <w:spacing w:after="0" w:line="131" w:lineRule="exact"/>
              <w:rPr>
                <w:sz w:val="20"/>
                <w:szCs w:val="20"/>
                <w:color w:val="auto"/>
              </w:rPr>
            </w:pPr>
            <w:r>
              <w:rPr>
                <w:rFonts w:ascii="Arial" w:cs="Arial" w:eastAsia="Arial" w:hAnsi="Arial"/>
                <w:sz w:val="13"/>
                <w:szCs w:val="13"/>
                <w:color w:val="auto"/>
              </w:rPr>
              <w:t>2,891,579</w:t>
            </w:r>
          </w:p>
        </w:tc>
        <w:tc>
          <w:tcPr>
            <w:tcW w:w="1060" w:type="dxa"/>
            <w:vAlign w:val="bottom"/>
          </w:tcPr>
          <w:p>
            <w:pPr>
              <w:jc w:val="right"/>
              <w:ind w:right="95"/>
              <w:spacing w:after="0" w:line="131" w:lineRule="exact"/>
              <w:rPr>
                <w:sz w:val="20"/>
                <w:szCs w:val="20"/>
                <w:color w:val="auto"/>
              </w:rPr>
            </w:pPr>
            <w:r>
              <w:rPr>
                <w:rFonts w:ascii="Arial" w:cs="Arial" w:eastAsia="Arial" w:hAnsi="Arial"/>
                <w:sz w:val="13"/>
                <w:szCs w:val="13"/>
                <w:color w:val="auto"/>
              </w:rPr>
              <w:t>3,172,346</w:t>
            </w:r>
          </w:p>
        </w:tc>
        <w:tc>
          <w:tcPr>
            <w:tcW w:w="9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color w:val="auto"/>
              </w:rPr>
              <w:t>3,488,113</w:t>
            </w:r>
          </w:p>
        </w:tc>
        <w:tc>
          <w:tcPr>
            <w:tcW w:w="680" w:type="dxa"/>
            <w:vAlign w:val="bottom"/>
          </w:tcPr>
          <w:p>
            <w:pPr>
              <w:jc w:val="center"/>
              <w:spacing w:after="0" w:line="131" w:lineRule="exact"/>
              <w:rPr>
                <w:sz w:val="20"/>
                <w:szCs w:val="20"/>
                <w:color w:val="auto"/>
              </w:rPr>
            </w:pPr>
            <w:r>
              <w:rPr>
                <w:rFonts w:ascii="Arial" w:cs="Arial" w:eastAsia="Arial" w:hAnsi="Arial"/>
                <w:sz w:val="13"/>
                <w:szCs w:val="13"/>
                <w:color w:val="auto"/>
                <w:w w:val="97"/>
              </w:rPr>
              <w:t>10.0%</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20.6%</w:t>
            </w:r>
          </w:p>
        </w:tc>
        <w:tc>
          <w:tcPr>
            <w:tcW w:w="1200" w:type="dxa"/>
            <w:vAlign w:val="bottom"/>
          </w:tcPr>
          <w:p>
            <w:pPr>
              <w:jc w:val="right"/>
              <w:ind w:right="95"/>
              <w:spacing w:after="0" w:line="131" w:lineRule="exact"/>
              <w:rPr>
                <w:sz w:val="20"/>
                <w:szCs w:val="20"/>
                <w:color w:val="auto"/>
              </w:rPr>
            </w:pPr>
            <w:r>
              <w:rPr>
                <w:rFonts w:ascii="Arial" w:cs="Arial" w:eastAsia="Arial" w:hAnsi="Arial"/>
                <w:sz w:val="13"/>
                <w:szCs w:val="13"/>
                <w:color w:val="auto"/>
              </w:rPr>
              <w:t>5,707,652</w:t>
            </w:r>
          </w:p>
        </w:tc>
        <w:tc>
          <w:tcPr>
            <w:tcW w:w="9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color w:val="auto"/>
              </w:rPr>
              <w:t>6,660,459</w:t>
            </w:r>
          </w:p>
        </w:tc>
        <w:tc>
          <w:tcPr>
            <w:tcW w:w="13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16.7%</w:t>
            </w:r>
          </w:p>
        </w:tc>
      </w:tr>
      <w:tr>
        <w:trPr>
          <w:trHeight w:val="154"/>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Expense</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582,537</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638,256</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747,673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17.1%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28.3%</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1,275,227</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1,385,929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8.7%</w:t>
            </w:r>
          </w:p>
        </w:tc>
      </w:tr>
      <w:tr>
        <w:trPr>
          <w:trHeight w:val="170"/>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Income</w:t>
            </w:r>
          </w:p>
        </w:tc>
        <w:tc>
          <w:tcPr>
            <w:tcW w:w="1200" w:type="dxa"/>
            <w:vAlign w:val="bottom"/>
          </w:tcPr>
          <w:p>
            <w:pPr>
              <w:jc w:val="right"/>
              <w:ind w:right="95"/>
              <w:spacing w:after="0"/>
              <w:rPr>
                <w:sz w:val="20"/>
                <w:szCs w:val="20"/>
                <w:color w:val="auto"/>
              </w:rPr>
            </w:pPr>
            <w:r>
              <w:rPr>
                <w:rFonts w:ascii="Arial" w:cs="Arial" w:eastAsia="Arial" w:hAnsi="Arial"/>
                <w:sz w:val="13"/>
                <w:szCs w:val="13"/>
                <w:b w:val="1"/>
                <w:bCs w:val="1"/>
                <w:color w:val="auto"/>
              </w:rPr>
              <w:t>2,309,042</w:t>
            </w:r>
          </w:p>
        </w:tc>
        <w:tc>
          <w:tcPr>
            <w:tcW w:w="1060" w:type="dxa"/>
            <w:vAlign w:val="bottom"/>
          </w:tcPr>
          <w:p>
            <w:pPr>
              <w:jc w:val="right"/>
              <w:ind w:right="95"/>
              <w:spacing w:after="0"/>
              <w:rPr>
                <w:sz w:val="20"/>
                <w:szCs w:val="20"/>
                <w:color w:val="auto"/>
              </w:rPr>
            </w:pPr>
            <w:r>
              <w:rPr>
                <w:rFonts w:ascii="Arial" w:cs="Arial" w:eastAsia="Arial" w:hAnsi="Arial"/>
                <w:sz w:val="13"/>
                <w:szCs w:val="13"/>
                <w:b w:val="1"/>
                <w:bCs w:val="1"/>
                <w:color w:val="auto"/>
              </w:rPr>
              <w:t>2,534,090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2,740,440</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8.1%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18.7%</w:t>
            </w:r>
          </w:p>
        </w:tc>
        <w:tc>
          <w:tcPr>
            <w:tcW w:w="1200" w:type="dxa"/>
            <w:vAlign w:val="bottom"/>
          </w:tcPr>
          <w:p>
            <w:pPr>
              <w:jc w:val="right"/>
              <w:ind w:right="95"/>
              <w:spacing w:after="0"/>
              <w:rPr>
                <w:sz w:val="20"/>
                <w:szCs w:val="20"/>
                <w:color w:val="auto"/>
              </w:rPr>
            </w:pPr>
            <w:r>
              <w:rPr>
                <w:rFonts w:ascii="Arial" w:cs="Arial" w:eastAsia="Arial" w:hAnsi="Arial"/>
                <w:sz w:val="13"/>
                <w:szCs w:val="13"/>
                <w:b w:val="1"/>
                <w:bCs w:val="1"/>
                <w:color w:val="auto"/>
              </w:rPr>
              <w:t>4,432,425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5,274,530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19.0%</w:t>
            </w:r>
          </w:p>
        </w:tc>
      </w:tr>
      <w:tr>
        <w:trPr>
          <w:trHeight w:val="30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Balances</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color w:val="auto"/>
              </w:rPr>
              <w:t>Average Interest Earning Assets (IEA)</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230,237,853</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228,195,289</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223,529,737</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auto"/>
                <w:w w:val="99"/>
              </w:rPr>
              <w:t>-2.0%</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-2.9%</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227,052,978</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227,021,380</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0.0%</w:t>
            </w:r>
          </w:p>
        </w:tc>
      </w:tr>
      <w:tr>
        <w:trPr>
          <w:trHeight w:val="17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Average Funding</w:t>
            </w:r>
          </w:p>
        </w:tc>
        <w:tc>
          <w:tcPr>
            <w:tcW w:w="1200" w:type="dxa"/>
            <w:vAlign w:val="bottom"/>
          </w:tcPr>
          <w:p>
            <w:pPr>
              <w:jc w:val="right"/>
              <w:ind w:right="95"/>
              <w:spacing w:after="0"/>
              <w:rPr>
                <w:sz w:val="20"/>
                <w:szCs w:val="20"/>
                <w:color w:val="auto"/>
              </w:rPr>
            </w:pPr>
            <w:r>
              <w:rPr>
                <w:rFonts w:ascii="Arial" w:cs="Arial" w:eastAsia="Arial" w:hAnsi="Arial"/>
                <w:sz w:val="13"/>
                <w:szCs w:val="13"/>
                <w:color w:val="auto"/>
              </w:rPr>
              <w:t>197,108,681</w:t>
            </w:r>
          </w:p>
        </w:tc>
        <w:tc>
          <w:tcPr>
            <w:tcW w:w="1060" w:type="dxa"/>
            <w:vAlign w:val="bottom"/>
          </w:tcPr>
          <w:p>
            <w:pPr>
              <w:jc w:val="right"/>
              <w:ind w:right="95"/>
              <w:spacing w:after="0"/>
              <w:rPr>
                <w:sz w:val="20"/>
                <w:szCs w:val="20"/>
                <w:color w:val="auto"/>
              </w:rPr>
            </w:pPr>
            <w:r>
              <w:rPr>
                <w:rFonts w:ascii="Arial" w:cs="Arial" w:eastAsia="Arial" w:hAnsi="Arial"/>
                <w:sz w:val="13"/>
                <w:szCs w:val="13"/>
                <w:color w:val="auto"/>
              </w:rPr>
              <w:t>192,347,695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188,461,327</w:t>
            </w: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-2.0%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-4.4%</w:t>
            </w:r>
          </w:p>
        </w:tc>
        <w:tc>
          <w:tcPr>
            <w:tcW w:w="1200" w:type="dxa"/>
            <w:vAlign w:val="bottom"/>
          </w:tcPr>
          <w:p>
            <w:pPr>
              <w:jc w:val="right"/>
              <w:ind w:right="95"/>
              <w:spacing w:after="0"/>
              <w:rPr>
                <w:sz w:val="20"/>
                <w:szCs w:val="20"/>
                <w:color w:val="auto"/>
              </w:rPr>
            </w:pPr>
            <w:r>
              <w:rPr>
                <w:rFonts w:ascii="Arial" w:cs="Arial" w:eastAsia="Arial" w:hAnsi="Arial"/>
                <w:sz w:val="13"/>
                <w:szCs w:val="13"/>
                <w:color w:val="auto"/>
              </w:rPr>
              <w:t>194,215,081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191,735,019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-1.3%</w:t>
            </w:r>
          </w:p>
        </w:tc>
      </w:tr>
      <w:tr>
        <w:trPr>
          <w:trHeight w:val="316"/>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Yields</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color w:val="auto"/>
              </w:rPr>
              <w:t>Yield on IEAs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5.02%</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5.56%</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6.24%</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auto"/>
              </w:rPr>
              <w:t>68bps</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122bps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5.03%</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5.87%</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84bps</w:t>
            </w: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color w:val="auto"/>
              </w:rPr>
              <w:t>Cost of Funds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1.18%</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1.33%</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1.59%</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auto"/>
              </w:rPr>
              <w:t>26bps</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41bps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1.31%</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1.45%</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14bps</w:t>
            </w: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b w:val="1"/>
                <w:bCs w:val="1"/>
                <w:color w:val="auto"/>
              </w:rPr>
              <w:t>Net Interest Margin (NIM)</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4.01%</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4.44%</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4.90%</w:t>
            </w:r>
          </w:p>
        </w:tc>
        <w:tc>
          <w:tcPr>
            <w:tcW w:w="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46bps</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89bps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3.90%</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4.65%</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75bps</w:t>
            </w: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b w:val="1"/>
                <w:bCs w:val="1"/>
                <w:color w:val="auto"/>
              </w:rPr>
              <w:t>Risk-Adjusted Net Interest Margin</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3.38%</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3.99%</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4.25%</w:t>
            </w:r>
          </w:p>
        </w:tc>
        <w:tc>
          <w:tcPr>
            <w:tcW w:w="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26bps</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87bps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3.09%</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4.10%</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101bps</w:t>
            </w:r>
          </w:p>
        </w:tc>
      </w:tr>
      <w:tr>
        <w:trPr>
          <w:trHeight w:val="146"/>
        </w:trPr>
        <w:tc>
          <w:tcPr>
            <w:tcW w:w="3180" w:type="dxa"/>
            <w:vAlign w:val="bottom"/>
            <w:tcBorders>
              <w:left w:val="single" w:sz="8" w:color="auto"/>
              <w:right w:val="single" w:sz="8" w:color="auto"/>
            </w:tcBorders>
          </w:tcPr>
          <w:p>
            <w:pPr>
              <w:ind w:left="160"/>
              <w:spacing w:after="0" w:line="146" w:lineRule="exact"/>
              <w:rPr>
                <w:sz w:val="20"/>
                <w:szCs w:val="20"/>
                <w:color w:val="auto"/>
              </w:rPr>
            </w:pPr>
            <w:r>
              <w:rPr>
                <w:rFonts w:ascii="Arial" w:cs="Arial" w:eastAsia="Arial" w:hAnsi="Arial"/>
                <w:sz w:val="13"/>
                <w:szCs w:val="13"/>
                <w:b w:val="1"/>
                <w:bCs w:val="1"/>
                <w:color w:val="auto"/>
              </w:rPr>
              <w:t>Peru's Reference Rate</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0.25%</w:t>
            </w:r>
          </w:p>
        </w:tc>
        <w:tc>
          <w:tcPr>
            <w:tcW w:w="10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4.00%</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5.50%</w:t>
            </w:r>
          </w:p>
        </w:tc>
        <w:tc>
          <w:tcPr>
            <w:tcW w:w="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150bps</w:t>
            </w:r>
          </w:p>
        </w:tc>
        <w:tc>
          <w:tcPr>
            <w:tcW w:w="7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525bps</w:t>
            </w:r>
          </w:p>
        </w:tc>
        <w:tc>
          <w:tcPr>
            <w:tcW w:w="120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0.25%</w:t>
            </w:r>
          </w:p>
        </w:tc>
        <w:tc>
          <w:tcPr>
            <w:tcW w:w="92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5.50%</w:t>
            </w:r>
          </w:p>
        </w:tc>
        <w:tc>
          <w:tcPr>
            <w:tcW w:w="13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525bps</w:t>
            </w:r>
          </w:p>
        </w:tc>
      </w:tr>
      <w:tr>
        <w:trPr>
          <w:trHeight w:val="154"/>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FED funds rate</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0.25%</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0.50%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1.75%</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125bps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150bps</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0.25%</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150bps</w:t>
            </w:r>
          </w:p>
        </w:tc>
      </w:tr>
    </w:tbl>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Net Interest Income </w:t>
      </w:r>
      <w:r>
        <w:rPr>
          <w:rFonts w:ascii="Times New Roman" w:cs="Times New Roman" w:eastAsia="Times New Roman" w:hAnsi="Times New Roman"/>
          <w:sz w:val="16"/>
          <w:szCs w:val="16"/>
          <w:color w:val="auto"/>
        </w:rPr>
        <w:t>rose 8.1% QoQ, 18.7% YoY during the quarter and 19.0% YTD as of the end of June given that growth in income outpaced the increase registered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expenses in a context marked by rising interest rates, on-going growth in structural loans, and a drop in low-yield assets. The positive evolution of interest income offset growth in expenses, which was attributable to an uptick in passive rates and a reduction in low-cost funding. In this scenario, NIM grew 46pbs QoQ, 89bps YoY and 75bps YTD to stand at 4.90% in 2Q22 and 4.65% YTD at the end of June.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more information on interest income and interest expenses by segment, see annex 12.3.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Interest Margin</w:t>
            </w: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Structural NIM registered an uptick in recovery, driven by a higher-yield balance</w:t>
            </w:r>
          </w:p>
        </w:tc>
      </w:tr>
      <w:tr>
        <w:trPr>
          <w:trHeight w:val="195"/>
        </w:trPr>
        <w:tc>
          <w:tcPr>
            <w:tcW w:w="138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structure and the positive price effect generated by an increase in interest rates and</w:t>
            </w:r>
          </w:p>
        </w:tc>
      </w:tr>
      <w:tr>
        <w:trPr>
          <w:trHeight w:val="195"/>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active yield management strategies.  This dynamic also explains the evolution of</w:t>
            </w:r>
          </w:p>
        </w:tc>
      </w:tr>
      <w:tr>
        <w:trPr>
          <w:trHeight w:val="195"/>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the Risk-Adjusted NIM, which stood at 4.25% this quarter, very close to pre-</w:t>
            </w:r>
          </w:p>
        </w:tc>
      </w:tr>
      <w:tr>
        <w:trPr>
          <w:trHeight w:val="211"/>
        </w:trPr>
        <w:tc>
          <w:tcPr>
            <w:tcW w:w="1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pandemic levels.</w:t>
            </w:r>
          </w:p>
        </w:tc>
      </w:tr>
      <w:tr>
        <w:trPr>
          <w:trHeight w:val="398"/>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To analyze the evolution of Net Interest Income, it is important to differentiate</w:t>
            </w:r>
          </w:p>
        </w:tc>
      </w:tr>
      <w:tr>
        <w:trPr>
          <w:trHeight w:val="195"/>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dynamics by currency given that the trends for volumes and variations in market</w:t>
            </w:r>
          </w:p>
        </w:tc>
      </w:tr>
      <w:tr>
        <w:trPr>
          <w:trHeight w:val="195"/>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rates vary for each. The reference rate in LC (BCRP) increased 150bps QoQ and</w:t>
            </w:r>
          </w:p>
        </w:tc>
      </w:tr>
      <w:tr>
        <w:trPr>
          <w:trHeight w:val="195"/>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375bps YoY while the FC rate (FED funds rate) rose 125bps QoQ and 150 bps</w:t>
            </w:r>
          </w:p>
        </w:tc>
      </w:tr>
      <w:tr>
        <w:trPr>
          <w:trHeight w:val="211"/>
        </w:trPr>
        <w:tc>
          <w:tcPr>
            <w:tcW w:w="1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-1112520</wp:posOffset>
            </wp:positionV>
            <wp:extent cx="3225165" cy="1454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25165" cy="145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7" w:name="page28"/>
    <w:bookmarkEnd w:id="27"/>
    <w:p>
      <w:pPr>
        <w:ind w:left="2040"/>
        <w:spacing w:after="0"/>
        <w:tabs>
          <w:tab w:leader="none" w:pos="792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Dynamics of Net Interest Income by Currency</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82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Interest Income / IEA</w:t>
            </w:r>
          </w:p>
        </w:tc>
        <w:tc>
          <w:tcPr>
            <w:tcW w:w="300" w:type="dxa"/>
            <w:vAlign w:val="bottom"/>
            <w:tcBorders>
              <w:top w:val="single" w:sz="8" w:color="auto"/>
              <w:right w:val="single" w:sz="8" w:color="33CCCC"/>
            </w:tcBorders>
            <w:shd w:val="clear" w:color="auto" w:fill="33CCCC"/>
          </w:tcPr>
          <w:p>
            <w:pPr>
              <w:spacing w:after="0"/>
              <w:rPr>
                <w:sz w:val="16"/>
                <w:szCs w:val="16"/>
                <w:color w:val="auto"/>
              </w:rPr>
            </w:pPr>
          </w:p>
        </w:tc>
        <w:tc>
          <w:tcPr>
            <w:tcW w:w="1100" w:type="dxa"/>
            <w:vAlign w:val="bottom"/>
            <w:tcBorders>
              <w:top w:val="single" w:sz="8" w:color="auto"/>
            </w:tcBorders>
            <w:gridSpan w:val="4"/>
            <w:shd w:val="clear" w:color="auto" w:fill="33CCCC"/>
          </w:tcPr>
          <w:p>
            <w:pPr>
              <w:jc w:val="right"/>
              <w:ind w:right="219"/>
              <w:spacing w:after="0"/>
              <w:rPr>
                <w:sz w:val="20"/>
                <w:szCs w:val="20"/>
                <w:color w:val="auto"/>
              </w:rPr>
            </w:pPr>
            <w:r>
              <w:rPr>
                <w:rFonts w:ascii="Arial" w:cs="Arial" w:eastAsia="Arial" w:hAnsi="Arial"/>
                <w:sz w:val="16"/>
                <w:szCs w:val="16"/>
                <w:b w:val="1"/>
                <w:bCs w:val="1"/>
                <w:color w:val="FFFFFF"/>
              </w:rPr>
              <w:t>2Q21</w:t>
            </w:r>
          </w:p>
        </w:tc>
        <w:tc>
          <w:tcPr>
            <w:tcW w:w="260" w:type="dxa"/>
            <w:vAlign w:val="bottom"/>
            <w:tcBorders>
              <w:top w:val="single" w:sz="8" w:color="auto"/>
            </w:tcBorders>
            <w:shd w:val="clear" w:color="auto" w:fill="33CCCC"/>
          </w:tcPr>
          <w:p>
            <w:pPr>
              <w:spacing w:after="0"/>
              <w:rPr>
                <w:sz w:val="16"/>
                <w:szCs w:val="16"/>
                <w:color w:val="auto"/>
              </w:rPr>
            </w:pPr>
          </w:p>
        </w:tc>
        <w:tc>
          <w:tcPr>
            <w:tcW w:w="180" w:type="dxa"/>
            <w:vAlign w:val="bottom"/>
            <w:tcBorders>
              <w:top w:val="single" w:sz="8" w:color="auto"/>
              <w:right w:val="single" w:sz="8" w:color="auto"/>
            </w:tcBorders>
            <w:shd w:val="clear" w:color="auto" w:fill="33CCCC"/>
          </w:tcPr>
          <w:p>
            <w:pPr>
              <w:spacing w:after="0"/>
              <w:rPr>
                <w:sz w:val="16"/>
                <w:szCs w:val="16"/>
                <w:color w:val="auto"/>
              </w:rPr>
            </w:pPr>
          </w:p>
        </w:tc>
        <w:tc>
          <w:tcPr>
            <w:tcW w:w="260" w:type="dxa"/>
            <w:vAlign w:val="bottom"/>
            <w:tcBorders>
              <w:top w:val="single" w:sz="8" w:color="auto"/>
              <w:right w:val="single" w:sz="8" w:color="33CCCC"/>
            </w:tcBorders>
            <w:shd w:val="clear" w:color="auto" w:fill="33CCCC"/>
          </w:tcPr>
          <w:p>
            <w:pPr>
              <w:spacing w:after="0"/>
              <w:rPr>
                <w:sz w:val="16"/>
                <w:szCs w:val="16"/>
                <w:color w:val="auto"/>
              </w:rPr>
            </w:pPr>
          </w:p>
        </w:tc>
        <w:tc>
          <w:tcPr>
            <w:tcW w:w="400" w:type="dxa"/>
            <w:vAlign w:val="bottom"/>
            <w:tcBorders>
              <w:top w:val="single" w:sz="8" w:color="auto"/>
            </w:tcBorders>
            <w:shd w:val="clear" w:color="auto" w:fill="33CCCC"/>
          </w:tcPr>
          <w:p>
            <w:pPr>
              <w:spacing w:after="0"/>
              <w:rPr>
                <w:sz w:val="16"/>
                <w:szCs w:val="16"/>
                <w:color w:val="auto"/>
              </w:rPr>
            </w:pPr>
          </w:p>
        </w:tc>
        <w:tc>
          <w:tcPr>
            <w:tcW w:w="660" w:type="dxa"/>
            <w:vAlign w:val="bottom"/>
            <w:tcBorders>
              <w:top w:val="single" w:sz="8" w:color="auto"/>
            </w:tcBorders>
            <w:gridSpan w:val="2"/>
            <w:shd w:val="clear" w:color="auto" w:fill="33CCCC"/>
          </w:tcPr>
          <w:p>
            <w:pPr>
              <w:jc w:val="right"/>
              <w:ind w:right="159"/>
              <w:spacing w:after="0"/>
              <w:rPr>
                <w:sz w:val="20"/>
                <w:szCs w:val="20"/>
                <w:color w:val="auto"/>
              </w:rPr>
            </w:pPr>
            <w:r>
              <w:rPr>
                <w:rFonts w:ascii="Arial" w:cs="Arial" w:eastAsia="Arial" w:hAnsi="Arial"/>
                <w:sz w:val="16"/>
                <w:szCs w:val="16"/>
                <w:b w:val="1"/>
                <w:bCs w:val="1"/>
                <w:color w:val="FFFFFF"/>
              </w:rPr>
              <w:t>1Q22</w:t>
            </w:r>
          </w:p>
        </w:tc>
        <w:tc>
          <w:tcPr>
            <w:tcW w:w="460" w:type="dxa"/>
            <w:vAlign w:val="bottom"/>
            <w:tcBorders>
              <w:top w:val="single" w:sz="8" w:color="auto"/>
              <w:right w:val="single" w:sz="8" w:color="auto"/>
            </w:tcBorders>
            <w:shd w:val="clear" w:color="auto" w:fill="33CCCC"/>
          </w:tcPr>
          <w:p>
            <w:pPr>
              <w:spacing w:after="0"/>
              <w:rPr>
                <w:sz w:val="16"/>
                <w:szCs w:val="16"/>
                <w:color w:val="auto"/>
              </w:rPr>
            </w:pPr>
          </w:p>
        </w:tc>
        <w:tc>
          <w:tcPr>
            <w:tcW w:w="360" w:type="dxa"/>
            <w:vAlign w:val="bottom"/>
            <w:tcBorders>
              <w:top w:val="single" w:sz="8" w:color="646464"/>
              <w:right w:val="single" w:sz="8" w:color="33CCCC"/>
            </w:tcBorders>
            <w:shd w:val="clear" w:color="auto" w:fill="33CCCC"/>
          </w:tcPr>
          <w:p>
            <w:pPr>
              <w:spacing w:after="0"/>
              <w:rPr>
                <w:sz w:val="16"/>
                <w:szCs w:val="16"/>
                <w:color w:val="auto"/>
              </w:rPr>
            </w:pPr>
          </w:p>
        </w:tc>
        <w:tc>
          <w:tcPr>
            <w:tcW w:w="280" w:type="dxa"/>
            <w:vAlign w:val="bottom"/>
            <w:tcBorders>
              <w:top w:val="single" w:sz="8" w:color="646464"/>
            </w:tcBorders>
            <w:shd w:val="clear" w:color="auto" w:fill="33CCCC"/>
          </w:tcPr>
          <w:p>
            <w:pPr>
              <w:spacing w:after="0"/>
              <w:rPr>
                <w:sz w:val="16"/>
                <w:szCs w:val="16"/>
                <w:color w:val="auto"/>
              </w:rPr>
            </w:pPr>
          </w:p>
        </w:tc>
        <w:tc>
          <w:tcPr>
            <w:tcW w:w="600" w:type="dxa"/>
            <w:vAlign w:val="bottom"/>
            <w:tcBorders>
              <w:top w:val="single" w:sz="8" w:color="646464"/>
            </w:tcBorders>
            <w:shd w:val="clear" w:color="auto" w:fill="33CCCC"/>
          </w:tcPr>
          <w:p>
            <w:pPr>
              <w:jc w:val="right"/>
              <w:ind w:right="119"/>
              <w:spacing w:after="0"/>
              <w:rPr>
                <w:sz w:val="20"/>
                <w:szCs w:val="20"/>
                <w:color w:val="auto"/>
              </w:rPr>
            </w:pPr>
            <w:r>
              <w:rPr>
                <w:rFonts w:ascii="Arial" w:cs="Arial" w:eastAsia="Arial" w:hAnsi="Arial"/>
                <w:sz w:val="16"/>
                <w:szCs w:val="16"/>
                <w:b w:val="1"/>
                <w:bCs w:val="1"/>
                <w:color w:val="FFFFFF"/>
                <w:w w:val="96"/>
              </w:rPr>
              <w:t>2Q22</w:t>
            </w:r>
          </w:p>
        </w:tc>
        <w:tc>
          <w:tcPr>
            <w:tcW w:w="480" w:type="dxa"/>
            <w:vAlign w:val="bottom"/>
            <w:tcBorders>
              <w:top w:val="single" w:sz="8" w:color="646464"/>
              <w:right w:val="single" w:sz="8" w:color="auto"/>
            </w:tcBorders>
            <w:shd w:val="clear" w:color="auto" w:fill="33CCCC"/>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 w:type="dxa"/>
            <w:vAlign w:val="bottom"/>
            <w:tcBorders>
              <w:top w:val="single" w:sz="8" w:color="auto"/>
              <w:right w:val="single" w:sz="8" w:color="33CCCC"/>
            </w:tcBorders>
            <w:shd w:val="clear" w:color="auto" w:fill="33CCCC"/>
          </w:tcPr>
          <w:p>
            <w:pPr>
              <w:spacing w:after="0"/>
              <w:rPr>
                <w:sz w:val="16"/>
                <w:szCs w:val="16"/>
                <w:color w:val="auto"/>
              </w:rPr>
            </w:pPr>
          </w:p>
        </w:tc>
        <w:tc>
          <w:tcPr>
            <w:tcW w:w="60" w:type="dxa"/>
            <w:vAlign w:val="bottom"/>
            <w:tcBorders>
              <w:top w:val="single" w:sz="8" w:color="auto"/>
              <w:right w:val="single" w:sz="8" w:color="33CCCC"/>
            </w:tcBorders>
            <w:shd w:val="clear" w:color="auto" w:fill="33CCCC"/>
          </w:tcPr>
          <w:p>
            <w:pPr>
              <w:spacing w:after="0"/>
              <w:rPr>
                <w:sz w:val="16"/>
                <w:szCs w:val="16"/>
                <w:color w:val="auto"/>
              </w:rPr>
            </w:pPr>
          </w:p>
        </w:tc>
        <w:tc>
          <w:tcPr>
            <w:tcW w:w="1060" w:type="dxa"/>
            <w:vAlign w:val="bottom"/>
            <w:tcBorders>
              <w:top w:val="single" w:sz="8" w:color="auto"/>
            </w:tcBorders>
            <w:gridSpan w:val="4"/>
            <w:shd w:val="clear" w:color="auto" w:fill="33CCCC"/>
          </w:tcPr>
          <w:p>
            <w:pPr>
              <w:jc w:val="right"/>
              <w:ind w:right="199"/>
              <w:spacing w:after="0"/>
              <w:rPr>
                <w:sz w:val="20"/>
                <w:szCs w:val="20"/>
                <w:color w:val="auto"/>
              </w:rPr>
            </w:pPr>
            <w:r>
              <w:rPr>
                <w:rFonts w:ascii="Arial" w:cs="Arial" w:eastAsia="Arial" w:hAnsi="Arial"/>
                <w:sz w:val="16"/>
                <w:szCs w:val="16"/>
                <w:b w:val="1"/>
                <w:bCs w:val="1"/>
                <w:color w:val="FFFFFF"/>
              </w:rPr>
              <w:t>Jun 21</w:t>
            </w:r>
          </w:p>
        </w:tc>
        <w:tc>
          <w:tcPr>
            <w:tcW w:w="340" w:type="dxa"/>
            <w:vAlign w:val="bottom"/>
            <w:tcBorders>
              <w:top w:val="single" w:sz="8" w:color="auto"/>
            </w:tcBorders>
            <w:shd w:val="clear" w:color="auto" w:fill="33CCCC"/>
          </w:tcPr>
          <w:p>
            <w:pPr>
              <w:spacing w:after="0"/>
              <w:rPr>
                <w:sz w:val="16"/>
                <w:szCs w:val="16"/>
                <w:color w:val="auto"/>
              </w:rPr>
            </w:pPr>
          </w:p>
        </w:tc>
        <w:tc>
          <w:tcPr>
            <w:tcW w:w="120" w:type="dxa"/>
            <w:vAlign w:val="bottom"/>
            <w:tcBorders>
              <w:top w:val="single" w:sz="8" w:color="auto"/>
              <w:right w:val="single" w:sz="8" w:color="auto"/>
            </w:tcBorders>
            <w:shd w:val="clear" w:color="auto" w:fill="33CCCC"/>
          </w:tcPr>
          <w:p>
            <w:pPr>
              <w:spacing w:after="0"/>
              <w:rPr>
                <w:sz w:val="16"/>
                <w:szCs w:val="16"/>
                <w:color w:val="auto"/>
              </w:rPr>
            </w:pPr>
          </w:p>
        </w:tc>
        <w:tc>
          <w:tcPr>
            <w:tcW w:w="320" w:type="dxa"/>
            <w:vAlign w:val="bottom"/>
            <w:tcBorders>
              <w:top w:val="single" w:sz="8" w:color="auto"/>
              <w:right w:val="single" w:sz="8" w:color="33CCCC"/>
            </w:tcBorders>
            <w:shd w:val="clear" w:color="auto" w:fill="33CCCC"/>
          </w:tcPr>
          <w:p>
            <w:pPr>
              <w:spacing w:after="0"/>
              <w:rPr>
                <w:sz w:val="16"/>
                <w:szCs w:val="16"/>
                <w:color w:val="auto"/>
              </w:rPr>
            </w:pPr>
          </w:p>
        </w:tc>
        <w:tc>
          <w:tcPr>
            <w:tcW w:w="1300" w:type="dxa"/>
            <w:vAlign w:val="bottom"/>
            <w:tcBorders>
              <w:top w:val="single" w:sz="8" w:color="auto"/>
            </w:tcBorders>
            <w:gridSpan w:val="2"/>
            <w:shd w:val="clear" w:color="auto" w:fill="33CCCC"/>
          </w:tcPr>
          <w:p>
            <w:pPr>
              <w:jc w:val="right"/>
              <w:ind w:right="279"/>
              <w:spacing w:after="0"/>
              <w:rPr>
                <w:sz w:val="20"/>
                <w:szCs w:val="20"/>
                <w:color w:val="auto"/>
              </w:rPr>
            </w:pPr>
            <w:r>
              <w:rPr>
                <w:rFonts w:ascii="Arial" w:cs="Arial" w:eastAsia="Arial" w:hAnsi="Arial"/>
                <w:sz w:val="16"/>
                <w:szCs w:val="16"/>
                <w:b w:val="1"/>
                <w:bCs w:val="1"/>
                <w:color w:val="FFFFFF"/>
              </w:rPr>
              <w:t>Jun 22</w:t>
            </w:r>
          </w:p>
        </w:tc>
        <w:tc>
          <w:tcPr>
            <w:tcW w:w="400" w:type="dxa"/>
            <w:vAlign w:val="bottom"/>
            <w:tcBorders>
              <w:top w:val="single" w:sz="8" w:color="auto"/>
              <w:right w:val="single" w:sz="8" w:color="auto"/>
            </w:tcBorders>
            <w:shd w:val="clear" w:color="auto" w:fill="33CCCC"/>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820" w:type="dxa"/>
            <w:vAlign w:val="bottom"/>
            <w:tcBorders>
              <w:left w:val="single" w:sz="8" w:color="auto"/>
              <w:right w:val="single" w:sz="8" w:color="auto"/>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millions</w:t>
            </w:r>
          </w:p>
        </w:tc>
        <w:tc>
          <w:tcPr>
            <w:tcW w:w="740" w:type="dxa"/>
            <w:vAlign w:val="bottom"/>
            <w:gridSpan w:val="2"/>
            <w:shd w:val="clear" w:color="auto" w:fill="33CCCC"/>
          </w:tcPr>
          <w:p>
            <w:pPr>
              <w:ind w:left="60"/>
              <w:spacing w:after="0" w:line="183" w:lineRule="exact"/>
              <w:rPr>
                <w:sz w:val="20"/>
                <w:szCs w:val="20"/>
                <w:color w:val="auto"/>
              </w:rPr>
            </w:pPr>
            <w:r>
              <w:rPr>
                <w:rFonts w:ascii="Arial" w:cs="Arial" w:eastAsia="Arial" w:hAnsi="Arial"/>
                <w:sz w:val="16"/>
                <w:szCs w:val="16"/>
                <w:b w:val="1"/>
                <w:bCs w:val="1"/>
                <w:color w:val="FFFFFF"/>
              </w:rPr>
              <w:t>Average</w:t>
            </w:r>
          </w:p>
        </w:tc>
        <w:tc>
          <w:tcPr>
            <w:tcW w:w="80" w:type="dxa"/>
            <w:vAlign w:val="bottom"/>
            <w:shd w:val="clear" w:color="auto" w:fill="33CCCC"/>
          </w:tcPr>
          <w:p>
            <w:pPr>
              <w:spacing w:after="0"/>
              <w:rPr>
                <w:sz w:val="15"/>
                <w:szCs w:val="15"/>
                <w:color w:val="auto"/>
              </w:rPr>
            </w:pPr>
          </w:p>
        </w:tc>
        <w:tc>
          <w:tcPr>
            <w:tcW w:w="120" w:type="dxa"/>
            <w:vAlign w:val="bottom"/>
            <w:shd w:val="clear" w:color="auto" w:fill="33CCCC"/>
          </w:tcPr>
          <w:p>
            <w:pPr>
              <w:spacing w:after="0"/>
              <w:rPr>
                <w:sz w:val="15"/>
                <w:szCs w:val="15"/>
                <w:color w:val="auto"/>
              </w:rPr>
            </w:pPr>
          </w:p>
        </w:tc>
        <w:tc>
          <w:tcPr>
            <w:tcW w:w="460" w:type="dxa"/>
            <w:vAlign w:val="bottom"/>
            <w:shd w:val="clear" w:color="auto" w:fill="33CCCC"/>
          </w:tcPr>
          <w:p>
            <w:pPr>
              <w:spacing w:after="0"/>
              <w:rPr>
                <w:sz w:val="15"/>
                <w:szCs w:val="15"/>
                <w:color w:val="auto"/>
              </w:rPr>
            </w:pPr>
          </w:p>
        </w:tc>
        <w:tc>
          <w:tcPr>
            <w:tcW w:w="260" w:type="dxa"/>
            <w:vAlign w:val="bottom"/>
            <w:shd w:val="clear" w:color="auto" w:fill="33CCCC"/>
          </w:tcPr>
          <w:p>
            <w:pPr>
              <w:spacing w:after="0"/>
              <w:rPr>
                <w:sz w:val="15"/>
                <w:szCs w:val="15"/>
                <w:color w:val="auto"/>
              </w:rPr>
            </w:pPr>
          </w:p>
        </w:tc>
        <w:tc>
          <w:tcPr>
            <w:tcW w:w="180" w:type="dxa"/>
            <w:vAlign w:val="bottom"/>
            <w:tcBorders>
              <w:right w:val="single" w:sz="8" w:color="auto"/>
            </w:tcBorders>
            <w:shd w:val="clear" w:color="auto" w:fill="33CCCC"/>
          </w:tcPr>
          <w:p>
            <w:pPr>
              <w:spacing w:after="0"/>
              <w:rPr>
                <w:sz w:val="15"/>
                <w:szCs w:val="15"/>
                <w:color w:val="auto"/>
              </w:rPr>
            </w:pPr>
          </w:p>
        </w:tc>
        <w:tc>
          <w:tcPr>
            <w:tcW w:w="660" w:type="dxa"/>
            <w:vAlign w:val="bottom"/>
            <w:gridSpan w:val="2"/>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Average</w:t>
            </w:r>
          </w:p>
        </w:tc>
        <w:tc>
          <w:tcPr>
            <w:tcW w:w="320" w:type="dxa"/>
            <w:vAlign w:val="bottom"/>
            <w:shd w:val="clear" w:color="auto" w:fill="33CCCC"/>
          </w:tcPr>
          <w:p>
            <w:pPr>
              <w:spacing w:after="0"/>
              <w:rPr>
                <w:sz w:val="15"/>
                <w:szCs w:val="15"/>
                <w:color w:val="auto"/>
              </w:rPr>
            </w:pPr>
          </w:p>
        </w:tc>
        <w:tc>
          <w:tcPr>
            <w:tcW w:w="340" w:type="dxa"/>
            <w:vAlign w:val="bottom"/>
            <w:shd w:val="clear" w:color="auto" w:fill="33CCCC"/>
          </w:tcPr>
          <w:p>
            <w:pPr>
              <w:spacing w:after="0"/>
              <w:rPr>
                <w:sz w:val="15"/>
                <w:szCs w:val="15"/>
                <w:color w:val="auto"/>
              </w:rPr>
            </w:pPr>
          </w:p>
        </w:tc>
        <w:tc>
          <w:tcPr>
            <w:tcW w:w="460" w:type="dxa"/>
            <w:vAlign w:val="bottom"/>
            <w:tcBorders>
              <w:right w:val="single" w:sz="8" w:color="auto"/>
            </w:tcBorders>
            <w:shd w:val="clear" w:color="auto" w:fill="33CCCC"/>
          </w:tcPr>
          <w:p>
            <w:pPr>
              <w:spacing w:after="0"/>
              <w:rPr>
                <w:sz w:val="15"/>
                <w:szCs w:val="15"/>
                <w:color w:val="auto"/>
              </w:rPr>
            </w:pPr>
          </w:p>
        </w:tc>
        <w:tc>
          <w:tcPr>
            <w:tcW w:w="640" w:type="dxa"/>
            <w:vAlign w:val="bottom"/>
            <w:gridSpan w:val="2"/>
            <w:shd w:val="clear" w:color="auto" w:fill="33CCCC"/>
          </w:tcPr>
          <w:p>
            <w:pPr>
              <w:spacing w:after="0" w:line="183" w:lineRule="exact"/>
              <w:rPr>
                <w:sz w:val="20"/>
                <w:szCs w:val="20"/>
                <w:color w:val="auto"/>
              </w:rPr>
            </w:pPr>
            <w:r>
              <w:rPr>
                <w:rFonts w:ascii="Arial" w:cs="Arial" w:eastAsia="Arial" w:hAnsi="Arial"/>
                <w:sz w:val="16"/>
                <w:szCs w:val="16"/>
                <w:b w:val="1"/>
                <w:bCs w:val="1"/>
                <w:color w:val="FFFFFF"/>
                <w:w w:val="98"/>
              </w:rPr>
              <w:t>Average</w:t>
            </w:r>
          </w:p>
        </w:tc>
        <w:tc>
          <w:tcPr>
            <w:tcW w:w="600" w:type="dxa"/>
            <w:vAlign w:val="bottom"/>
            <w:shd w:val="clear" w:color="auto" w:fill="33CCCC"/>
          </w:tcPr>
          <w:p>
            <w:pPr>
              <w:spacing w:after="0"/>
              <w:rPr>
                <w:sz w:val="15"/>
                <w:szCs w:val="15"/>
                <w:color w:val="auto"/>
              </w:rPr>
            </w:pPr>
          </w:p>
        </w:tc>
        <w:tc>
          <w:tcPr>
            <w:tcW w:w="480" w:type="dxa"/>
            <w:vAlign w:val="bottom"/>
            <w:tcBorders>
              <w:right w:val="single" w:sz="8" w:color="auto"/>
            </w:tcBorders>
            <w:shd w:val="clear" w:color="auto" w:fill="33CCC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0" w:type="dxa"/>
            <w:vAlign w:val="bottom"/>
            <w:gridSpan w:val="3"/>
            <w:shd w:val="clear" w:color="auto" w:fill="33CCCC"/>
          </w:tcPr>
          <w:p>
            <w:pPr>
              <w:jc w:val="right"/>
              <w:ind w:right="39"/>
              <w:spacing w:after="0" w:line="183" w:lineRule="exact"/>
              <w:rPr>
                <w:sz w:val="20"/>
                <w:szCs w:val="20"/>
                <w:color w:val="auto"/>
              </w:rPr>
            </w:pPr>
            <w:r>
              <w:rPr>
                <w:rFonts w:ascii="Arial" w:cs="Arial" w:eastAsia="Arial" w:hAnsi="Arial"/>
                <w:sz w:val="16"/>
                <w:szCs w:val="16"/>
                <w:b w:val="1"/>
                <w:bCs w:val="1"/>
                <w:color w:val="FFFFFF"/>
              </w:rPr>
              <w:t>Average</w:t>
            </w:r>
          </w:p>
        </w:tc>
        <w:tc>
          <w:tcPr>
            <w:tcW w:w="320" w:type="dxa"/>
            <w:vAlign w:val="bottom"/>
            <w:shd w:val="clear" w:color="auto" w:fill="33CCCC"/>
          </w:tcPr>
          <w:p>
            <w:pPr>
              <w:spacing w:after="0"/>
              <w:rPr>
                <w:sz w:val="15"/>
                <w:szCs w:val="15"/>
                <w:color w:val="auto"/>
              </w:rPr>
            </w:pPr>
          </w:p>
        </w:tc>
        <w:tc>
          <w:tcPr>
            <w:tcW w:w="60" w:type="dxa"/>
            <w:vAlign w:val="bottom"/>
            <w:shd w:val="clear" w:color="auto" w:fill="33CCCC"/>
          </w:tcPr>
          <w:p>
            <w:pPr>
              <w:spacing w:after="0"/>
              <w:rPr>
                <w:sz w:val="15"/>
                <w:szCs w:val="15"/>
                <w:color w:val="auto"/>
              </w:rPr>
            </w:pPr>
          </w:p>
        </w:tc>
        <w:tc>
          <w:tcPr>
            <w:tcW w:w="340" w:type="dxa"/>
            <w:vAlign w:val="bottom"/>
            <w:shd w:val="clear" w:color="auto" w:fill="33CCCC"/>
          </w:tcPr>
          <w:p>
            <w:pPr>
              <w:spacing w:after="0"/>
              <w:rPr>
                <w:sz w:val="15"/>
                <w:szCs w:val="15"/>
                <w:color w:val="auto"/>
              </w:rPr>
            </w:pPr>
          </w:p>
        </w:tc>
        <w:tc>
          <w:tcPr>
            <w:tcW w:w="340" w:type="dxa"/>
            <w:vAlign w:val="bottom"/>
            <w:shd w:val="clear" w:color="auto" w:fill="33CCCC"/>
          </w:tcPr>
          <w:p>
            <w:pPr>
              <w:spacing w:after="0"/>
              <w:rPr>
                <w:sz w:val="15"/>
                <w:szCs w:val="15"/>
                <w:color w:val="auto"/>
              </w:rPr>
            </w:pPr>
          </w:p>
        </w:tc>
        <w:tc>
          <w:tcPr>
            <w:tcW w:w="120" w:type="dxa"/>
            <w:vAlign w:val="bottom"/>
            <w:tcBorders>
              <w:right w:val="single" w:sz="8" w:color="auto"/>
            </w:tcBorders>
            <w:shd w:val="clear" w:color="auto" w:fill="33CCCC"/>
          </w:tcPr>
          <w:p>
            <w:pPr>
              <w:spacing w:after="0"/>
              <w:rPr>
                <w:sz w:val="15"/>
                <w:szCs w:val="15"/>
                <w:color w:val="auto"/>
              </w:rPr>
            </w:pPr>
          </w:p>
        </w:tc>
        <w:tc>
          <w:tcPr>
            <w:tcW w:w="1000" w:type="dxa"/>
            <w:vAlign w:val="bottom"/>
            <w:gridSpan w:val="2"/>
            <w:shd w:val="clear" w:color="auto" w:fill="33CCCC"/>
          </w:tcPr>
          <w:p>
            <w:pPr>
              <w:jc w:val="right"/>
              <w:ind w:right="219"/>
              <w:spacing w:after="0" w:line="183" w:lineRule="exact"/>
              <w:rPr>
                <w:sz w:val="20"/>
                <w:szCs w:val="20"/>
                <w:color w:val="auto"/>
              </w:rPr>
            </w:pPr>
            <w:r>
              <w:rPr>
                <w:rFonts w:ascii="Arial" w:cs="Arial" w:eastAsia="Arial" w:hAnsi="Arial"/>
                <w:sz w:val="16"/>
                <w:szCs w:val="16"/>
                <w:b w:val="1"/>
                <w:bCs w:val="1"/>
                <w:color w:val="FFFFFF"/>
              </w:rPr>
              <w:t>Average</w:t>
            </w:r>
          </w:p>
        </w:tc>
        <w:tc>
          <w:tcPr>
            <w:tcW w:w="620" w:type="dxa"/>
            <w:vAlign w:val="bottom"/>
            <w:shd w:val="clear" w:color="auto" w:fill="33CCCC"/>
          </w:tcPr>
          <w:p>
            <w:pPr>
              <w:spacing w:after="0"/>
              <w:rPr>
                <w:sz w:val="15"/>
                <w:szCs w:val="15"/>
                <w:color w:val="auto"/>
              </w:rPr>
            </w:pPr>
          </w:p>
        </w:tc>
        <w:tc>
          <w:tcPr>
            <w:tcW w:w="400" w:type="dxa"/>
            <w:vAlign w:val="bottom"/>
            <w:tcBorders>
              <w:right w:val="single" w:sz="8" w:color="auto"/>
            </w:tcBorders>
            <w:shd w:val="clear" w:color="auto" w:fill="33CCCC"/>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1820" w:type="dxa"/>
            <w:vAlign w:val="bottom"/>
            <w:tcBorders>
              <w:left w:val="single" w:sz="8" w:color="auto"/>
              <w:right w:val="single" w:sz="8" w:color="auto"/>
            </w:tcBorders>
            <w:shd w:val="clear" w:color="auto" w:fill="33CCCC"/>
          </w:tcPr>
          <w:p>
            <w:pPr>
              <w:spacing w:after="0"/>
              <w:rPr>
                <w:sz w:val="17"/>
                <w:szCs w:val="17"/>
                <w:color w:val="auto"/>
              </w:rPr>
            </w:pPr>
          </w:p>
        </w:tc>
        <w:tc>
          <w:tcPr>
            <w:tcW w:w="740" w:type="dxa"/>
            <w:vAlign w:val="bottom"/>
            <w:gridSpan w:val="2"/>
            <w:shd w:val="clear" w:color="auto" w:fill="33CCCC"/>
          </w:tcPr>
          <w:p>
            <w:pPr>
              <w:ind w:left="60"/>
              <w:spacing w:after="0"/>
              <w:rPr>
                <w:sz w:val="20"/>
                <w:szCs w:val="20"/>
                <w:color w:val="auto"/>
              </w:rPr>
            </w:pPr>
            <w:r>
              <w:rPr>
                <w:rFonts w:ascii="Arial" w:cs="Arial" w:eastAsia="Arial" w:hAnsi="Arial"/>
                <w:sz w:val="16"/>
                <w:szCs w:val="16"/>
                <w:b w:val="1"/>
                <w:bCs w:val="1"/>
                <w:color w:val="FFFFFF"/>
              </w:rPr>
              <w:t>Balance</w:t>
            </w:r>
          </w:p>
        </w:tc>
        <w:tc>
          <w:tcPr>
            <w:tcW w:w="1100" w:type="dxa"/>
            <w:vAlign w:val="bottom"/>
            <w:tcBorders>
              <w:right w:val="single" w:sz="8" w:color="auto"/>
            </w:tcBorders>
            <w:gridSpan w:val="5"/>
            <w:shd w:val="clear" w:color="auto" w:fill="33CCCC"/>
          </w:tcPr>
          <w:p>
            <w:pPr>
              <w:jc w:val="right"/>
              <w:spacing w:after="0"/>
              <w:rPr>
                <w:sz w:val="20"/>
                <w:szCs w:val="20"/>
                <w:color w:val="auto"/>
              </w:rPr>
            </w:pPr>
            <w:r>
              <w:rPr>
                <w:rFonts w:ascii="Arial" w:cs="Arial" w:eastAsia="Arial" w:hAnsi="Arial"/>
                <w:sz w:val="16"/>
                <w:szCs w:val="16"/>
                <w:b w:val="1"/>
                <w:bCs w:val="1"/>
                <w:color w:val="FFFFFF"/>
                <w:shd w:val="clear" w:color="auto" w:fill="33CCCC"/>
              </w:rPr>
              <w:t>IncomeYields</w:t>
            </w:r>
          </w:p>
        </w:tc>
        <w:tc>
          <w:tcPr>
            <w:tcW w:w="1780" w:type="dxa"/>
            <w:vAlign w:val="bottom"/>
            <w:tcBorders>
              <w:right w:val="single" w:sz="8" w:color="auto"/>
            </w:tcBorders>
            <w:gridSpan w:val="5"/>
            <w:shd w:val="clear" w:color="auto" w:fill="33CCCC"/>
          </w:tcPr>
          <w:p>
            <w:pPr>
              <w:ind w:left="20"/>
              <w:spacing w:after="0"/>
              <w:rPr>
                <w:sz w:val="20"/>
                <w:szCs w:val="20"/>
                <w:color w:val="auto"/>
              </w:rPr>
            </w:pPr>
            <w:r>
              <w:rPr>
                <w:rFonts w:ascii="Arial" w:cs="Arial" w:eastAsia="Arial" w:hAnsi="Arial"/>
                <w:sz w:val="16"/>
                <w:szCs w:val="16"/>
                <w:b w:val="1"/>
                <w:bCs w:val="1"/>
                <w:color w:val="FFFFFF"/>
                <w:w w:val="99"/>
                <w:shd w:val="clear" w:color="auto" w:fill="33CCCC"/>
              </w:rPr>
              <w:t>Balance Income Yields</w:t>
            </w:r>
          </w:p>
        </w:tc>
        <w:tc>
          <w:tcPr>
            <w:tcW w:w="1720" w:type="dxa"/>
            <w:vAlign w:val="bottom"/>
            <w:tcBorders>
              <w:right w:val="single" w:sz="8" w:color="auto"/>
            </w:tcBorders>
            <w:gridSpan w:val="4"/>
            <w:shd w:val="clear" w:color="auto" w:fill="33CCCC"/>
          </w:tcPr>
          <w:p>
            <w:pPr>
              <w:spacing w:after="0"/>
              <w:rPr>
                <w:sz w:val="20"/>
                <w:szCs w:val="20"/>
                <w:color w:val="auto"/>
              </w:rPr>
            </w:pPr>
            <w:r>
              <w:rPr>
                <w:rFonts w:ascii="Arial" w:cs="Arial" w:eastAsia="Arial" w:hAnsi="Arial"/>
                <w:sz w:val="16"/>
                <w:szCs w:val="16"/>
                <w:b w:val="1"/>
                <w:bCs w:val="1"/>
                <w:color w:val="FFFFFF"/>
                <w:w w:val="99"/>
                <w:shd w:val="clear" w:color="auto" w:fill="33CCCC"/>
              </w:rPr>
              <w:t>Balance IncomeYields</w:t>
            </w:r>
          </w:p>
        </w:tc>
        <w:tc>
          <w:tcPr>
            <w:tcW w:w="100" w:type="dxa"/>
            <w:vAlign w:val="bottom"/>
            <w:tcBorders>
              <w:right w:val="single" w:sz="8" w:color="auto"/>
            </w:tcBorders>
          </w:tcPr>
          <w:p>
            <w:pPr>
              <w:spacing w:after="0"/>
              <w:rPr>
                <w:sz w:val="17"/>
                <w:szCs w:val="17"/>
                <w:color w:val="auto"/>
              </w:rPr>
            </w:pPr>
          </w:p>
        </w:tc>
        <w:tc>
          <w:tcPr>
            <w:tcW w:w="800" w:type="dxa"/>
            <w:vAlign w:val="bottom"/>
            <w:gridSpan w:val="3"/>
            <w:shd w:val="clear" w:color="auto" w:fill="33CCCC"/>
          </w:tcPr>
          <w:p>
            <w:pPr>
              <w:jc w:val="right"/>
              <w:ind w:right="39"/>
              <w:spacing w:after="0"/>
              <w:rPr>
                <w:sz w:val="20"/>
                <w:szCs w:val="20"/>
                <w:color w:val="auto"/>
              </w:rPr>
            </w:pPr>
            <w:r>
              <w:rPr>
                <w:rFonts w:ascii="Arial" w:cs="Arial" w:eastAsia="Arial" w:hAnsi="Arial"/>
                <w:sz w:val="16"/>
                <w:szCs w:val="16"/>
                <w:b w:val="1"/>
                <w:bCs w:val="1"/>
                <w:color w:val="FFFFFF"/>
              </w:rPr>
              <w:t>Balance</w:t>
            </w:r>
          </w:p>
        </w:tc>
        <w:tc>
          <w:tcPr>
            <w:tcW w:w="1180" w:type="dxa"/>
            <w:vAlign w:val="bottom"/>
            <w:tcBorders>
              <w:right w:val="single" w:sz="8" w:color="auto"/>
            </w:tcBorders>
            <w:gridSpan w:val="5"/>
            <w:shd w:val="clear" w:color="auto" w:fill="33CCCC"/>
          </w:tcPr>
          <w:p>
            <w:pPr>
              <w:jc w:val="right"/>
              <w:spacing w:after="0"/>
              <w:rPr>
                <w:sz w:val="20"/>
                <w:szCs w:val="20"/>
                <w:color w:val="auto"/>
              </w:rPr>
            </w:pPr>
            <w:r>
              <w:rPr>
                <w:rFonts w:ascii="Arial" w:cs="Arial" w:eastAsia="Arial" w:hAnsi="Arial"/>
                <w:sz w:val="16"/>
                <w:szCs w:val="16"/>
                <w:b w:val="1"/>
                <w:bCs w:val="1"/>
                <w:color w:val="FFFFFF"/>
              </w:rPr>
              <w:t>Income Yields</w:t>
            </w:r>
          </w:p>
        </w:tc>
        <w:tc>
          <w:tcPr>
            <w:tcW w:w="2020" w:type="dxa"/>
            <w:vAlign w:val="bottom"/>
            <w:tcBorders>
              <w:right w:val="single" w:sz="8" w:color="auto"/>
            </w:tcBorders>
            <w:gridSpan w:val="4"/>
            <w:shd w:val="clear" w:color="auto" w:fill="33CCCC"/>
          </w:tcPr>
          <w:p>
            <w:pPr>
              <w:jc w:val="right"/>
              <w:spacing w:after="0"/>
              <w:rPr>
                <w:sz w:val="20"/>
                <w:szCs w:val="20"/>
                <w:color w:val="auto"/>
              </w:rPr>
            </w:pPr>
            <w:r>
              <w:rPr>
                <w:rFonts w:ascii="Arial" w:cs="Arial" w:eastAsia="Arial" w:hAnsi="Arial"/>
                <w:sz w:val="16"/>
                <w:szCs w:val="16"/>
                <w:b w:val="1"/>
                <w:bCs w:val="1"/>
                <w:color w:val="FFFFFF"/>
              </w:rPr>
              <w:t>Balance  Income Yields</w:t>
            </w:r>
          </w:p>
        </w:tc>
        <w:tc>
          <w:tcPr>
            <w:tcW w:w="100" w:type="dxa"/>
            <w:vAlign w:val="bottom"/>
          </w:tcPr>
          <w:p>
            <w:pPr>
              <w:spacing w:after="0"/>
              <w:rPr>
                <w:sz w:val="17"/>
                <w:szCs w:val="17"/>
                <w:color w:val="auto"/>
              </w:rPr>
            </w:pPr>
          </w:p>
        </w:tc>
      </w:tr>
      <w:tr>
        <w:trPr>
          <w:trHeight w:val="166"/>
        </w:trPr>
        <w:tc>
          <w:tcPr>
            <w:tcW w:w="1820" w:type="dxa"/>
            <w:vAlign w:val="bottom"/>
            <w:tcBorders>
              <w:left w:val="single" w:sz="8" w:color="auto"/>
              <w:right w:val="single" w:sz="8" w:color="auto"/>
            </w:tcBorders>
          </w:tcPr>
          <w:p>
            <w:pPr>
              <w:spacing w:after="0" w:line="166" w:lineRule="exact"/>
              <w:rPr>
                <w:sz w:val="20"/>
                <w:szCs w:val="20"/>
                <w:color w:val="auto"/>
              </w:rPr>
            </w:pPr>
            <w:r>
              <w:rPr>
                <w:rFonts w:ascii="Arial" w:cs="Arial" w:eastAsia="Arial" w:hAnsi="Arial"/>
                <w:sz w:val="16"/>
                <w:szCs w:val="16"/>
                <w:color w:val="auto"/>
              </w:rPr>
              <w:t>Cash and equivalents</w:t>
            </w:r>
          </w:p>
        </w:tc>
        <w:tc>
          <w:tcPr>
            <w:tcW w:w="74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30,485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6</w:t>
            </w:r>
          </w:p>
        </w:tc>
        <w:tc>
          <w:tcPr>
            <w:tcW w:w="440" w:type="dxa"/>
            <w:vAlign w:val="bottom"/>
            <w:tcBorders>
              <w:right w:val="single" w:sz="8" w:color="auto"/>
            </w:tcBorders>
            <w:gridSpan w:val="2"/>
          </w:tcPr>
          <w:p>
            <w:pPr>
              <w:jc w:val="right"/>
              <w:spacing w:after="0" w:line="166" w:lineRule="exact"/>
              <w:rPr>
                <w:sz w:val="20"/>
                <w:szCs w:val="20"/>
                <w:color w:val="auto"/>
              </w:rPr>
            </w:pPr>
            <w:r>
              <w:rPr>
                <w:rFonts w:ascii="Arial" w:cs="Arial" w:eastAsia="Arial" w:hAnsi="Arial"/>
                <w:sz w:val="16"/>
                <w:szCs w:val="16"/>
                <w:color w:val="auto"/>
              </w:rPr>
              <w:t>0.1%</w:t>
            </w:r>
          </w:p>
        </w:tc>
        <w:tc>
          <w:tcPr>
            <w:tcW w:w="66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30,979</w:t>
            </w:r>
          </w:p>
        </w:tc>
        <w:tc>
          <w:tcPr>
            <w:tcW w:w="320" w:type="dxa"/>
            <w:vAlign w:val="bottom"/>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35</w:t>
            </w:r>
          </w:p>
        </w:tc>
        <w:tc>
          <w:tcPr>
            <w:tcW w:w="460" w:type="dxa"/>
            <w:vAlign w:val="bottom"/>
            <w:tcBorders>
              <w:right w:val="single" w:sz="8" w:color="auto"/>
            </w:tcBorders>
          </w:tcPr>
          <w:p>
            <w:pPr>
              <w:ind w:left="60"/>
              <w:spacing w:after="0" w:line="166" w:lineRule="exact"/>
              <w:rPr>
                <w:sz w:val="20"/>
                <w:szCs w:val="20"/>
                <w:color w:val="auto"/>
              </w:rPr>
            </w:pPr>
            <w:r>
              <w:rPr>
                <w:rFonts w:ascii="Arial" w:cs="Arial" w:eastAsia="Arial" w:hAnsi="Arial"/>
                <w:sz w:val="16"/>
                <w:szCs w:val="16"/>
                <w:color w:val="auto"/>
                <w:w w:val="98"/>
              </w:rPr>
              <w:t>0.5%</w:t>
            </w:r>
          </w:p>
        </w:tc>
        <w:tc>
          <w:tcPr>
            <w:tcW w:w="64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26,697</w:t>
            </w:r>
          </w:p>
        </w:tc>
        <w:tc>
          <w:tcPr>
            <w:tcW w:w="600" w:type="dxa"/>
            <w:vAlign w:val="bottom"/>
          </w:tcPr>
          <w:p>
            <w:pPr>
              <w:jc w:val="right"/>
              <w:spacing w:after="0" w:line="166" w:lineRule="exact"/>
              <w:rPr>
                <w:sz w:val="20"/>
                <w:szCs w:val="20"/>
                <w:color w:val="auto"/>
              </w:rPr>
            </w:pPr>
            <w:r>
              <w:rPr>
                <w:rFonts w:ascii="Arial" w:cs="Arial" w:eastAsia="Arial" w:hAnsi="Arial"/>
                <w:sz w:val="16"/>
                <w:szCs w:val="16"/>
                <w:color w:val="auto"/>
              </w:rPr>
              <w:t>48</w:t>
            </w:r>
          </w:p>
        </w:tc>
        <w:tc>
          <w:tcPr>
            <w:tcW w:w="4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8"/>
              </w:rPr>
              <w:t>0.7%</w:t>
            </w:r>
          </w:p>
        </w:tc>
        <w:tc>
          <w:tcPr>
            <w:tcW w:w="100" w:type="dxa"/>
            <w:vAlign w:val="bottom"/>
            <w:tcBorders>
              <w:right w:val="single" w:sz="8" w:color="auto"/>
            </w:tcBorders>
          </w:tcPr>
          <w:p>
            <w:pPr>
              <w:spacing w:after="0"/>
              <w:rPr>
                <w:sz w:val="14"/>
                <w:szCs w:val="14"/>
                <w:color w:val="auto"/>
              </w:rPr>
            </w:pPr>
          </w:p>
        </w:tc>
        <w:tc>
          <w:tcPr>
            <w:tcW w:w="800" w:type="dxa"/>
            <w:vAlign w:val="bottom"/>
            <w:gridSpan w:val="3"/>
          </w:tcPr>
          <w:p>
            <w:pPr>
              <w:jc w:val="right"/>
              <w:spacing w:after="0" w:line="166" w:lineRule="exact"/>
              <w:rPr>
                <w:sz w:val="20"/>
                <w:szCs w:val="20"/>
                <w:color w:val="auto"/>
              </w:rPr>
            </w:pPr>
            <w:r>
              <w:rPr>
                <w:rFonts w:ascii="Arial" w:cs="Arial" w:eastAsia="Arial" w:hAnsi="Arial"/>
                <w:sz w:val="16"/>
                <w:szCs w:val="16"/>
                <w:color w:val="auto"/>
              </w:rPr>
              <w:t>28,826</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460" w:type="dxa"/>
            <w:vAlign w:val="bottom"/>
            <w:tcBorders>
              <w:right w:val="single" w:sz="8" w:color="auto"/>
            </w:tcBorders>
            <w:gridSpan w:val="2"/>
          </w:tcPr>
          <w:p>
            <w:pPr>
              <w:jc w:val="right"/>
              <w:spacing w:after="0" w:line="166" w:lineRule="exact"/>
              <w:rPr>
                <w:sz w:val="20"/>
                <w:szCs w:val="20"/>
                <w:color w:val="auto"/>
              </w:rPr>
            </w:pPr>
            <w:r>
              <w:rPr>
                <w:rFonts w:ascii="Arial" w:cs="Arial" w:eastAsia="Arial" w:hAnsi="Arial"/>
                <w:sz w:val="16"/>
                <w:szCs w:val="16"/>
                <w:color w:val="auto"/>
              </w:rPr>
              <w:t>0.1%</w:t>
            </w:r>
          </w:p>
        </w:tc>
        <w:tc>
          <w:tcPr>
            <w:tcW w:w="320" w:type="dxa"/>
            <w:vAlign w:val="bottom"/>
          </w:tcPr>
          <w:p>
            <w:pPr>
              <w:spacing w:after="0"/>
              <w:rPr>
                <w:sz w:val="14"/>
                <w:szCs w:val="14"/>
                <w:color w:val="auto"/>
              </w:rPr>
            </w:pPr>
          </w:p>
        </w:tc>
        <w:tc>
          <w:tcPr>
            <w:tcW w:w="680" w:type="dxa"/>
            <w:vAlign w:val="bottom"/>
          </w:tcPr>
          <w:p>
            <w:pPr>
              <w:jc w:val="right"/>
              <w:ind w:right="139"/>
              <w:spacing w:after="0" w:line="166" w:lineRule="exact"/>
              <w:rPr>
                <w:sz w:val="20"/>
                <w:szCs w:val="20"/>
                <w:color w:val="auto"/>
              </w:rPr>
            </w:pPr>
            <w:r>
              <w:rPr>
                <w:rFonts w:ascii="Arial" w:cs="Arial" w:eastAsia="Arial" w:hAnsi="Arial"/>
                <w:sz w:val="16"/>
                <w:szCs w:val="16"/>
                <w:color w:val="auto"/>
                <w:w w:val="89"/>
              </w:rPr>
              <w:t>28,113</w:t>
            </w:r>
          </w:p>
        </w:tc>
        <w:tc>
          <w:tcPr>
            <w:tcW w:w="620" w:type="dxa"/>
            <w:vAlign w:val="bottom"/>
          </w:tcPr>
          <w:p>
            <w:pPr>
              <w:jc w:val="right"/>
              <w:ind w:right="19"/>
              <w:spacing w:after="0" w:line="166" w:lineRule="exact"/>
              <w:rPr>
                <w:sz w:val="20"/>
                <w:szCs w:val="20"/>
                <w:color w:val="auto"/>
              </w:rPr>
            </w:pPr>
            <w:r>
              <w:rPr>
                <w:rFonts w:ascii="Arial" w:cs="Arial" w:eastAsia="Arial" w:hAnsi="Arial"/>
                <w:sz w:val="16"/>
                <w:szCs w:val="16"/>
                <w:color w:val="auto"/>
              </w:rPr>
              <w:t>83</w:t>
            </w:r>
          </w:p>
        </w:tc>
        <w:tc>
          <w:tcPr>
            <w:tcW w:w="4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w w:val="98"/>
              </w:rPr>
              <w:t>0.6%</w:t>
            </w:r>
          </w:p>
        </w:tc>
        <w:tc>
          <w:tcPr>
            <w:tcW w:w="100" w:type="dxa"/>
            <w:vAlign w:val="bottom"/>
          </w:tcPr>
          <w:p>
            <w:pPr>
              <w:spacing w:after="0"/>
              <w:rPr>
                <w:sz w:val="14"/>
                <w:szCs w:val="14"/>
                <w:color w:val="auto"/>
              </w:rPr>
            </w:pPr>
          </w:p>
        </w:tc>
      </w:tr>
      <w:tr>
        <w:trPr>
          <w:trHeight w:val="183"/>
        </w:trPr>
        <w:tc>
          <w:tcPr>
            <w:tcW w:w="182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Other IEA</w:t>
            </w:r>
          </w:p>
        </w:tc>
        <w:tc>
          <w:tcPr>
            <w:tcW w:w="8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2,598</w:t>
            </w:r>
          </w:p>
        </w:tc>
        <w:tc>
          <w:tcPr>
            <w:tcW w:w="1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2.4%</w:t>
            </w:r>
          </w:p>
        </w:tc>
        <w:tc>
          <w:tcPr>
            <w:tcW w:w="260" w:type="dxa"/>
            <w:vAlign w:val="bottom"/>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w w:val="94"/>
              </w:rPr>
              <w:t>2,557</w:t>
            </w:r>
          </w:p>
        </w:tc>
        <w:tc>
          <w:tcPr>
            <w:tcW w:w="32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46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6"/>
                <w:szCs w:val="16"/>
                <w:color w:val="auto"/>
                <w:w w:val="98"/>
              </w:rPr>
              <w:t>2.9%</w:t>
            </w:r>
          </w:p>
        </w:tc>
        <w:tc>
          <w:tcPr>
            <w:tcW w:w="6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2,592</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4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2.2%</w:t>
            </w:r>
          </w:p>
        </w:tc>
        <w:tc>
          <w:tcPr>
            <w:tcW w:w="100" w:type="dxa"/>
            <w:vAlign w:val="bottom"/>
            <w:tcBorders>
              <w:right w:val="single" w:sz="8" w:color="auto"/>
            </w:tcBorders>
          </w:tcPr>
          <w:p>
            <w:pPr>
              <w:spacing w:after="0"/>
              <w:rPr>
                <w:sz w:val="15"/>
                <w:szCs w:val="15"/>
                <w:color w:val="auto"/>
              </w:rPr>
            </w:pPr>
          </w:p>
        </w:tc>
        <w:tc>
          <w:tcPr>
            <w:tcW w:w="8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2,878</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46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1.7%</w:t>
            </w:r>
          </w:p>
        </w:tc>
        <w:tc>
          <w:tcPr>
            <w:tcW w:w="320" w:type="dxa"/>
            <w:vAlign w:val="bottom"/>
          </w:tcPr>
          <w:p>
            <w:pPr>
              <w:spacing w:after="0"/>
              <w:rPr>
                <w:sz w:val="15"/>
                <w:szCs w:val="15"/>
                <w:color w:val="auto"/>
              </w:rPr>
            </w:pPr>
          </w:p>
        </w:tc>
        <w:tc>
          <w:tcPr>
            <w:tcW w:w="68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2,777</w:t>
            </w:r>
          </w:p>
        </w:tc>
        <w:tc>
          <w:tcPr>
            <w:tcW w:w="6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33</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5"/>
                <w:szCs w:val="15"/>
                <w:color w:val="auto"/>
              </w:rPr>
            </w:pPr>
          </w:p>
        </w:tc>
      </w:tr>
      <w:tr>
        <w:trPr>
          <w:trHeight w:val="183"/>
        </w:trPr>
        <w:tc>
          <w:tcPr>
            <w:tcW w:w="182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Investments</w:t>
            </w:r>
          </w:p>
        </w:tc>
        <w:tc>
          <w:tcPr>
            <w:tcW w:w="8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57,093</w:t>
            </w:r>
          </w:p>
        </w:tc>
        <w:tc>
          <w:tcPr>
            <w:tcW w:w="1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394</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2.8%</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48,549</w:t>
            </w:r>
          </w:p>
        </w:tc>
        <w:tc>
          <w:tcPr>
            <w:tcW w:w="32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433</w:t>
            </w:r>
          </w:p>
        </w:tc>
        <w:tc>
          <w:tcPr>
            <w:tcW w:w="46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6"/>
                <w:szCs w:val="16"/>
                <w:color w:val="auto"/>
                <w:w w:val="98"/>
              </w:rPr>
              <w:t>3.6%</w:t>
            </w:r>
          </w:p>
        </w:tc>
        <w:tc>
          <w:tcPr>
            <w:tcW w:w="6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46,744</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497</w:t>
            </w:r>
          </w:p>
        </w:tc>
        <w:tc>
          <w:tcPr>
            <w:tcW w:w="4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4.2%</w:t>
            </w:r>
          </w:p>
        </w:tc>
        <w:tc>
          <w:tcPr>
            <w:tcW w:w="100" w:type="dxa"/>
            <w:vAlign w:val="bottom"/>
            <w:tcBorders>
              <w:right w:val="single" w:sz="8" w:color="auto"/>
            </w:tcBorders>
          </w:tcPr>
          <w:p>
            <w:pPr>
              <w:spacing w:after="0"/>
              <w:rPr>
                <w:sz w:val="15"/>
                <w:szCs w:val="15"/>
                <w:color w:val="auto"/>
              </w:rPr>
            </w:pPr>
          </w:p>
        </w:tc>
        <w:tc>
          <w:tcPr>
            <w:tcW w:w="8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54,973</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760</w:t>
            </w:r>
          </w:p>
        </w:tc>
        <w:tc>
          <w:tcPr>
            <w:tcW w:w="46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2.8%</w:t>
            </w:r>
          </w:p>
        </w:tc>
        <w:tc>
          <w:tcPr>
            <w:tcW w:w="10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47,148</w:t>
            </w:r>
          </w:p>
        </w:tc>
        <w:tc>
          <w:tcPr>
            <w:tcW w:w="6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929</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15"/>
                <w:szCs w:val="15"/>
                <w:color w:val="auto"/>
              </w:rPr>
            </w:pPr>
          </w:p>
        </w:tc>
      </w:tr>
      <w:tr>
        <w:trPr>
          <w:trHeight w:val="183"/>
        </w:trPr>
        <w:tc>
          <w:tcPr>
            <w:tcW w:w="182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Loans</w:t>
            </w:r>
          </w:p>
        </w:tc>
        <w:tc>
          <w:tcPr>
            <w:tcW w:w="8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140,061</w:t>
            </w:r>
          </w:p>
        </w:tc>
        <w:tc>
          <w:tcPr>
            <w:tcW w:w="1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w w:val="94"/>
              </w:rPr>
              <w:t>2,476</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7.1%</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146,109</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2,686</w:t>
            </w:r>
          </w:p>
        </w:tc>
        <w:tc>
          <w:tcPr>
            <w:tcW w:w="46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6"/>
                <w:szCs w:val="16"/>
                <w:color w:val="auto"/>
                <w:w w:val="98"/>
              </w:rPr>
              <w:t>7.4%</w:t>
            </w:r>
          </w:p>
        </w:tc>
        <w:tc>
          <w:tcPr>
            <w:tcW w:w="6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147,496</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2,930</w:t>
            </w:r>
          </w:p>
        </w:tc>
        <w:tc>
          <w:tcPr>
            <w:tcW w:w="4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w:t>
            </w:r>
          </w:p>
        </w:tc>
        <w:tc>
          <w:tcPr>
            <w:tcW w:w="100" w:type="dxa"/>
            <w:vAlign w:val="bottom"/>
            <w:tcBorders>
              <w:right w:val="single" w:sz="8" w:color="auto"/>
            </w:tcBorders>
          </w:tcPr>
          <w:p>
            <w:pPr>
              <w:spacing w:after="0"/>
              <w:rPr>
                <w:sz w:val="15"/>
                <w:szCs w:val="15"/>
                <w:color w:val="auto"/>
              </w:rPr>
            </w:pPr>
          </w:p>
        </w:tc>
        <w:tc>
          <w:tcPr>
            <w:tcW w:w="8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140,376</w:t>
            </w:r>
          </w:p>
        </w:tc>
        <w:tc>
          <w:tcPr>
            <w:tcW w:w="7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4,909</w:t>
            </w:r>
          </w:p>
        </w:tc>
        <w:tc>
          <w:tcPr>
            <w:tcW w:w="46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7.0%</w:t>
            </w:r>
          </w:p>
        </w:tc>
        <w:tc>
          <w:tcPr>
            <w:tcW w:w="10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148,984</w:t>
            </w:r>
          </w:p>
        </w:tc>
        <w:tc>
          <w:tcPr>
            <w:tcW w:w="6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5,615</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7.5%</w:t>
            </w:r>
          </w:p>
        </w:tc>
        <w:tc>
          <w:tcPr>
            <w:tcW w:w="100" w:type="dxa"/>
            <w:vAlign w:val="bottom"/>
          </w:tcPr>
          <w:p>
            <w:pPr>
              <w:spacing w:after="0"/>
              <w:rPr>
                <w:sz w:val="15"/>
                <w:szCs w:val="15"/>
                <w:color w:val="auto"/>
              </w:rPr>
            </w:pPr>
          </w:p>
        </w:tc>
      </w:tr>
      <w:tr>
        <w:trPr>
          <w:trHeight w:val="183"/>
        </w:trPr>
        <w:tc>
          <w:tcPr>
            <w:tcW w:w="18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Structural</w:t>
            </w:r>
          </w:p>
        </w:tc>
        <w:tc>
          <w:tcPr>
            <w:tcW w:w="8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116,439</w:t>
            </w:r>
          </w:p>
        </w:tc>
        <w:tc>
          <w:tcPr>
            <w:tcW w:w="1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w w:val="94"/>
              </w:rPr>
              <w:t>2,397</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8.2%</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128,597</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2,619</w:t>
            </w:r>
          </w:p>
        </w:tc>
        <w:tc>
          <w:tcPr>
            <w:tcW w:w="46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6"/>
                <w:szCs w:val="16"/>
                <w:color w:val="auto"/>
                <w:w w:val="98"/>
              </w:rPr>
              <w:t>8.1%</w:t>
            </w:r>
          </w:p>
        </w:tc>
        <w:tc>
          <w:tcPr>
            <w:tcW w:w="6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132,651</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2,871</w:t>
            </w:r>
          </w:p>
        </w:tc>
        <w:tc>
          <w:tcPr>
            <w:tcW w:w="4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w:t>
            </w:r>
          </w:p>
        </w:tc>
        <w:tc>
          <w:tcPr>
            <w:tcW w:w="100" w:type="dxa"/>
            <w:vAlign w:val="bottom"/>
            <w:tcBorders>
              <w:right w:val="single" w:sz="8" w:color="auto"/>
            </w:tcBorders>
          </w:tcPr>
          <w:p>
            <w:pPr>
              <w:spacing w:after="0"/>
              <w:rPr>
                <w:sz w:val="15"/>
                <w:szCs w:val="15"/>
                <w:color w:val="auto"/>
              </w:rPr>
            </w:pPr>
          </w:p>
        </w:tc>
        <w:tc>
          <w:tcPr>
            <w:tcW w:w="8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116,557</w:t>
            </w:r>
          </w:p>
        </w:tc>
        <w:tc>
          <w:tcPr>
            <w:tcW w:w="7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4,744</w:t>
            </w:r>
          </w:p>
        </w:tc>
        <w:tc>
          <w:tcPr>
            <w:tcW w:w="46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8.1%</w:t>
            </w:r>
          </w:p>
        </w:tc>
        <w:tc>
          <w:tcPr>
            <w:tcW w:w="10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132,982</w:t>
            </w:r>
          </w:p>
        </w:tc>
        <w:tc>
          <w:tcPr>
            <w:tcW w:w="6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5,490</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8.3%</w:t>
            </w:r>
          </w:p>
        </w:tc>
        <w:tc>
          <w:tcPr>
            <w:tcW w:w="100" w:type="dxa"/>
            <w:vAlign w:val="bottom"/>
          </w:tcPr>
          <w:p>
            <w:pPr>
              <w:spacing w:after="0"/>
              <w:rPr>
                <w:sz w:val="15"/>
                <w:szCs w:val="15"/>
                <w:color w:val="auto"/>
              </w:rPr>
            </w:pPr>
          </w:p>
        </w:tc>
      </w:tr>
      <w:tr>
        <w:trPr>
          <w:trHeight w:val="199"/>
        </w:trPr>
        <w:tc>
          <w:tcPr>
            <w:tcW w:w="1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Government Programs</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23,622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17,513</w:t>
            </w: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1.5%</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14,845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Borders>
              <w:right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23,819</w:t>
            </w: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4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10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16,002</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7"/>
                <w:szCs w:val="17"/>
                <w:color w:val="auto"/>
              </w:rPr>
            </w:pPr>
          </w:p>
        </w:tc>
      </w:tr>
      <w:tr>
        <w:trPr>
          <w:trHeight w:val="175"/>
        </w:trPr>
        <w:tc>
          <w:tcPr>
            <w:tcW w:w="182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IEA</w:t>
            </w:r>
          </w:p>
        </w:tc>
        <w:tc>
          <w:tcPr>
            <w:tcW w:w="8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230,238</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4"/>
              </w:rPr>
              <w:t>2,892</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5.0%</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228,195</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3,172</w:t>
            </w:r>
          </w:p>
        </w:tc>
        <w:tc>
          <w:tcPr>
            <w:tcW w:w="460" w:type="dxa"/>
            <w:vAlign w:val="bottom"/>
            <w:tcBorders>
              <w:bottom w:val="single" w:sz="8" w:color="auto"/>
              <w:right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w w:val="98"/>
              </w:rPr>
              <w:t>5.6%</w:t>
            </w:r>
          </w:p>
        </w:tc>
        <w:tc>
          <w:tcPr>
            <w:tcW w:w="64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223,530</w:t>
            </w:r>
          </w:p>
        </w:tc>
        <w:tc>
          <w:tcPr>
            <w:tcW w:w="6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3,488</w:t>
            </w:r>
          </w:p>
        </w:tc>
        <w:tc>
          <w:tcPr>
            <w:tcW w:w="4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6.2%</w:t>
            </w:r>
          </w:p>
        </w:tc>
        <w:tc>
          <w:tcPr>
            <w:tcW w:w="100" w:type="dxa"/>
            <w:vAlign w:val="bottom"/>
            <w:tcBorders>
              <w:right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227,053</w:t>
            </w: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5,708</w:t>
            </w:r>
          </w:p>
        </w:tc>
        <w:tc>
          <w:tcPr>
            <w:tcW w:w="46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5.0%</w:t>
            </w:r>
          </w:p>
        </w:tc>
        <w:tc>
          <w:tcPr>
            <w:tcW w:w="1000" w:type="dxa"/>
            <w:vAlign w:val="bottom"/>
            <w:tcBorders>
              <w:bottom w:val="single" w:sz="8" w:color="auto"/>
            </w:tcBorders>
            <w:gridSpan w:val="2"/>
          </w:tcPr>
          <w:p>
            <w:pPr>
              <w:jc w:val="right"/>
              <w:ind w:right="139"/>
              <w:spacing w:after="0" w:line="175" w:lineRule="exact"/>
              <w:rPr>
                <w:sz w:val="20"/>
                <w:szCs w:val="20"/>
                <w:color w:val="auto"/>
              </w:rPr>
            </w:pPr>
            <w:r>
              <w:rPr>
                <w:rFonts w:ascii="Arial" w:cs="Arial" w:eastAsia="Arial" w:hAnsi="Arial"/>
                <w:sz w:val="16"/>
                <w:szCs w:val="16"/>
                <w:b w:val="1"/>
                <w:bCs w:val="1"/>
                <w:color w:val="auto"/>
              </w:rPr>
              <w:t>227,021</w:t>
            </w:r>
          </w:p>
        </w:tc>
        <w:tc>
          <w:tcPr>
            <w:tcW w:w="62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b w:val="1"/>
                <w:bCs w:val="1"/>
                <w:color w:val="auto"/>
              </w:rPr>
              <w:t>6,660</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8"/>
              </w:rPr>
              <w:t>5.9%</w:t>
            </w:r>
          </w:p>
        </w:tc>
        <w:tc>
          <w:tcPr>
            <w:tcW w:w="100" w:type="dxa"/>
            <w:vAlign w:val="bottom"/>
          </w:tcPr>
          <w:p>
            <w:pPr>
              <w:spacing w:after="0"/>
              <w:rPr>
                <w:sz w:val="15"/>
                <w:szCs w:val="15"/>
                <w:color w:val="auto"/>
              </w:rPr>
            </w:pPr>
          </w:p>
        </w:tc>
      </w:tr>
      <w:tr>
        <w:trPr>
          <w:trHeight w:val="175"/>
        </w:trPr>
        <w:tc>
          <w:tcPr>
            <w:tcW w:w="182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color w:val="auto"/>
              </w:rPr>
              <w:t>IEA (LC)</w:t>
            </w:r>
          </w:p>
        </w:tc>
        <w:tc>
          <w:tcPr>
            <w:tcW w:w="8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59.9%</w:t>
            </w:r>
          </w:p>
        </w:tc>
        <w:tc>
          <w:tcPr>
            <w:tcW w:w="5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75.7%</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6.4%</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57.8%</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78.8%</w:t>
            </w:r>
          </w:p>
        </w:tc>
        <w:tc>
          <w:tcPr>
            <w:tcW w:w="460" w:type="dxa"/>
            <w:vAlign w:val="bottom"/>
            <w:tcBorders>
              <w:bottom w:val="single" w:sz="8" w:color="auto"/>
              <w:right w:val="single" w:sz="8" w:color="auto"/>
            </w:tcBorders>
          </w:tcPr>
          <w:p>
            <w:pPr>
              <w:ind w:left="60"/>
              <w:spacing w:after="0" w:line="175" w:lineRule="exact"/>
              <w:rPr>
                <w:sz w:val="20"/>
                <w:szCs w:val="20"/>
                <w:color w:val="auto"/>
              </w:rPr>
            </w:pPr>
            <w:r>
              <w:rPr>
                <w:rFonts w:ascii="Arial" w:cs="Arial" w:eastAsia="Arial" w:hAnsi="Arial"/>
                <w:sz w:val="16"/>
                <w:szCs w:val="16"/>
                <w:color w:val="auto"/>
                <w:w w:val="98"/>
              </w:rPr>
              <w:t>7.6%</w:t>
            </w:r>
          </w:p>
        </w:tc>
        <w:tc>
          <w:tcPr>
            <w:tcW w:w="64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58.6%</w:t>
            </w:r>
          </w:p>
        </w:tc>
        <w:tc>
          <w:tcPr>
            <w:tcW w:w="6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78.2%</w:t>
            </w:r>
          </w:p>
        </w:tc>
        <w:tc>
          <w:tcPr>
            <w:tcW w:w="4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8"/>
              </w:rPr>
              <w:t>8.3%</w:t>
            </w:r>
          </w:p>
        </w:tc>
        <w:tc>
          <w:tcPr>
            <w:tcW w:w="100" w:type="dxa"/>
            <w:vAlign w:val="bottom"/>
            <w:tcBorders>
              <w:right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60.5%</w:t>
            </w: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75.9%</w:t>
            </w:r>
          </w:p>
        </w:tc>
        <w:tc>
          <w:tcPr>
            <w:tcW w:w="46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6.3%</w:t>
            </w: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color w:val="auto"/>
                <w:w w:val="96"/>
              </w:rPr>
              <w:t>57.2%</w:t>
            </w:r>
          </w:p>
        </w:tc>
        <w:tc>
          <w:tcPr>
            <w:tcW w:w="62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78.5%</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8.1%</w:t>
            </w:r>
          </w:p>
        </w:tc>
        <w:tc>
          <w:tcPr>
            <w:tcW w:w="100" w:type="dxa"/>
            <w:vAlign w:val="bottom"/>
          </w:tcPr>
          <w:p>
            <w:pPr>
              <w:spacing w:after="0"/>
              <w:rPr>
                <w:sz w:val="15"/>
                <w:szCs w:val="15"/>
                <w:color w:val="auto"/>
              </w:rPr>
            </w:pPr>
          </w:p>
        </w:tc>
      </w:tr>
      <w:tr>
        <w:trPr>
          <w:trHeight w:val="175"/>
        </w:trPr>
        <w:tc>
          <w:tcPr>
            <w:tcW w:w="182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color w:val="auto"/>
              </w:rPr>
              <w:t>IEA (FC)</w:t>
            </w:r>
          </w:p>
        </w:tc>
        <w:tc>
          <w:tcPr>
            <w:tcW w:w="8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40.1%</w:t>
            </w:r>
          </w:p>
        </w:tc>
        <w:tc>
          <w:tcPr>
            <w:tcW w:w="5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24.3%</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3.0%</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42.2%</w:t>
            </w:r>
          </w:p>
        </w:tc>
        <w:tc>
          <w:tcPr>
            <w:tcW w:w="66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21.2%</w:t>
            </w:r>
          </w:p>
        </w:tc>
        <w:tc>
          <w:tcPr>
            <w:tcW w:w="460" w:type="dxa"/>
            <w:vAlign w:val="bottom"/>
            <w:tcBorders>
              <w:bottom w:val="single" w:sz="8" w:color="auto"/>
              <w:right w:val="single" w:sz="8" w:color="auto"/>
            </w:tcBorders>
          </w:tcPr>
          <w:p>
            <w:pPr>
              <w:ind w:left="60"/>
              <w:spacing w:after="0" w:line="175" w:lineRule="exact"/>
              <w:rPr>
                <w:sz w:val="20"/>
                <w:szCs w:val="20"/>
                <w:color w:val="auto"/>
              </w:rPr>
            </w:pPr>
            <w:r>
              <w:rPr>
                <w:rFonts w:ascii="Arial" w:cs="Arial" w:eastAsia="Arial" w:hAnsi="Arial"/>
                <w:sz w:val="16"/>
                <w:szCs w:val="16"/>
                <w:color w:val="auto"/>
                <w:w w:val="98"/>
              </w:rPr>
              <w:t>2.8%</w:t>
            </w:r>
          </w:p>
        </w:tc>
        <w:tc>
          <w:tcPr>
            <w:tcW w:w="64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41.4%</w:t>
            </w:r>
          </w:p>
        </w:tc>
        <w:tc>
          <w:tcPr>
            <w:tcW w:w="6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21.8%</w:t>
            </w:r>
          </w:p>
        </w:tc>
        <w:tc>
          <w:tcPr>
            <w:tcW w:w="4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8"/>
              </w:rPr>
              <w:t>3.3%</w:t>
            </w:r>
          </w:p>
        </w:tc>
        <w:tc>
          <w:tcPr>
            <w:tcW w:w="100" w:type="dxa"/>
            <w:vAlign w:val="bottom"/>
            <w:tcBorders>
              <w:right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39.5%</w:t>
            </w: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24.1%</w:t>
            </w:r>
          </w:p>
        </w:tc>
        <w:tc>
          <w:tcPr>
            <w:tcW w:w="46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color w:val="auto"/>
                <w:w w:val="96"/>
              </w:rPr>
              <w:t>42.8%</w:t>
            </w:r>
          </w:p>
        </w:tc>
        <w:tc>
          <w:tcPr>
            <w:tcW w:w="62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21.5%</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2.9%</w:t>
            </w:r>
          </w:p>
        </w:tc>
        <w:tc>
          <w:tcPr>
            <w:tcW w:w="100" w:type="dxa"/>
            <w:vAlign w:val="bottom"/>
          </w:tcPr>
          <w:p>
            <w:pPr>
              <w:spacing w:after="0"/>
              <w:rPr>
                <w:sz w:val="15"/>
                <w:szCs w:val="15"/>
                <w:color w:val="auto"/>
              </w:rPr>
            </w:pPr>
          </w:p>
        </w:tc>
      </w:tr>
      <w:tr>
        <w:trPr>
          <w:trHeight w:val="211"/>
        </w:trPr>
        <w:tc>
          <w:tcPr>
            <w:tcW w:w="21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58"/>
        </w:trPr>
        <w:tc>
          <w:tcPr>
            <w:tcW w:w="2120" w:type="dxa"/>
            <w:vAlign w:val="bottom"/>
            <w:tcBorders>
              <w:left w:val="single" w:sz="8" w:color="auto"/>
              <w:right w:val="single" w:sz="8" w:color="auto"/>
            </w:tcBorders>
            <w:gridSpan w:val="2"/>
            <w:shd w:val="clear" w:color="auto" w:fill="33CCCC"/>
          </w:tcPr>
          <w:p>
            <w:pPr>
              <w:spacing w:after="0" w:line="158" w:lineRule="exact"/>
              <w:rPr>
                <w:sz w:val="20"/>
                <w:szCs w:val="20"/>
                <w:color w:val="auto"/>
              </w:rPr>
            </w:pPr>
            <w:r>
              <w:rPr>
                <w:rFonts w:ascii="Arial" w:cs="Arial" w:eastAsia="Arial" w:hAnsi="Arial"/>
                <w:sz w:val="16"/>
                <w:szCs w:val="16"/>
                <w:b w:val="1"/>
                <w:bCs w:val="1"/>
                <w:color w:val="FFFFFF"/>
              </w:rPr>
              <w:t>Interest Expense / Funding</w:t>
            </w:r>
          </w:p>
        </w:tc>
        <w:tc>
          <w:tcPr>
            <w:tcW w:w="440" w:type="dxa"/>
            <w:vAlign w:val="bottom"/>
            <w:shd w:val="clear" w:color="auto" w:fill="33CCCC"/>
          </w:tcPr>
          <w:p>
            <w:pPr>
              <w:spacing w:after="0"/>
              <w:rPr>
                <w:sz w:val="13"/>
                <w:szCs w:val="13"/>
                <w:color w:val="auto"/>
              </w:rPr>
            </w:pPr>
          </w:p>
        </w:tc>
        <w:tc>
          <w:tcPr>
            <w:tcW w:w="80" w:type="dxa"/>
            <w:vAlign w:val="bottom"/>
            <w:shd w:val="clear" w:color="auto" w:fill="33CCCC"/>
          </w:tcPr>
          <w:p>
            <w:pPr>
              <w:spacing w:after="0"/>
              <w:rPr>
                <w:sz w:val="13"/>
                <w:szCs w:val="13"/>
                <w:color w:val="auto"/>
              </w:rPr>
            </w:pPr>
          </w:p>
        </w:tc>
        <w:tc>
          <w:tcPr>
            <w:tcW w:w="120" w:type="dxa"/>
            <w:vAlign w:val="bottom"/>
            <w:shd w:val="clear" w:color="auto" w:fill="33CCCC"/>
          </w:tcPr>
          <w:p>
            <w:pPr>
              <w:spacing w:after="0"/>
              <w:rPr>
                <w:sz w:val="13"/>
                <w:szCs w:val="13"/>
                <w:color w:val="auto"/>
              </w:rPr>
            </w:pPr>
          </w:p>
        </w:tc>
        <w:tc>
          <w:tcPr>
            <w:tcW w:w="460" w:type="dxa"/>
            <w:vAlign w:val="bottom"/>
            <w:shd w:val="clear" w:color="auto" w:fill="33CCCC"/>
          </w:tcPr>
          <w:p>
            <w:pPr>
              <w:jc w:val="right"/>
              <w:spacing w:after="0" w:line="158" w:lineRule="exact"/>
              <w:rPr>
                <w:sz w:val="20"/>
                <w:szCs w:val="20"/>
                <w:color w:val="auto"/>
              </w:rPr>
            </w:pPr>
            <w:r>
              <w:rPr>
                <w:rFonts w:ascii="Arial" w:cs="Arial" w:eastAsia="Arial" w:hAnsi="Arial"/>
                <w:sz w:val="16"/>
                <w:szCs w:val="16"/>
                <w:b w:val="1"/>
                <w:bCs w:val="1"/>
                <w:color w:val="FFFFFF"/>
              </w:rPr>
              <w:t>2Q21</w:t>
            </w:r>
          </w:p>
        </w:tc>
        <w:tc>
          <w:tcPr>
            <w:tcW w:w="260" w:type="dxa"/>
            <w:vAlign w:val="bottom"/>
            <w:shd w:val="clear" w:color="auto" w:fill="33CCCC"/>
          </w:tcPr>
          <w:p>
            <w:pPr>
              <w:spacing w:after="0"/>
              <w:rPr>
                <w:sz w:val="13"/>
                <w:szCs w:val="13"/>
                <w:color w:val="auto"/>
              </w:rPr>
            </w:pPr>
          </w:p>
        </w:tc>
        <w:tc>
          <w:tcPr>
            <w:tcW w:w="180" w:type="dxa"/>
            <w:vAlign w:val="bottom"/>
            <w:tcBorders>
              <w:right w:val="single" w:sz="8" w:color="33CCCC"/>
            </w:tcBorders>
            <w:shd w:val="clear" w:color="auto" w:fill="33CCCC"/>
          </w:tcPr>
          <w:p>
            <w:pPr>
              <w:spacing w:after="0"/>
              <w:rPr>
                <w:sz w:val="13"/>
                <w:szCs w:val="13"/>
                <w:color w:val="auto"/>
              </w:rPr>
            </w:pPr>
          </w:p>
        </w:tc>
        <w:tc>
          <w:tcPr>
            <w:tcW w:w="260" w:type="dxa"/>
            <w:vAlign w:val="bottom"/>
            <w:tcBorders>
              <w:right w:val="single" w:sz="8" w:color="auto"/>
            </w:tcBorders>
            <w:shd w:val="clear" w:color="auto" w:fill="33CCCC"/>
          </w:tcPr>
          <w:p>
            <w:pPr>
              <w:spacing w:after="0"/>
              <w:rPr>
                <w:sz w:val="13"/>
                <w:szCs w:val="13"/>
                <w:color w:val="auto"/>
              </w:rPr>
            </w:pPr>
          </w:p>
        </w:tc>
        <w:tc>
          <w:tcPr>
            <w:tcW w:w="400" w:type="dxa"/>
            <w:vAlign w:val="bottom"/>
            <w:shd w:val="clear" w:color="auto" w:fill="33CCCC"/>
          </w:tcPr>
          <w:p>
            <w:pPr>
              <w:spacing w:after="0"/>
              <w:rPr>
                <w:sz w:val="13"/>
                <w:szCs w:val="13"/>
                <w:color w:val="auto"/>
              </w:rPr>
            </w:pPr>
          </w:p>
        </w:tc>
        <w:tc>
          <w:tcPr>
            <w:tcW w:w="320" w:type="dxa"/>
            <w:vAlign w:val="bottom"/>
            <w:shd w:val="clear" w:color="auto" w:fill="33CCCC"/>
          </w:tcPr>
          <w:p>
            <w:pPr>
              <w:spacing w:after="0"/>
              <w:rPr>
                <w:sz w:val="13"/>
                <w:szCs w:val="13"/>
                <w:color w:val="auto"/>
              </w:rPr>
            </w:pPr>
          </w:p>
        </w:tc>
        <w:tc>
          <w:tcPr>
            <w:tcW w:w="800" w:type="dxa"/>
            <w:vAlign w:val="bottom"/>
            <w:tcBorders>
              <w:right w:val="single" w:sz="8" w:color="33CCCC"/>
            </w:tcBorders>
            <w:gridSpan w:val="2"/>
            <w:shd w:val="clear" w:color="auto" w:fill="33CCCC"/>
          </w:tcPr>
          <w:p>
            <w:pPr>
              <w:jc w:val="right"/>
              <w:ind w:right="319"/>
              <w:spacing w:after="0" w:line="158" w:lineRule="exact"/>
              <w:rPr>
                <w:sz w:val="20"/>
                <w:szCs w:val="20"/>
                <w:color w:val="auto"/>
              </w:rPr>
            </w:pPr>
            <w:r>
              <w:rPr>
                <w:rFonts w:ascii="Arial" w:cs="Arial" w:eastAsia="Arial" w:hAnsi="Arial"/>
                <w:sz w:val="16"/>
                <w:szCs w:val="16"/>
                <w:b w:val="1"/>
                <w:bCs w:val="1"/>
                <w:color w:val="FFFFFF"/>
                <w:w w:val="96"/>
              </w:rPr>
              <w:t>1Q22</w:t>
            </w:r>
          </w:p>
        </w:tc>
        <w:tc>
          <w:tcPr>
            <w:tcW w:w="360" w:type="dxa"/>
            <w:vAlign w:val="bottom"/>
            <w:tcBorders>
              <w:right w:val="single" w:sz="8" w:color="auto"/>
            </w:tcBorders>
            <w:shd w:val="clear" w:color="auto" w:fill="33CCCC"/>
          </w:tcPr>
          <w:p>
            <w:pPr>
              <w:spacing w:after="0"/>
              <w:rPr>
                <w:sz w:val="13"/>
                <w:szCs w:val="13"/>
                <w:color w:val="auto"/>
              </w:rPr>
            </w:pPr>
          </w:p>
        </w:tc>
        <w:tc>
          <w:tcPr>
            <w:tcW w:w="280" w:type="dxa"/>
            <w:vAlign w:val="bottom"/>
            <w:shd w:val="clear" w:color="auto" w:fill="33CCCC"/>
          </w:tcPr>
          <w:p>
            <w:pPr>
              <w:spacing w:after="0"/>
              <w:rPr>
                <w:sz w:val="13"/>
                <w:szCs w:val="13"/>
                <w:color w:val="auto"/>
              </w:rPr>
            </w:pPr>
          </w:p>
        </w:tc>
        <w:tc>
          <w:tcPr>
            <w:tcW w:w="1180" w:type="dxa"/>
            <w:vAlign w:val="bottom"/>
            <w:tcBorders>
              <w:right w:val="single" w:sz="8" w:color="33CCCC"/>
            </w:tcBorders>
            <w:gridSpan w:val="3"/>
            <w:shd w:val="clear" w:color="auto" w:fill="33CCCC"/>
          </w:tcPr>
          <w:p>
            <w:pPr>
              <w:ind w:left="440"/>
              <w:spacing w:after="0" w:line="158" w:lineRule="exact"/>
              <w:rPr>
                <w:sz w:val="20"/>
                <w:szCs w:val="20"/>
                <w:color w:val="auto"/>
              </w:rPr>
            </w:pPr>
            <w:r>
              <w:rPr>
                <w:rFonts w:ascii="Arial" w:cs="Arial" w:eastAsia="Arial" w:hAnsi="Arial"/>
                <w:sz w:val="16"/>
                <w:szCs w:val="16"/>
                <w:b w:val="1"/>
                <w:bCs w:val="1"/>
                <w:color w:val="FFFFFF"/>
              </w:rPr>
              <w:t>2Q22</w:t>
            </w:r>
          </w:p>
        </w:tc>
        <w:tc>
          <w:tcPr>
            <w:tcW w:w="400" w:type="dxa"/>
            <w:vAlign w:val="bottom"/>
            <w:tcBorders>
              <w:right w:val="single" w:sz="8" w:color="auto"/>
            </w:tcBorders>
            <w:shd w:val="clear" w:color="auto" w:fill="33CCCC"/>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340" w:type="dxa"/>
            <w:vAlign w:val="bottom"/>
            <w:shd w:val="clear" w:color="auto" w:fill="33CCCC"/>
          </w:tcPr>
          <w:p>
            <w:pPr>
              <w:spacing w:after="0"/>
              <w:rPr>
                <w:sz w:val="13"/>
                <w:szCs w:val="13"/>
                <w:color w:val="auto"/>
              </w:rPr>
            </w:pPr>
          </w:p>
        </w:tc>
        <w:tc>
          <w:tcPr>
            <w:tcW w:w="1060" w:type="dxa"/>
            <w:vAlign w:val="bottom"/>
            <w:gridSpan w:val="4"/>
            <w:shd w:val="clear" w:color="auto" w:fill="33CCCC"/>
          </w:tcPr>
          <w:p>
            <w:pPr>
              <w:jc w:val="right"/>
              <w:ind w:right="159"/>
              <w:spacing w:after="0" w:line="158" w:lineRule="exact"/>
              <w:rPr>
                <w:sz w:val="20"/>
                <w:szCs w:val="20"/>
                <w:color w:val="auto"/>
              </w:rPr>
            </w:pPr>
            <w:r>
              <w:rPr>
                <w:rFonts w:ascii="Arial" w:cs="Arial" w:eastAsia="Arial" w:hAnsi="Arial"/>
                <w:sz w:val="16"/>
                <w:szCs w:val="16"/>
                <w:b w:val="1"/>
                <w:bCs w:val="1"/>
                <w:color w:val="FFFFFF"/>
              </w:rPr>
              <w:t>Jun 21</w:t>
            </w:r>
          </w:p>
        </w:tc>
        <w:tc>
          <w:tcPr>
            <w:tcW w:w="120" w:type="dxa"/>
            <w:vAlign w:val="bottom"/>
            <w:tcBorders>
              <w:right w:val="single" w:sz="8" w:color="33CCCC"/>
            </w:tcBorders>
            <w:shd w:val="clear" w:color="auto" w:fill="33CCCC"/>
          </w:tcPr>
          <w:p>
            <w:pPr>
              <w:spacing w:after="0"/>
              <w:rPr>
                <w:sz w:val="13"/>
                <w:szCs w:val="13"/>
                <w:color w:val="auto"/>
              </w:rPr>
            </w:pPr>
          </w:p>
        </w:tc>
        <w:tc>
          <w:tcPr>
            <w:tcW w:w="320" w:type="dxa"/>
            <w:vAlign w:val="bottom"/>
            <w:tcBorders>
              <w:right w:val="single" w:sz="8" w:color="auto"/>
            </w:tcBorders>
            <w:shd w:val="clear" w:color="auto" w:fill="33CCCC"/>
          </w:tcPr>
          <w:p>
            <w:pPr>
              <w:spacing w:after="0"/>
              <w:rPr>
                <w:sz w:val="13"/>
                <w:szCs w:val="13"/>
                <w:color w:val="auto"/>
              </w:rPr>
            </w:pPr>
          </w:p>
        </w:tc>
        <w:tc>
          <w:tcPr>
            <w:tcW w:w="1300" w:type="dxa"/>
            <w:vAlign w:val="bottom"/>
            <w:gridSpan w:val="2"/>
            <w:shd w:val="clear" w:color="auto" w:fill="33CCCC"/>
          </w:tcPr>
          <w:p>
            <w:pPr>
              <w:jc w:val="right"/>
              <w:ind w:right="79"/>
              <w:spacing w:after="0" w:line="158" w:lineRule="exact"/>
              <w:rPr>
                <w:sz w:val="20"/>
                <w:szCs w:val="20"/>
                <w:color w:val="auto"/>
              </w:rPr>
            </w:pPr>
            <w:r>
              <w:rPr>
                <w:rFonts w:ascii="Arial" w:cs="Arial" w:eastAsia="Arial" w:hAnsi="Arial"/>
                <w:sz w:val="16"/>
                <w:szCs w:val="16"/>
                <w:b w:val="1"/>
                <w:bCs w:val="1"/>
                <w:color w:val="FFFFFF"/>
              </w:rPr>
              <w:t>Jun 22</w:t>
            </w:r>
          </w:p>
        </w:tc>
        <w:tc>
          <w:tcPr>
            <w:tcW w:w="400" w:type="dxa"/>
            <w:vAlign w:val="bottom"/>
            <w:tcBorders>
              <w:right w:val="single" w:sz="8" w:color="33CCCC"/>
            </w:tcBorders>
            <w:shd w:val="clear" w:color="auto" w:fill="33CCCC"/>
          </w:tcPr>
          <w:p>
            <w:pPr>
              <w:spacing w:after="0"/>
              <w:rPr>
                <w:sz w:val="13"/>
                <w:szCs w:val="13"/>
                <w:color w:val="auto"/>
              </w:rPr>
            </w:pPr>
          </w:p>
        </w:tc>
        <w:tc>
          <w:tcPr>
            <w:tcW w:w="100" w:type="dxa"/>
            <w:vAlign w:val="bottom"/>
            <w:tcBorders>
              <w:right w:val="single" w:sz="8" w:color="auto"/>
            </w:tcBorders>
            <w:shd w:val="clear" w:color="auto" w:fill="33CCCC"/>
          </w:tcPr>
          <w:p>
            <w:pPr>
              <w:spacing w:after="0"/>
              <w:rPr>
                <w:sz w:val="13"/>
                <w:szCs w:val="13"/>
                <w:color w:val="auto"/>
              </w:rPr>
            </w:pPr>
          </w:p>
        </w:tc>
      </w:tr>
      <w:tr>
        <w:trPr>
          <w:trHeight w:val="199"/>
        </w:trPr>
        <w:tc>
          <w:tcPr>
            <w:tcW w:w="1820" w:type="dxa"/>
            <w:vAlign w:val="bottom"/>
            <w:tcBorders>
              <w:left w:val="single" w:sz="8" w:color="auto"/>
              <w:right w:val="single" w:sz="8" w:color="33CCCC"/>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millions</w:t>
            </w:r>
          </w:p>
        </w:tc>
        <w:tc>
          <w:tcPr>
            <w:tcW w:w="300" w:type="dxa"/>
            <w:vAlign w:val="bottom"/>
            <w:tcBorders>
              <w:right w:val="single" w:sz="8" w:color="auto"/>
            </w:tcBorders>
            <w:shd w:val="clear" w:color="auto" w:fill="33CCCC"/>
          </w:tcPr>
          <w:p>
            <w:pPr>
              <w:spacing w:after="0"/>
              <w:rPr>
                <w:sz w:val="17"/>
                <w:szCs w:val="17"/>
                <w:color w:val="auto"/>
              </w:rPr>
            </w:pPr>
          </w:p>
        </w:tc>
        <w:tc>
          <w:tcPr>
            <w:tcW w:w="640" w:type="dxa"/>
            <w:vAlign w:val="bottom"/>
            <w:gridSpan w:val="3"/>
            <w:shd w:val="clear" w:color="auto" w:fill="33CCCC"/>
          </w:tcPr>
          <w:p>
            <w:pPr>
              <w:jc w:val="right"/>
              <w:spacing w:after="0" w:line="183" w:lineRule="exact"/>
              <w:rPr>
                <w:sz w:val="20"/>
                <w:szCs w:val="20"/>
                <w:color w:val="auto"/>
              </w:rPr>
            </w:pPr>
            <w:r>
              <w:rPr>
                <w:rFonts w:ascii="Arial" w:cs="Arial" w:eastAsia="Arial" w:hAnsi="Arial"/>
                <w:sz w:val="16"/>
                <w:szCs w:val="16"/>
                <w:b w:val="1"/>
                <w:bCs w:val="1"/>
                <w:color w:val="FFFFFF"/>
                <w:w w:val="94"/>
              </w:rPr>
              <w:t>Average</w:t>
            </w:r>
          </w:p>
        </w:tc>
        <w:tc>
          <w:tcPr>
            <w:tcW w:w="460" w:type="dxa"/>
            <w:vAlign w:val="bottom"/>
            <w:shd w:val="clear" w:color="auto" w:fill="33CCCC"/>
          </w:tcPr>
          <w:p>
            <w:pPr>
              <w:spacing w:after="0"/>
              <w:rPr>
                <w:sz w:val="17"/>
                <w:szCs w:val="17"/>
                <w:color w:val="auto"/>
              </w:rPr>
            </w:pPr>
          </w:p>
        </w:tc>
        <w:tc>
          <w:tcPr>
            <w:tcW w:w="260" w:type="dxa"/>
            <w:vAlign w:val="bottom"/>
            <w:shd w:val="clear" w:color="auto" w:fill="33CCCC"/>
          </w:tcPr>
          <w:p>
            <w:pPr>
              <w:spacing w:after="0"/>
              <w:rPr>
                <w:sz w:val="17"/>
                <w:szCs w:val="17"/>
                <w:color w:val="auto"/>
              </w:rPr>
            </w:pPr>
          </w:p>
        </w:tc>
        <w:tc>
          <w:tcPr>
            <w:tcW w:w="180" w:type="dxa"/>
            <w:vAlign w:val="bottom"/>
            <w:tcBorders>
              <w:right w:val="single" w:sz="8" w:color="33CCCC"/>
            </w:tcBorders>
            <w:shd w:val="clear" w:color="auto" w:fill="33CCCC"/>
          </w:tcPr>
          <w:p>
            <w:pPr>
              <w:spacing w:after="0"/>
              <w:rPr>
                <w:sz w:val="17"/>
                <w:szCs w:val="17"/>
                <w:color w:val="auto"/>
              </w:rPr>
            </w:pPr>
          </w:p>
        </w:tc>
        <w:tc>
          <w:tcPr>
            <w:tcW w:w="260" w:type="dxa"/>
            <w:vAlign w:val="bottom"/>
            <w:tcBorders>
              <w:right w:val="single" w:sz="8" w:color="auto"/>
            </w:tcBorders>
            <w:shd w:val="clear" w:color="auto" w:fill="33CCCC"/>
          </w:tcPr>
          <w:p>
            <w:pPr>
              <w:spacing w:after="0"/>
              <w:rPr>
                <w:sz w:val="17"/>
                <w:szCs w:val="17"/>
                <w:color w:val="auto"/>
              </w:rPr>
            </w:pPr>
          </w:p>
        </w:tc>
        <w:tc>
          <w:tcPr>
            <w:tcW w:w="720" w:type="dxa"/>
            <w:vAlign w:val="bottom"/>
            <w:gridSpan w:val="2"/>
            <w:shd w:val="clear" w:color="auto" w:fill="33CCCC"/>
          </w:tcPr>
          <w:p>
            <w:pPr>
              <w:ind w:left="40"/>
              <w:spacing w:after="0" w:line="183" w:lineRule="exact"/>
              <w:rPr>
                <w:sz w:val="20"/>
                <w:szCs w:val="20"/>
                <w:color w:val="auto"/>
              </w:rPr>
            </w:pPr>
            <w:r>
              <w:rPr>
                <w:rFonts w:ascii="Arial" w:cs="Arial" w:eastAsia="Arial" w:hAnsi="Arial"/>
                <w:sz w:val="16"/>
                <w:szCs w:val="16"/>
                <w:b w:val="1"/>
                <w:bCs w:val="1"/>
                <w:color w:val="FFFFFF"/>
              </w:rPr>
              <w:t>Average</w:t>
            </w:r>
          </w:p>
        </w:tc>
        <w:tc>
          <w:tcPr>
            <w:tcW w:w="340" w:type="dxa"/>
            <w:vAlign w:val="bottom"/>
            <w:shd w:val="clear" w:color="auto" w:fill="33CCCC"/>
          </w:tcPr>
          <w:p>
            <w:pPr>
              <w:spacing w:after="0"/>
              <w:rPr>
                <w:sz w:val="17"/>
                <w:szCs w:val="17"/>
                <w:color w:val="auto"/>
              </w:rPr>
            </w:pPr>
          </w:p>
        </w:tc>
        <w:tc>
          <w:tcPr>
            <w:tcW w:w="460" w:type="dxa"/>
            <w:vAlign w:val="bottom"/>
            <w:tcBorders>
              <w:right w:val="single" w:sz="8" w:color="33CCCC"/>
            </w:tcBorders>
            <w:shd w:val="clear" w:color="auto" w:fill="33CCCC"/>
          </w:tcPr>
          <w:p>
            <w:pPr>
              <w:spacing w:after="0"/>
              <w:rPr>
                <w:sz w:val="17"/>
                <w:szCs w:val="17"/>
                <w:color w:val="auto"/>
              </w:rPr>
            </w:pPr>
          </w:p>
        </w:tc>
        <w:tc>
          <w:tcPr>
            <w:tcW w:w="360" w:type="dxa"/>
            <w:vAlign w:val="bottom"/>
            <w:tcBorders>
              <w:right w:val="single" w:sz="8" w:color="auto"/>
            </w:tcBorders>
            <w:shd w:val="clear" w:color="auto" w:fill="33CCCC"/>
          </w:tcPr>
          <w:p>
            <w:pPr>
              <w:spacing w:after="0"/>
              <w:rPr>
                <w:sz w:val="17"/>
                <w:szCs w:val="17"/>
                <w:color w:val="auto"/>
              </w:rPr>
            </w:pPr>
          </w:p>
        </w:tc>
        <w:tc>
          <w:tcPr>
            <w:tcW w:w="880" w:type="dxa"/>
            <w:vAlign w:val="bottom"/>
            <w:gridSpan w:val="2"/>
            <w:shd w:val="clear" w:color="auto" w:fill="33CCCC"/>
          </w:tcPr>
          <w:p>
            <w:pPr>
              <w:ind w:left="20"/>
              <w:spacing w:after="0" w:line="183" w:lineRule="exact"/>
              <w:rPr>
                <w:sz w:val="20"/>
                <w:szCs w:val="20"/>
                <w:color w:val="auto"/>
              </w:rPr>
            </w:pPr>
            <w:r>
              <w:rPr>
                <w:rFonts w:ascii="Arial" w:cs="Arial" w:eastAsia="Arial" w:hAnsi="Arial"/>
                <w:sz w:val="16"/>
                <w:szCs w:val="16"/>
                <w:b w:val="1"/>
                <w:bCs w:val="1"/>
                <w:color w:val="FFFFFF"/>
              </w:rPr>
              <w:t>Average</w:t>
            </w:r>
          </w:p>
        </w:tc>
        <w:tc>
          <w:tcPr>
            <w:tcW w:w="480" w:type="dxa"/>
            <w:vAlign w:val="bottom"/>
            <w:tcBorders>
              <w:right w:val="single" w:sz="8" w:color="33CCCC"/>
            </w:tcBorders>
            <w:shd w:val="clear" w:color="auto" w:fill="33CCCC"/>
          </w:tcPr>
          <w:p>
            <w:pPr>
              <w:spacing w:after="0"/>
              <w:rPr>
                <w:sz w:val="17"/>
                <w:szCs w:val="17"/>
                <w:color w:val="auto"/>
              </w:rPr>
            </w:pPr>
          </w:p>
        </w:tc>
        <w:tc>
          <w:tcPr>
            <w:tcW w:w="100" w:type="dxa"/>
            <w:vAlign w:val="bottom"/>
            <w:tcBorders>
              <w:right w:val="single" w:sz="8" w:color="33CCCC"/>
            </w:tcBorders>
            <w:shd w:val="clear" w:color="auto" w:fill="33CCCC"/>
          </w:tcPr>
          <w:p>
            <w:pPr>
              <w:spacing w:after="0"/>
              <w:rPr>
                <w:sz w:val="17"/>
                <w:szCs w:val="17"/>
                <w:color w:val="auto"/>
              </w:rPr>
            </w:pPr>
          </w:p>
        </w:tc>
        <w:tc>
          <w:tcPr>
            <w:tcW w:w="400" w:type="dxa"/>
            <w:vAlign w:val="bottom"/>
            <w:tcBorders>
              <w:right w:val="single" w:sz="8" w:color="auto"/>
            </w:tcBorders>
            <w:shd w:val="clear" w:color="auto" w:fill="33CCCC"/>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60" w:type="dxa"/>
            <w:vAlign w:val="bottom"/>
            <w:gridSpan w:val="2"/>
            <w:shd w:val="clear" w:color="auto" w:fill="33CCCC"/>
          </w:tcPr>
          <w:p>
            <w:pPr>
              <w:ind w:left="20"/>
              <w:spacing w:after="0" w:line="183" w:lineRule="exact"/>
              <w:rPr>
                <w:sz w:val="20"/>
                <w:szCs w:val="20"/>
                <w:color w:val="auto"/>
              </w:rPr>
            </w:pPr>
            <w:r>
              <w:rPr>
                <w:rFonts w:ascii="Arial" w:cs="Arial" w:eastAsia="Arial" w:hAnsi="Arial"/>
                <w:sz w:val="16"/>
                <w:szCs w:val="16"/>
                <w:b w:val="1"/>
                <w:bCs w:val="1"/>
                <w:color w:val="FFFFFF"/>
                <w:w w:val="98"/>
              </w:rPr>
              <w:t>Average</w:t>
            </w:r>
          </w:p>
        </w:tc>
        <w:tc>
          <w:tcPr>
            <w:tcW w:w="60" w:type="dxa"/>
            <w:vAlign w:val="bottom"/>
            <w:shd w:val="clear" w:color="auto" w:fill="33CCCC"/>
          </w:tcPr>
          <w:p>
            <w:pPr>
              <w:spacing w:after="0"/>
              <w:rPr>
                <w:sz w:val="17"/>
                <w:szCs w:val="17"/>
                <w:color w:val="auto"/>
              </w:rPr>
            </w:pPr>
          </w:p>
        </w:tc>
        <w:tc>
          <w:tcPr>
            <w:tcW w:w="340" w:type="dxa"/>
            <w:vAlign w:val="bottom"/>
            <w:shd w:val="clear" w:color="auto" w:fill="33CCCC"/>
          </w:tcPr>
          <w:p>
            <w:pPr>
              <w:spacing w:after="0"/>
              <w:rPr>
                <w:sz w:val="17"/>
                <w:szCs w:val="17"/>
                <w:color w:val="auto"/>
              </w:rPr>
            </w:pPr>
          </w:p>
        </w:tc>
        <w:tc>
          <w:tcPr>
            <w:tcW w:w="340" w:type="dxa"/>
            <w:vAlign w:val="bottom"/>
            <w:shd w:val="clear" w:color="auto" w:fill="33CCCC"/>
          </w:tcPr>
          <w:p>
            <w:pPr>
              <w:spacing w:after="0"/>
              <w:rPr>
                <w:sz w:val="17"/>
                <w:szCs w:val="17"/>
                <w:color w:val="auto"/>
              </w:rPr>
            </w:pPr>
          </w:p>
        </w:tc>
        <w:tc>
          <w:tcPr>
            <w:tcW w:w="120" w:type="dxa"/>
            <w:vAlign w:val="bottom"/>
            <w:tcBorders>
              <w:right w:val="single" w:sz="8" w:color="33CCCC"/>
            </w:tcBorders>
            <w:shd w:val="clear" w:color="auto" w:fill="33CCCC"/>
          </w:tcPr>
          <w:p>
            <w:pPr>
              <w:spacing w:after="0"/>
              <w:rPr>
                <w:sz w:val="17"/>
                <w:szCs w:val="17"/>
                <w:color w:val="auto"/>
              </w:rPr>
            </w:pPr>
          </w:p>
        </w:tc>
        <w:tc>
          <w:tcPr>
            <w:tcW w:w="320" w:type="dxa"/>
            <w:vAlign w:val="bottom"/>
            <w:tcBorders>
              <w:right w:val="single" w:sz="8" w:color="auto"/>
            </w:tcBorders>
            <w:shd w:val="clear" w:color="auto" w:fill="33CCCC"/>
          </w:tcPr>
          <w:p>
            <w:pPr>
              <w:spacing w:after="0"/>
              <w:rPr>
                <w:sz w:val="17"/>
                <w:szCs w:val="17"/>
                <w:color w:val="auto"/>
              </w:rPr>
            </w:pPr>
          </w:p>
        </w:tc>
        <w:tc>
          <w:tcPr>
            <w:tcW w:w="680" w:type="dxa"/>
            <w:vAlign w:val="bottom"/>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Average</w:t>
            </w:r>
          </w:p>
        </w:tc>
        <w:tc>
          <w:tcPr>
            <w:tcW w:w="620" w:type="dxa"/>
            <w:vAlign w:val="bottom"/>
            <w:shd w:val="clear" w:color="auto" w:fill="33CCCC"/>
          </w:tcPr>
          <w:p>
            <w:pPr>
              <w:spacing w:after="0"/>
              <w:rPr>
                <w:sz w:val="17"/>
                <w:szCs w:val="17"/>
                <w:color w:val="auto"/>
              </w:rPr>
            </w:pPr>
          </w:p>
        </w:tc>
        <w:tc>
          <w:tcPr>
            <w:tcW w:w="400" w:type="dxa"/>
            <w:vAlign w:val="bottom"/>
            <w:tcBorders>
              <w:right w:val="single" w:sz="8" w:color="33CCCC"/>
            </w:tcBorders>
            <w:shd w:val="clear" w:color="auto" w:fill="33CCCC"/>
          </w:tcPr>
          <w:p>
            <w:pPr>
              <w:spacing w:after="0"/>
              <w:rPr>
                <w:sz w:val="17"/>
                <w:szCs w:val="17"/>
                <w:color w:val="auto"/>
              </w:rPr>
            </w:pPr>
          </w:p>
        </w:tc>
        <w:tc>
          <w:tcPr>
            <w:tcW w:w="100" w:type="dxa"/>
            <w:vAlign w:val="bottom"/>
            <w:tcBorders>
              <w:right w:val="single" w:sz="8" w:color="auto"/>
            </w:tcBorders>
            <w:shd w:val="clear" w:color="auto" w:fill="33CCCC"/>
          </w:tcPr>
          <w:p>
            <w:pPr>
              <w:spacing w:after="0"/>
              <w:rPr>
                <w:sz w:val="17"/>
                <w:szCs w:val="17"/>
                <w:color w:val="auto"/>
              </w:rPr>
            </w:pPr>
          </w:p>
        </w:tc>
      </w:tr>
      <w:tr>
        <w:trPr>
          <w:trHeight w:val="183"/>
        </w:trPr>
        <w:tc>
          <w:tcPr>
            <w:tcW w:w="1820" w:type="dxa"/>
            <w:vAlign w:val="bottom"/>
            <w:tcBorders>
              <w:left w:val="single" w:sz="8" w:color="auto"/>
              <w:right w:val="single" w:sz="8" w:color="33CCCC"/>
            </w:tcBorders>
            <w:shd w:val="clear" w:color="auto" w:fill="33CCCC"/>
          </w:tcPr>
          <w:p>
            <w:pPr>
              <w:spacing w:after="0"/>
              <w:rPr>
                <w:sz w:val="15"/>
                <w:szCs w:val="15"/>
                <w:color w:val="auto"/>
              </w:rPr>
            </w:pPr>
          </w:p>
        </w:tc>
        <w:tc>
          <w:tcPr>
            <w:tcW w:w="300" w:type="dxa"/>
            <w:vAlign w:val="bottom"/>
            <w:tcBorders>
              <w:right w:val="single" w:sz="8" w:color="auto"/>
            </w:tcBorders>
            <w:shd w:val="clear" w:color="auto" w:fill="33CCCC"/>
          </w:tcPr>
          <w:p>
            <w:pPr>
              <w:spacing w:after="0"/>
              <w:rPr>
                <w:sz w:val="15"/>
                <w:szCs w:val="15"/>
                <w:color w:val="auto"/>
              </w:rPr>
            </w:pPr>
          </w:p>
        </w:tc>
        <w:tc>
          <w:tcPr>
            <w:tcW w:w="1800" w:type="dxa"/>
            <w:vAlign w:val="bottom"/>
            <w:tcBorders>
              <w:right w:val="single" w:sz="8" w:color="auto"/>
            </w:tcBorders>
            <w:gridSpan w:val="7"/>
          </w:tcPr>
          <w:p>
            <w:pPr>
              <w:jc w:val="right"/>
              <w:spacing w:after="0" w:line="166" w:lineRule="exact"/>
              <w:rPr>
                <w:sz w:val="20"/>
                <w:szCs w:val="20"/>
                <w:color w:val="auto"/>
              </w:rPr>
            </w:pPr>
            <w:r>
              <w:rPr>
                <w:rFonts w:ascii="Arial" w:cs="Arial" w:eastAsia="Arial" w:hAnsi="Arial"/>
                <w:sz w:val="16"/>
                <w:szCs w:val="16"/>
                <w:b w:val="1"/>
                <w:bCs w:val="1"/>
                <w:color w:val="FFFFFF"/>
              </w:rPr>
              <w:t>BalanceExpenseYields</w:t>
            </w:r>
          </w:p>
        </w:tc>
        <w:tc>
          <w:tcPr>
            <w:tcW w:w="1880" w:type="dxa"/>
            <w:vAlign w:val="bottom"/>
            <w:tcBorders>
              <w:right w:val="single" w:sz="8" w:color="auto"/>
            </w:tcBorders>
            <w:gridSpan w:val="5"/>
          </w:tcPr>
          <w:p>
            <w:pPr>
              <w:ind w:left="40"/>
              <w:spacing w:after="0" w:line="166" w:lineRule="exact"/>
              <w:rPr>
                <w:sz w:val="20"/>
                <w:szCs w:val="20"/>
                <w:color w:val="auto"/>
              </w:rPr>
            </w:pPr>
            <w:r>
              <w:rPr>
                <w:rFonts w:ascii="Arial" w:cs="Arial" w:eastAsia="Arial" w:hAnsi="Arial"/>
                <w:sz w:val="16"/>
                <w:szCs w:val="16"/>
                <w:b w:val="1"/>
                <w:bCs w:val="1"/>
                <w:color w:val="FFFFFF"/>
                <w:shd w:val="clear" w:color="auto" w:fill="33CCCC"/>
              </w:rPr>
              <w:t>Balance ExpenseYields</w:t>
            </w:r>
          </w:p>
        </w:tc>
        <w:tc>
          <w:tcPr>
            <w:tcW w:w="1860" w:type="dxa"/>
            <w:vAlign w:val="bottom"/>
            <w:tcBorders>
              <w:right w:val="single" w:sz="8" w:color="auto"/>
            </w:tcBorders>
            <w:gridSpan w:val="5"/>
          </w:tcPr>
          <w:p>
            <w:pPr>
              <w:ind w:left="20"/>
              <w:spacing w:after="0" w:line="166" w:lineRule="exact"/>
              <w:rPr>
                <w:sz w:val="20"/>
                <w:szCs w:val="20"/>
                <w:color w:val="auto"/>
              </w:rPr>
            </w:pPr>
            <w:r>
              <w:rPr>
                <w:rFonts w:ascii="Arial" w:cs="Arial" w:eastAsia="Arial" w:hAnsi="Arial"/>
                <w:sz w:val="16"/>
                <w:szCs w:val="16"/>
                <w:b w:val="1"/>
                <w:bCs w:val="1"/>
                <w:color w:val="FFFFFF"/>
                <w:shd w:val="clear" w:color="auto" w:fill="33CCCC"/>
              </w:rPr>
              <w:t>Balance ExpenseYields</w:t>
            </w:r>
          </w:p>
        </w:tc>
        <w:tc>
          <w:tcPr>
            <w:tcW w:w="60" w:type="dxa"/>
            <w:vAlign w:val="bottom"/>
            <w:tcBorders>
              <w:right w:val="single" w:sz="8" w:color="auto"/>
            </w:tcBorders>
          </w:tcPr>
          <w:p>
            <w:pPr>
              <w:spacing w:after="0"/>
              <w:rPr>
                <w:sz w:val="15"/>
                <w:szCs w:val="15"/>
                <w:color w:val="auto"/>
              </w:rPr>
            </w:pPr>
          </w:p>
        </w:tc>
        <w:tc>
          <w:tcPr>
            <w:tcW w:w="660" w:type="dxa"/>
            <w:vAlign w:val="bottom"/>
            <w:gridSpan w:val="2"/>
            <w:shd w:val="clear" w:color="auto" w:fill="33CCCC"/>
          </w:tcPr>
          <w:p>
            <w:pPr>
              <w:ind w:left="20"/>
              <w:spacing w:after="0" w:line="183" w:lineRule="exact"/>
              <w:rPr>
                <w:sz w:val="20"/>
                <w:szCs w:val="20"/>
                <w:color w:val="auto"/>
              </w:rPr>
            </w:pPr>
            <w:r>
              <w:rPr>
                <w:rFonts w:ascii="Arial" w:cs="Arial" w:eastAsia="Arial" w:hAnsi="Arial"/>
                <w:sz w:val="16"/>
                <w:szCs w:val="16"/>
                <w:b w:val="1"/>
                <w:bCs w:val="1"/>
                <w:color w:val="FFFFFF"/>
              </w:rPr>
              <w:t>Balance</w:t>
            </w:r>
          </w:p>
        </w:tc>
        <w:tc>
          <w:tcPr>
            <w:tcW w:w="1180" w:type="dxa"/>
            <w:vAlign w:val="bottom"/>
            <w:tcBorders>
              <w:right w:val="single" w:sz="8" w:color="auto"/>
            </w:tcBorders>
            <w:gridSpan w:val="5"/>
            <w:shd w:val="clear" w:color="auto" w:fill="33CCCC"/>
          </w:tcPr>
          <w:p>
            <w:pPr>
              <w:jc w:val="right"/>
              <w:spacing w:after="0" w:line="183" w:lineRule="exact"/>
              <w:rPr>
                <w:sz w:val="20"/>
                <w:szCs w:val="20"/>
                <w:color w:val="auto"/>
              </w:rPr>
            </w:pPr>
            <w:r>
              <w:rPr>
                <w:rFonts w:ascii="Arial" w:cs="Arial" w:eastAsia="Arial" w:hAnsi="Arial"/>
                <w:sz w:val="16"/>
                <w:szCs w:val="16"/>
                <w:b w:val="1"/>
                <w:bCs w:val="1"/>
                <w:color w:val="FFFFFF"/>
                <w:shd w:val="clear" w:color="auto" w:fill="33CCCC"/>
              </w:rPr>
              <w:t>ExpenseYields</w:t>
            </w:r>
          </w:p>
        </w:tc>
        <w:tc>
          <w:tcPr>
            <w:tcW w:w="1800" w:type="dxa"/>
            <w:vAlign w:val="bottom"/>
            <w:tcBorders>
              <w:right w:val="single" w:sz="8" w:color="auto"/>
            </w:tcBorders>
            <w:gridSpan w:val="4"/>
            <w:shd w:val="clear" w:color="auto" w:fill="33CCCC"/>
          </w:tcPr>
          <w:p>
            <w:pPr>
              <w:spacing w:after="0" w:line="183" w:lineRule="exact"/>
              <w:rPr>
                <w:sz w:val="20"/>
                <w:szCs w:val="20"/>
                <w:color w:val="auto"/>
              </w:rPr>
            </w:pPr>
            <w:r>
              <w:rPr>
                <w:rFonts w:ascii="Arial" w:cs="Arial" w:eastAsia="Arial" w:hAnsi="Arial"/>
                <w:sz w:val="16"/>
                <w:szCs w:val="16"/>
                <w:b w:val="1"/>
                <w:bCs w:val="1"/>
                <w:color w:val="FFFFFF"/>
                <w:shd w:val="clear" w:color="auto" w:fill="33CCCC"/>
              </w:rPr>
              <w:t>BalanceExpenseYields</w:t>
            </w:r>
          </w:p>
        </w:tc>
      </w:tr>
      <w:tr>
        <w:trPr>
          <w:trHeight w:val="166"/>
        </w:trPr>
        <w:tc>
          <w:tcPr>
            <w:tcW w:w="1820" w:type="dxa"/>
            <w:vAlign w:val="bottom"/>
            <w:tcBorders>
              <w:left w:val="single" w:sz="8" w:color="auto"/>
            </w:tcBorders>
          </w:tcPr>
          <w:p>
            <w:pPr>
              <w:spacing w:after="0" w:line="166" w:lineRule="exact"/>
              <w:rPr>
                <w:sz w:val="20"/>
                <w:szCs w:val="20"/>
                <w:color w:val="auto"/>
              </w:rPr>
            </w:pPr>
            <w:r>
              <w:rPr>
                <w:rFonts w:ascii="Arial" w:cs="Arial" w:eastAsia="Arial" w:hAnsi="Arial"/>
                <w:sz w:val="16"/>
                <w:szCs w:val="16"/>
                <w:color w:val="auto"/>
              </w:rPr>
              <w:t>Deposits</w:t>
            </w:r>
          </w:p>
        </w:tc>
        <w:tc>
          <w:tcPr>
            <w:tcW w:w="300" w:type="dxa"/>
            <w:vAlign w:val="bottom"/>
            <w:tcBorders>
              <w:right w:val="single" w:sz="8" w:color="auto"/>
            </w:tcBorders>
          </w:tcPr>
          <w:p>
            <w:pPr>
              <w:spacing w:after="0"/>
              <w:rPr>
                <w:sz w:val="14"/>
                <w:szCs w:val="14"/>
                <w:color w:val="auto"/>
              </w:rPr>
            </w:pPr>
          </w:p>
        </w:tc>
        <w:tc>
          <w:tcPr>
            <w:tcW w:w="640" w:type="dxa"/>
            <w:vAlign w:val="bottom"/>
            <w:gridSpan w:val="3"/>
          </w:tcPr>
          <w:p>
            <w:pPr>
              <w:jc w:val="right"/>
              <w:spacing w:after="0" w:line="166" w:lineRule="exact"/>
              <w:rPr>
                <w:sz w:val="20"/>
                <w:szCs w:val="20"/>
                <w:color w:val="auto"/>
              </w:rPr>
            </w:pPr>
            <w:r>
              <w:rPr>
                <w:rFonts w:ascii="Arial" w:cs="Arial" w:eastAsia="Arial" w:hAnsi="Arial"/>
                <w:sz w:val="16"/>
                <w:szCs w:val="16"/>
                <w:color w:val="auto"/>
              </w:rPr>
              <w:t>148,894</w:t>
            </w:r>
          </w:p>
        </w:tc>
        <w:tc>
          <w:tcPr>
            <w:tcW w:w="7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210</w:t>
            </w:r>
          </w:p>
        </w:tc>
        <w:tc>
          <w:tcPr>
            <w:tcW w:w="440" w:type="dxa"/>
            <w:vAlign w:val="bottom"/>
            <w:tcBorders>
              <w:right w:val="single" w:sz="8" w:color="auto"/>
            </w:tcBorders>
            <w:gridSpan w:val="2"/>
          </w:tcPr>
          <w:p>
            <w:pPr>
              <w:jc w:val="right"/>
              <w:spacing w:after="0" w:line="166" w:lineRule="exact"/>
              <w:rPr>
                <w:sz w:val="20"/>
                <w:szCs w:val="20"/>
                <w:color w:val="auto"/>
              </w:rPr>
            </w:pPr>
            <w:r>
              <w:rPr>
                <w:rFonts w:ascii="Arial" w:cs="Arial" w:eastAsia="Arial" w:hAnsi="Arial"/>
                <w:sz w:val="16"/>
                <w:szCs w:val="16"/>
                <w:color w:val="auto"/>
              </w:rPr>
              <w:t>0.6%</w:t>
            </w:r>
          </w:p>
        </w:tc>
        <w:tc>
          <w:tcPr>
            <w:tcW w:w="7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149,128</w:t>
            </w:r>
          </w:p>
        </w:tc>
        <w:tc>
          <w:tcPr>
            <w:tcW w:w="340" w:type="dxa"/>
            <w:vAlign w:val="bottom"/>
          </w:tcPr>
          <w:p>
            <w:pPr>
              <w:spacing w:after="0"/>
              <w:rPr>
                <w:sz w:val="14"/>
                <w:szCs w:val="14"/>
                <w:color w:val="auto"/>
              </w:rPr>
            </w:pPr>
          </w:p>
        </w:tc>
        <w:tc>
          <w:tcPr>
            <w:tcW w:w="460" w:type="dxa"/>
            <w:vAlign w:val="bottom"/>
          </w:tcPr>
          <w:p>
            <w:pPr>
              <w:jc w:val="right"/>
              <w:ind w:right="59"/>
              <w:spacing w:after="0" w:line="166" w:lineRule="exact"/>
              <w:rPr>
                <w:sz w:val="20"/>
                <w:szCs w:val="20"/>
                <w:color w:val="auto"/>
              </w:rPr>
            </w:pPr>
            <w:r>
              <w:rPr>
                <w:rFonts w:ascii="Arial" w:cs="Arial" w:eastAsia="Arial" w:hAnsi="Arial"/>
                <w:sz w:val="16"/>
                <w:szCs w:val="16"/>
                <w:color w:val="auto"/>
              </w:rPr>
              <w:t>259</w:t>
            </w:r>
          </w:p>
        </w:tc>
        <w:tc>
          <w:tcPr>
            <w:tcW w:w="36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w w:val="87"/>
              </w:rPr>
              <w:t>0.7%</w:t>
            </w:r>
          </w:p>
        </w:tc>
        <w:tc>
          <w:tcPr>
            <w:tcW w:w="880" w:type="dxa"/>
            <w:vAlign w:val="bottom"/>
            <w:gridSpan w:val="2"/>
          </w:tcPr>
          <w:p>
            <w:pPr>
              <w:jc w:val="right"/>
              <w:ind w:right="119"/>
              <w:spacing w:after="0" w:line="166" w:lineRule="exact"/>
              <w:rPr>
                <w:sz w:val="20"/>
                <w:szCs w:val="20"/>
                <w:color w:val="auto"/>
              </w:rPr>
            </w:pPr>
            <w:r>
              <w:rPr>
                <w:rFonts w:ascii="Arial" w:cs="Arial" w:eastAsia="Arial" w:hAnsi="Arial"/>
                <w:sz w:val="16"/>
                <w:szCs w:val="16"/>
                <w:color w:val="auto"/>
              </w:rPr>
              <w:t>147,678</w:t>
            </w:r>
          </w:p>
        </w:tc>
        <w:tc>
          <w:tcPr>
            <w:tcW w:w="58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337</w:t>
            </w:r>
          </w:p>
        </w:tc>
        <w:tc>
          <w:tcPr>
            <w:tcW w:w="4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w w:val="98"/>
              </w:rPr>
              <w:t>0.9%</w:t>
            </w:r>
          </w:p>
        </w:tc>
        <w:tc>
          <w:tcPr>
            <w:tcW w:w="60" w:type="dxa"/>
            <w:vAlign w:val="bottom"/>
            <w:tcBorders>
              <w:right w:val="single" w:sz="8" w:color="auto"/>
            </w:tcBorders>
          </w:tcPr>
          <w:p>
            <w:pPr>
              <w:spacing w:after="0"/>
              <w:rPr>
                <w:sz w:val="14"/>
                <w:szCs w:val="14"/>
                <w:color w:val="auto"/>
              </w:rPr>
            </w:pPr>
          </w:p>
        </w:tc>
        <w:tc>
          <w:tcPr>
            <w:tcW w:w="66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145,764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w w:val="97"/>
              </w:rPr>
              <w:t>433</w:t>
            </w:r>
          </w:p>
        </w:tc>
        <w:tc>
          <w:tcPr>
            <w:tcW w:w="440" w:type="dxa"/>
            <w:vAlign w:val="bottom"/>
            <w:tcBorders>
              <w:right w:val="single" w:sz="8" w:color="auto"/>
            </w:tcBorders>
            <w:gridSpan w:val="2"/>
          </w:tcPr>
          <w:p>
            <w:pPr>
              <w:jc w:val="right"/>
              <w:spacing w:after="0" w:line="166" w:lineRule="exact"/>
              <w:rPr>
                <w:sz w:val="20"/>
                <w:szCs w:val="20"/>
                <w:color w:val="auto"/>
              </w:rPr>
            </w:pPr>
            <w:r>
              <w:rPr>
                <w:rFonts w:ascii="Arial" w:cs="Arial" w:eastAsia="Arial" w:hAnsi="Arial"/>
                <w:sz w:val="16"/>
                <w:szCs w:val="16"/>
                <w:color w:val="auto"/>
              </w:rPr>
              <w:t>0.6%</w:t>
            </w: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148,891</w:t>
            </w: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596</w:t>
            </w:r>
          </w:p>
        </w:tc>
        <w:tc>
          <w:tcPr>
            <w:tcW w:w="500" w:type="dxa"/>
            <w:vAlign w:val="bottom"/>
            <w:tcBorders>
              <w:right w:val="single" w:sz="8" w:color="auto"/>
            </w:tcBorders>
            <w:gridSpan w:val="2"/>
          </w:tcPr>
          <w:p>
            <w:pPr>
              <w:jc w:val="right"/>
              <w:ind w:right="20"/>
              <w:spacing w:after="0" w:line="166" w:lineRule="exact"/>
              <w:rPr>
                <w:sz w:val="20"/>
                <w:szCs w:val="20"/>
                <w:color w:val="auto"/>
              </w:rPr>
            </w:pPr>
            <w:r>
              <w:rPr>
                <w:rFonts w:ascii="Arial" w:cs="Arial" w:eastAsia="Arial" w:hAnsi="Arial"/>
                <w:sz w:val="16"/>
                <w:szCs w:val="16"/>
                <w:color w:val="auto"/>
              </w:rPr>
              <w:t>0.8%</w:t>
            </w:r>
          </w:p>
        </w:tc>
      </w:tr>
      <w:tr>
        <w:trPr>
          <w:trHeight w:val="183"/>
        </w:trPr>
        <w:tc>
          <w:tcPr>
            <w:tcW w:w="1820" w:type="dxa"/>
            <w:vAlign w:val="bottom"/>
            <w:tcBorders>
              <w:left w:val="single" w:sz="8" w:color="auto"/>
            </w:tcBorders>
          </w:tcPr>
          <w:p>
            <w:pPr>
              <w:spacing w:after="0" w:line="183" w:lineRule="exact"/>
              <w:rPr>
                <w:sz w:val="20"/>
                <w:szCs w:val="20"/>
                <w:color w:val="auto"/>
              </w:rPr>
            </w:pPr>
            <w:r>
              <w:rPr>
                <w:rFonts w:ascii="Arial" w:cs="Arial" w:eastAsia="Arial" w:hAnsi="Arial"/>
                <w:sz w:val="16"/>
                <w:szCs w:val="16"/>
                <w:color w:val="auto"/>
              </w:rPr>
              <w:t>BCRP + Due to Banks</w:t>
            </w:r>
          </w:p>
        </w:tc>
        <w:tc>
          <w:tcPr>
            <w:tcW w:w="300" w:type="dxa"/>
            <w:vAlign w:val="bottom"/>
            <w:tcBorders>
              <w:right w:val="single" w:sz="8" w:color="auto"/>
            </w:tcBorders>
          </w:tcPr>
          <w:p>
            <w:pPr>
              <w:spacing w:after="0"/>
              <w:rPr>
                <w:sz w:val="15"/>
                <w:szCs w:val="15"/>
                <w:color w:val="auto"/>
              </w:rPr>
            </w:pPr>
          </w:p>
        </w:tc>
        <w:tc>
          <w:tcPr>
            <w:tcW w:w="64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29,589</w:t>
            </w: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101</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1.4%</w:t>
            </w: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25,400</w:t>
            </w:r>
          </w:p>
        </w:tc>
        <w:tc>
          <w:tcPr>
            <w:tcW w:w="340" w:type="dxa"/>
            <w:vAlign w:val="bottom"/>
          </w:tcPr>
          <w:p>
            <w:pPr>
              <w:spacing w:after="0"/>
              <w:rPr>
                <w:sz w:val="15"/>
                <w:szCs w:val="15"/>
                <w:color w:val="auto"/>
              </w:rPr>
            </w:pPr>
          </w:p>
        </w:tc>
        <w:tc>
          <w:tcPr>
            <w:tcW w:w="460" w:type="dxa"/>
            <w:vAlign w:val="bottom"/>
          </w:tcPr>
          <w:p>
            <w:pPr>
              <w:ind w:left="60"/>
              <w:spacing w:after="0" w:line="183" w:lineRule="exact"/>
              <w:rPr>
                <w:sz w:val="20"/>
                <w:szCs w:val="20"/>
                <w:color w:val="auto"/>
              </w:rPr>
            </w:pPr>
            <w:r>
              <w:rPr>
                <w:rFonts w:ascii="Arial" w:cs="Arial" w:eastAsia="Arial" w:hAnsi="Arial"/>
                <w:sz w:val="16"/>
                <w:szCs w:val="16"/>
                <w:color w:val="auto"/>
              </w:rPr>
              <w:t>116</w:t>
            </w:r>
          </w:p>
        </w:tc>
        <w:tc>
          <w:tcPr>
            <w:tcW w:w="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87"/>
              </w:rPr>
              <w:t>1.8%</w:t>
            </w:r>
          </w:p>
        </w:tc>
        <w:tc>
          <w:tcPr>
            <w:tcW w:w="88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23,192</w:t>
            </w:r>
          </w:p>
        </w:tc>
        <w:tc>
          <w:tcPr>
            <w:tcW w:w="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142</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2.4%</w:t>
            </w:r>
          </w:p>
        </w:tc>
        <w:tc>
          <w:tcPr>
            <w:tcW w:w="60" w:type="dxa"/>
            <w:vAlign w:val="bottom"/>
            <w:tcBorders>
              <w:right w:val="single" w:sz="8" w:color="auto"/>
            </w:tcBorders>
          </w:tcPr>
          <w:p>
            <w:pPr>
              <w:spacing w:after="0"/>
              <w:rPr>
                <w:sz w:val="15"/>
                <w:szCs w:val="15"/>
                <w:color w:val="auto"/>
              </w:rPr>
            </w:pPr>
          </w:p>
        </w:tc>
        <w:tc>
          <w:tcPr>
            <w:tcW w:w="7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30,641</w:t>
            </w:r>
          </w:p>
        </w:tc>
        <w:tc>
          <w:tcPr>
            <w:tcW w:w="34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w w:val="97"/>
              </w:rPr>
              <w:t>213</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1.4%</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24,697</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258</w:t>
            </w:r>
          </w:p>
        </w:tc>
        <w:tc>
          <w:tcPr>
            <w:tcW w:w="50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2.1%</w:t>
            </w:r>
          </w:p>
        </w:tc>
      </w:tr>
      <w:tr>
        <w:trPr>
          <w:trHeight w:val="183"/>
        </w:trPr>
        <w:tc>
          <w:tcPr>
            <w:tcW w:w="1820" w:type="dxa"/>
            <w:vAlign w:val="bottom"/>
            <w:tcBorders>
              <w:left w:val="single" w:sz="8" w:color="auto"/>
            </w:tcBorders>
          </w:tcPr>
          <w:p>
            <w:pPr>
              <w:spacing w:after="0" w:line="183" w:lineRule="exact"/>
              <w:rPr>
                <w:sz w:val="20"/>
                <w:szCs w:val="20"/>
                <w:color w:val="auto"/>
              </w:rPr>
            </w:pPr>
            <w:r>
              <w:rPr>
                <w:rFonts w:ascii="Arial" w:cs="Arial" w:eastAsia="Arial" w:hAnsi="Arial"/>
                <w:sz w:val="16"/>
                <w:szCs w:val="16"/>
                <w:color w:val="auto"/>
              </w:rPr>
              <w:t>Bonds and Notes</w:t>
            </w:r>
          </w:p>
        </w:tc>
        <w:tc>
          <w:tcPr>
            <w:tcW w:w="300" w:type="dxa"/>
            <w:vAlign w:val="bottom"/>
            <w:tcBorders>
              <w:right w:val="single" w:sz="8" w:color="auto"/>
            </w:tcBorders>
          </w:tcPr>
          <w:p>
            <w:pPr>
              <w:spacing w:after="0"/>
              <w:rPr>
                <w:sz w:val="15"/>
                <w:szCs w:val="15"/>
                <w:color w:val="auto"/>
              </w:rPr>
            </w:pPr>
          </w:p>
        </w:tc>
        <w:tc>
          <w:tcPr>
            <w:tcW w:w="64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17,407</w:t>
            </w: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179</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4.1%</w:t>
            </w: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16,562</w:t>
            </w:r>
          </w:p>
        </w:tc>
        <w:tc>
          <w:tcPr>
            <w:tcW w:w="340" w:type="dxa"/>
            <w:vAlign w:val="bottom"/>
          </w:tcPr>
          <w:p>
            <w:pPr>
              <w:spacing w:after="0"/>
              <w:rPr>
                <w:sz w:val="15"/>
                <w:szCs w:val="15"/>
                <w:color w:val="auto"/>
              </w:rPr>
            </w:pPr>
          </w:p>
        </w:tc>
        <w:tc>
          <w:tcPr>
            <w:tcW w:w="4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165</w:t>
            </w:r>
          </w:p>
        </w:tc>
        <w:tc>
          <w:tcPr>
            <w:tcW w:w="3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87"/>
              </w:rPr>
              <w:t>4.0%</w:t>
            </w:r>
          </w:p>
        </w:tc>
        <w:tc>
          <w:tcPr>
            <w:tcW w:w="88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16,312</w:t>
            </w:r>
          </w:p>
        </w:tc>
        <w:tc>
          <w:tcPr>
            <w:tcW w:w="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168</w:t>
            </w:r>
          </w:p>
        </w:tc>
        <w:tc>
          <w:tcPr>
            <w:tcW w:w="4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4.1%</w:t>
            </w:r>
          </w:p>
        </w:tc>
        <w:tc>
          <w:tcPr>
            <w:tcW w:w="60" w:type="dxa"/>
            <w:vAlign w:val="bottom"/>
            <w:tcBorders>
              <w:right w:val="single" w:sz="8" w:color="auto"/>
            </w:tcBorders>
          </w:tcPr>
          <w:p>
            <w:pPr>
              <w:spacing w:after="0"/>
              <w:rPr>
                <w:sz w:val="15"/>
                <w:szCs w:val="15"/>
                <w:color w:val="auto"/>
              </w:rPr>
            </w:pPr>
          </w:p>
        </w:tc>
        <w:tc>
          <w:tcPr>
            <w:tcW w:w="7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16,635</w:t>
            </w:r>
          </w:p>
        </w:tc>
        <w:tc>
          <w:tcPr>
            <w:tcW w:w="34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w w:val="97"/>
              </w:rPr>
              <w:t>446</w:t>
            </w:r>
          </w:p>
        </w:tc>
        <w:tc>
          <w:tcPr>
            <w:tcW w:w="4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5.4%</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16,829</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334</w:t>
            </w:r>
          </w:p>
        </w:tc>
        <w:tc>
          <w:tcPr>
            <w:tcW w:w="50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4.0%</w:t>
            </w:r>
          </w:p>
        </w:tc>
      </w:tr>
      <w:tr>
        <w:trPr>
          <w:trHeight w:val="199"/>
        </w:trPr>
        <w:tc>
          <w:tcPr>
            <w:tcW w:w="1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Others</w:t>
            </w:r>
          </w:p>
        </w:tc>
        <w:tc>
          <w:tcPr>
            <w:tcW w:w="30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1,218</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6"/>
                <w:szCs w:val="16"/>
                <w:color w:val="auto"/>
              </w:rPr>
              <w:t>9230.3%</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1,257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9831.1%</w:t>
            </w:r>
          </w:p>
        </w:tc>
        <w:tc>
          <w:tcPr>
            <w:tcW w:w="8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1,279</w:t>
            </w:r>
          </w:p>
        </w:tc>
        <w:tc>
          <w:tcPr>
            <w:tcW w:w="9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6"/>
                <w:szCs w:val="16"/>
                <w:color w:val="auto"/>
              </w:rPr>
              <w:t>10131.5%</w:t>
            </w:r>
          </w:p>
        </w:tc>
        <w:tc>
          <w:tcPr>
            <w:tcW w:w="60" w:type="dxa"/>
            <w:vAlign w:val="bottom"/>
            <w:tcBorders>
              <w:right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1,175</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6"/>
                <w:szCs w:val="16"/>
                <w:color w:val="auto"/>
              </w:rPr>
              <w:t>18331.2%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19830.1%</w:t>
            </w: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Funding</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197,109</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583</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1.2%</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192,348</w:t>
            </w: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638</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87"/>
              </w:rPr>
              <w:t>1.3%</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b w:val="1"/>
                <w:bCs w:val="1"/>
                <w:color w:val="auto"/>
              </w:rPr>
              <w:t>188,461</w:t>
            </w:r>
          </w:p>
        </w:tc>
        <w:tc>
          <w:tcPr>
            <w:tcW w:w="580" w:type="dxa"/>
            <w:vAlign w:val="bottom"/>
            <w:tcBorders>
              <w:bottom w:val="single" w:sz="8" w:color="auto"/>
            </w:tcBorders>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748</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8"/>
              </w:rPr>
              <w:t>1.6%</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194,215</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1,275</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1.3%</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191,735</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1,386</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1.4%</w:t>
            </w: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color w:val="auto"/>
              </w:rPr>
              <w:t>Funding (LC)</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54.5%</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48.6%</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1.1%</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51.4%</w:t>
            </w:r>
          </w:p>
        </w:tc>
        <w:tc>
          <w:tcPr>
            <w:tcW w:w="800" w:type="dxa"/>
            <w:vAlign w:val="bottom"/>
            <w:tcBorders>
              <w:bottom w:val="single" w:sz="8" w:color="auto"/>
            </w:tcBorders>
            <w:gridSpan w:val="2"/>
          </w:tcPr>
          <w:p>
            <w:pPr>
              <w:jc w:val="right"/>
              <w:ind w:right="59"/>
              <w:spacing w:after="0" w:line="175" w:lineRule="exact"/>
              <w:rPr>
                <w:sz w:val="20"/>
                <w:szCs w:val="20"/>
                <w:color w:val="auto"/>
              </w:rPr>
            </w:pPr>
            <w:r>
              <w:rPr>
                <w:rFonts w:ascii="Arial" w:cs="Arial" w:eastAsia="Arial" w:hAnsi="Arial"/>
                <w:sz w:val="16"/>
                <w:szCs w:val="16"/>
                <w:color w:val="auto"/>
              </w:rPr>
              <w:t>53.6%</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87"/>
              </w:rPr>
              <w:t>1.4%</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color w:val="auto"/>
              </w:rPr>
              <w:t>51.4%</w:t>
            </w:r>
          </w:p>
        </w:tc>
        <w:tc>
          <w:tcPr>
            <w:tcW w:w="580" w:type="dxa"/>
            <w:vAlign w:val="bottom"/>
            <w:tcBorders>
              <w:bottom w:val="single" w:sz="8" w:color="auto"/>
            </w:tcBorders>
            <w:gridSpan w:val="2"/>
          </w:tcPr>
          <w:p>
            <w:pPr>
              <w:jc w:val="right"/>
              <w:ind w:right="100"/>
              <w:spacing w:after="0" w:line="175" w:lineRule="exact"/>
              <w:rPr>
                <w:sz w:val="20"/>
                <w:szCs w:val="20"/>
                <w:color w:val="auto"/>
              </w:rPr>
            </w:pPr>
            <w:r>
              <w:rPr>
                <w:rFonts w:ascii="Arial" w:cs="Arial" w:eastAsia="Arial" w:hAnsi="Arial"/>
                <w:sz w:val="16"/>
                <w:szCs w:val="16"/>
                <w:color w:val="auto"/>
              </w:rPr>
              <w:t>58.4%</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1.8%</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55.5%</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45.5%</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1.1%</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51.0%</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56.2%</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1.6%</w:t>
            </w: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color w:val="auto"/>
              </w:rPr>
              <w:t>Funding (FC)</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45.5%</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51.4%</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1.3%</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48.6%</w:t>
            </w:r>
          </w:p>
        </w:tc>
        <w:tc>
          <w:tcPr>
            <w:tcW w:w="800" w:type="dxa"/>
            <w:vAlign w:val="bottom"/>
            <w:tcBorders>
              <w:bottom w:val="single" w:sz="8" w:color="auto"/>
            </w:tcBorders>
            <w:gridSpan w:val="2"/>
          </w:tcPr>
          <w:p>
            <w:pPr>
              <w:jc w:val="right"/>
              <w:ind w:right="59"/>
              <w:spacing w:after="0" w:line="175" w:lineRule="exact"/>
              <w:rPr>
                <w:sz w:val="20"/>
                <w:szCs w:val="20"/>
                <w:color w:val="auto"/>
              </w:rPr>
            </w:pPr>
            <w:r>
              <w:rPr>
                <w:rFonts w:ascii="Arial" w:cs="Arial" w:eastAsia="Arial" w:hAnsi="Arial"/>
                <w:sz w:val="16"/>
                <w:szCs w:val="16"/>
                <w:color w:val="auto"/>
              </w:rPr>
              <w:t>46.4%</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87"/>
              </w:rPr>
              <w:t>1.3%</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color w:val="auto"/>
              </w:rPr>
              <w:t>48.6%</w:t>
            </w:r>
          </w:p>
        </w:tc>
        <w:tc>
          <w:tcPr>
            <w:tcW w:w="580" w:type="dxa"/>
            <w:vAlign w:val="bottom"/>
            <w:tcBorders>
              <w:bottom w:val="single" w:sz="8" w:color="auto"/>
            </w:tcBorders>
            <w:gridSpan w:val="2"/>
          </w:tcPr>
          <w:p>
            <w:pPr>
              <w:jc w:val="right"/>
              <w:ind w:right="100"/>
              <w:spacing w:after="0" w:line="175" w:lineRule="exact"/>
              <w:rPr>
                <w:sz w:val="20"/>
                <w:szCs w:val="20"/>
                <w:color w:val="auto"/>
              </w:rPr>
            </w:pPr>
            <w:r>
              <w:rPr>
                <w:rFonts w:ascii="Arial" w:cs="Arial" w:eastAsia="Arial" w:hAnsi="Arial"/>
                <w:sz w:val="16"/>
                <w:szCs w:val="16"/>
                <w:color w:val="auto"/>
              </w:rPr>
              <w:t>41.6%</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1.4%</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44.5%</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54.5%</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1.6%</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49.0%</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43.8%</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1.3%</w:t>
            </w:r>
          </w:p>
        </w:tc>
      </w:tr>
      <w:tr>
        <w:trPr>
          <w:trHeight w:val="163"/>
        </w:trPr>
        <w:tc>
          <w:tcPr>
            <w:tcW w:w="1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NIM</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230,238</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2,309</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4.0%</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228,195</w:t>
            </w:r>
          </w:p>
        </w:tc>
        <w:tc>
          <w:tcPr>
            <w:tcW w:w="800" w:type="dxa"/>
            <w:vAlign w:val="bottom"/>
            <w:tcBorders>
              <w:bottom w:val="single" w:sz="8" w:color="auto"/>
            </w:tcBorders>
            <w:gridSpan w:val="2"/>
          </w:tcPr>
          <w:p>
            <w:pPr>
              <w:jc w:val="right"/>
              <w:ind w:right="59"/>
              <w:spacing w:after="0" w:line="175" w:lineRule="exact"/>
              <w:rPr>
                <w:sz w:val="20"/>
                <w:szCs w:val="20"/>
                <w:color w:val="auto"/>
              </w:rPr>
            </w:pPr>
            <w:r>
              <w:rPr>
                <w:rFonts w:ascii="Arial" w:cs="Arial" w:eastAsia="Arial" w:hAnsi="Arial"/>
                <w:sz w:val="16"/>
                <w:szCs w:val="16"/>
                <w:b w:val="1"/>
                <w:bCs w:val="1"/>
                <w:color w:val="auto"/>
              </w:rPr>
              <w:t>2,534</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87"/>
              </w:rPr>
              <w:t>4.4%</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b w:val="1"/>
                <w:bCs w:val="1"/>
                <w:color w:val="auto"/>
              </w:rPr>
              <w:t>223,530</w:t>
            </w:r>
          </w:p>
        </w:tc>
        <w:tc>
          <w:tcPr>
            <w:tcW w:w="580" w:type="dxa"/>
            <w:vAlign w:val="bottom"/>
            <w:tcBorders>
              <w:bottom w:val="single" w:sz="8" w:color="auto"/>
            </w:tcBorders>
            <w:gridSpan w:val="2"/>
          </w:tcPr>
          <w:p>
            <w:pPr>
              <w:jc w:val="center"/>
              <w:ind w:right="20"/>
              <w:spacing w:after="0" w:line="175" w:lineRule="exact"/>
              <w:rPr>
                <w:sz w:val="20"/>
                <w:szCs w:val="20"/>
                <w:color w:val="auto"/>
              </w:rPr>
            </w:pPr>
            <w:r>
              <w:rPr>
                <w:rFonts w:ascii="Arial" w:cs="Arial" w:eastAsia="Arial" w:hAnsi="Arial"/>
                <w:sz w:val="16"/>
                <w:szCs w:val="16"/>
                <w:b w:val="1"/>
                <w:bCs w:val="1"/>
                <w:color w:val="auto"/>
                <w:w w:val="99"/>
              </w:rPr>
              <w:t>2,740</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8"/>
              </w:rPr>
              <w:t>4.9%</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b w:val="1"/>
                <w:bCs w:val="1"/>
                <w:color w:val="auto"/>
              </w:rPr>
              <w:t>227,053</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4,432</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3.9%</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227,021</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5,275</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4.6%</w:t>
            </w: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color w:val="auto"/>
              </w:rPr>
              <w:t>NIM (LC)</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59.9%</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82.5%</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5.5%</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57.8%</w:t>
            </w:r>
          </w:p>
        </w:tc>
        <w:tc>
          <w:tcPr>
            <w:tcW w:w="800" w:type="dxa"/>
            <w:vAlign w:val="bottom"/>
            <w:tcBorders>
              <w:bottom w:val="single" w:sz="8" w:color="auto"/>
            </w:tcBorders>
            <w:gridSpan w:val="2"/>
          </w:tcPr>
          <w:p>
            <w:pPr>
              <w:jc w:val="right"/>
              <w:ind w:right="59"/>
              <w:spacing w:after="0" w:line="175" w:lineRule="exact"/>
              <w:rPr>
                <w:sz w:val="20"/>
                <w:szCs w:val="20"/>
                <w:color w:val="auto"/>
              </w:rPr>
            </w:pPr>
            <w:r>
              <w:rPr>
                <w:rFonts w:ascii="Arial" w:cs="Arial" w:eastAsia="Arial" w:hAnsi="Arial"/>
                <w:sz w:val="16"/>
                <w:szCs w:val="16"/>
                <w:color w:val="auto"/>
              </w:rPr>
              <w:t>85.1%</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87"/>
              </w:rPr>
              <w:t>6.5%</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color w:val="auto"/>
              </w:rPr>
              <w:t>58.6%</w:t>
            </w:r>
          </w:p>
        </w:tc>
        <w:tc>
          <w:tcPr>
            <w:tcW w:w="580" w:type="dxa"/>
            <w:vAlign w:val="bottom"/>
            <w:tcBorders>
              <w:bottom w:val="single" w:sz="8" w:color="auto"/>
            </w:tcBorders>
            <w:gridSpan w:val="2"/>
          </w:tcPr>
          <w:p>
            <w:pPr>
              <w:jc w:val="right"/>
              <w:ind w:right="100"/>
              <w:spacing w:after="0" w:line="175" w:lineRule="exact"/>
              <w:rPr>
                <w:sz w:val="20"/>
                <w:szCs w:val="20"/>
                <w:color w:val="auto"/>
              </w:rPr>
            </w:pPr>
            <w:r>
              <w:rPr>
                <w:rFonts w:ascii="Arial" w:cs="Arial" w:eastAsia="Arial" w:hAnsi="Arial"/>
                <w:sz w:val="16"/>
                <w:szCs w:val="16"/>
                <w:color w:val="auto"/>
              </w:rPr>
              <w:t>83.7%</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7.0%</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60.5%</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84.6%</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2.7%</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57.2%</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84.4%</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3.4%</w:t>
            </w:r>
          </w:p>
        </w:tc>
      </w:tr>
      <w:tr>
        <w:trPr>
          <w:trHeight w:val="175"/>
        </w:trPr>
        <w:tc>
          <w:tcPr>
            <w:tcW w:w="1820" w:type="dxa"/>
            <w:vAlign w:val="bottom"/>
            <w:tcBorders>
              <w:left w:val="single" w:sz="8" w:color="auto"/>
              <w:bottom w:val="single" w:sz="8" w:color="auto"/>
            </w:tcBorders>
          </w:tcPr>
          <w:p>
            <w:pPr>
              <w:spacing w:after="0" w:line="175" w:lineRule="exact"/>
              <w:rPr>
                <w:sz w:val="20"/>
                <w:szCs w:val="20"/>
                <w:color w:val="auto"/>
              </w:rPr>
            </w:pPr>
            <w:r>
              <w:rPr>
                <w:rFonts w:ascii="Arial" w:cs="Arial" w:eastAsia="Arial" w:hAnsi="Arial"/>
                <w:sz w:val="16"/>
                <w:szCs w:val="16"/>
                <w:color w:val="auto"/>
              </w:rPr>
              <w:t>NIM (FC)</w:t>
            </w:r>
          </w:p>
        </w:tc>
        <w:tc>
          <w:tcPr>
            <w:tcW w:w="3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40.1%</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17.5%</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1.7%</w:t>
            </w:r>
          </w:p>
        </w:tc>
        <w:tc>
          <w:tcPr>
            <w:tcW w:w="7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42.2%</w:t>
            </w:r>
          </w:p>
        </w:tc>
        <w:tc>
          <w:tcPr>
            <w:tcW w:w="800" w:type="dxa"/>
            <w:vAlign w:val="bottom"/>
            <w:tcBorders>
              <w:bottom w:val="single" w:sz="8" w:color="auto"/>
            </w:tcBorders>
            <w:gridSpan w:val="2"/>
          </w:tcPr>
          <w:p>
            <w:pPr>
              <w:jc w:val="right"/>
              <w:ind w:right="59"/>
              <w:spacing w:after="0" w:line="175" w:lineRule="exact"/>
              <w:rPr>
                <w:sz w:val="20"/>
                <w:szCs w:val="20"/>
                <w:color w:val="auto"/>
              </w:rPr>
            </w:pPr>
            <w:r>
              <w:rPr>
                <w:rFonts w:ascii="Arial" w:cs="Arial" w:eastAsia="Arial" w:hAnsi="Arial"/>
                <w:sz w:val="16"/>
                <w:szCs w:val="16"/>
                <w:color w:val="auto"/>
              </w:rPr>
              <w:t>14.9%</w:t>
            </w:r>
          </w:p>
        </w:tc>
        <w:tc>
          <w:tcPr>
            <w:tcW w:w="3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87"/>
              </w:rPr>
              <w:t>1.6%</w:t>
            </w:r>
          </w:p>
        </w:tc>
        <w:tc>
          <w:tcPr>
            <w:tcW w:w="880" w:type="dxa"/>
            <w:vAlign w:val="bottom"/>
            <w:tcBorders>
              <w:bottom w:val="single" w:sz="8" w:color="auto"/>
            </w:tcBorders>
            <w:gridSpan w:val="2"/>
          </w:tcPr>
          <w:p>
            <w:pPr>
              <w:jc w:val="right"/>
              <w:ind w:right="119"/>
              <w:spacing w:after="0" w:line="175" w:lineRule="exact"/>
              <w:rPr>
                <w:sz w:val="20"/>
                <w:szCs w:val="20"/>
                <w:color w:val="auto"/>
              </w:rPr>
            </w:pPr>
            <w:r>
              <w:rPr>
                <w:rFonts w:ascii="Arial" w:cs="Arial" w:eastAsia="Arial" w:hAnsi="Arial"/>
                <w:sz w:val="16"/>
                <w:szCs w:val="16"/>
                <w:color w:val="auto"/>
              </w:rPr>
              <w:t>41.4%</w:t>
            </w:r>
          </w:p>
        </w:tc>
        <w:tc>
          <w:tcPr>
            <w:tcW w:w="580" w:type="dxa"/>
            <w:vAlign w:val="bottom"/>
            <w:tcBorders>
              <w:bottom w:val="single" w:sz="8" w:color="auto"/>
            </w:tcBorders>
            <w:gridSpan w:val="2"/>
          </w:tcPr>
          <w:p>
            <w:pPr>
              <w:jc w:val="right"/>
              <w:ind w:right="100"/>
              <w:spacing w:after="0" w:line="175" w:lineRule="exact"/>
              <w:rPr>
                <w:sz w:val="20"/>
                <w:szCs w:val="20"/>
                <w:color w:val="auto"/>
              </w:rPr>
            </w:pPr>
            <w:r>
              <w:rPr>
                <w:rFonts w:ascii="Arial" w:cs="Arial" w:eastAsia="Arial" w:hAnsi="Arial"/>
                <w:sz w:val="16"/>
                <w:szCs w:val="16"/>
                <w:color w:val="auto"/>
              </w:rPr>
              <w:t>16.3%</w:t>
            </w:r>
          </w:p>
        </w:tc>
        <w:tc>
          <w:tcPr>
            <w:tcW w:w="4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1.9%</w:t>
            </w:r>
          </w:p>
        </w:tc>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39.5%</w:t>
            </w:r>
          </w:p>
        </w:tc>
        <w:tc>
          <w:tcPr>
            <w:tcW w:w="68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15.4%</w:t>
            </w:r>
          </w:p>
        </w:tc>
        <w:tc>
          <w:tcPr>
            <w:tcW w:w="440" w:type="dxa"/>
            <w:vAlign w:val="bottom"/>
            <w:tcBorders>
              <w:bottom w:val="single" w:sz="8" w:color="auto"/>
              <w:right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0.8%</w:t>
            </w:r>
          </w:p>
        </w:tc>
        <w:tc>
          <w:tcPr>
            <w:tcW w:w="6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42.8%</w:t>
            </w:r>
          </w:p>
        </w:tc>
        <w:tc>
          <w:tcPr>
            <w:tcW w:w="6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15.6%</w:t>
            </w:r>
          </w:p>
        </w:tc>
        <w:tc>
          <w:tcPr>
            <w:tcW w:w="500" w:type="dxa"/>
            <w:vAlign w:val="bottom"/>
            <w:tcBorders>
              <w:bottom w:val="single" w:sz="8" w:color="auto"/>
              <w:right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-1561465</wp:posOffset>
            </wp:positionV>
            <wp:extent cx="417830" cy="231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7830" cy="23177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QoQ analysis</w:t>
      </w:r>
    </w:p>
    <w:p>
      <w:pPr>
        <w:spacing w:after="0" w:line="2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6"/>
          <w:szCs w:val="16"/>
          <w:color w:val="auto"/>
        </w:rPr>
        <w:t xml:space="preserve">QoQ, </w:t>
      </w:r>
      <w:r>
        <w:rPr>
          <w:rFonts w:ascii="Times New Roman" w:cs="Times New Roman" w:eastAsia="Times New Roman" w:hAnsi="Times New Roman"/>
          <w:sz w:val="16"/>
          <w:szCs w:val="16"/>
          <w:b w:val="1"/>
          <w:bCs w:val="1"/>
          <w:color w:val="auto"/>
        </w:rPr>
        <w:t>Net Interest Income</w:t>
      </w:r>
      <w:r>
        <w:rPr>
          <w:rFonts w:ascii="Times New Roman" w:cs="Times New Roman" w:eastAsia="Times New Roman" w:hAnsi="Times New Roman"/>
          <w:sz w:val="16"/>
          <w:szCs w:val="16"/>
          <w:color w:val="auto"/>
        </w:rPr>
        <w:t xml:space="preserve"> rose 8.1%. This evolution was driven primarily by the dynamics of IEAs in LC and by Peru’s reference rate. IEAs in LC represent 59% of total IEAs and account for 84% of the Net Interest Margin generated in 2Q22.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Local Currency Dynamics (LC)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Interest Income </w:t>
      </w:r>
      <w:r>
        <w:rPr>
          <w:rFonts w:ascii="Times New Roman" w:cs="Times New Roman" w:eastAsia="Times New Roman" w:hAnsi="Times New Roman"/>
          <w:sz w:val="16"/>
          <w:szCs w:val="16"/>
          <w:color w:val="auto"/>
        </w:rPr>
        <w:t>in LC rose 6.3%, product of the fact that growth in interest income outpaced the increase reported for expenses due to the following dynamics:</w:t>
      </w:r>
    </w:p>
    <w:p>
      <w:pPr>
        <w:spacing w:after="0" w:line="21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6"/>
          <w:szCs w:val="16"/>
          <w:color w:val="auto"/>
        </w:rPr>
        <w:t>Average IEAs in LC fell slightly and registered mixed variations in their components. Average structural loans grew 3.8% while liquid assets, investments and government program loans (GP) dropped. The movements in these accounts generated a higher-yield IEA mix in LC. Yields on components of IEA in LC increased, mainly for our loans and investments, which reflects the increase in Peru’s reference rate and our active yield management strategies. Yields of IEAs in LC rose from 7.6% in 1Q22 to 8.3% in 2Q22. Accordingly, the key factors that contributed to a 9.2% increase in interest income in LC were price and mix effects.</w:t>
      </w:r>
    </w:p>
    <w:p>
      <w:pPr>
        <w:spacing w:after="0" w:line="18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Average funding in LC fell 2.1%, driven by a decrease in the volumes of BCRP instruments and deposits after GP loans were amortized. Within the deposit mix, funds from demand deposits and savings deposits (both low cost) migrated to time deposits, which entail higher costs and led the funding cost to rise. The funding cost in LC rose from 1.4% in 1Q21 to 1.8% in 2Q22, driven primarily by an increase in market rates, which subsequently impacted wholesale banking deposits and funding sources. Interest expenses in LC increased 27.5% due to negative price and mix effects.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Dynamics in Foreign Currency (FC)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Interest Income </w:t>
      </w:r>
      <w:r>
        <w:rPr>
          <w:rFonts w:ascii="Times New Roman" w:cs="Times New Roman" w:eastAsia="Times New Roman" w:hAnsi="Times New Roman"/>
          <w:sz w:val="16"/>
          <w:szCs w:val="16"/>
          <w:color w:val="auto"/>
        </w:rPr>
        <w:t>in FC rose 18.9% due to the following dynamics:</w:t>
      </w:r>
    </w:p>
    <w:p>
      <w:pPr>
        <w:spacing w:after="0" w:line="214"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Average IEA in FC fell 3.9%, spurred by a decrease in the balance for liquid assets and investments. This drop was partially offset by loan growth, where wholesale segments drove demand. The aforementioned dynamic generated a higher-yield mix of IEAs in FC. FC rates increased slightly, in line with growth in the FED’s funds rate. Higher yields and a favorable evolution of the IEA mix led interest income in FC to rise 12.8%.</w:t>
      </w:r>
    </w:p>
    <w:p>
      <w:pPr>
        <w:spacing w:after="0" w:line="181"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6"/>
          <w:szCs w:val="16"/>
          <w:color w:val="auto"/>
        </w:rPr>
        <w:t>Average funding in FC dropped 1.9%, spurred by income tax regularization payments, which impacted account balances, and the fact that wholesale funding registered a decrease. The cost of funding this quarter rose due to interest rate hikes in US Dollars. In this context, interest expenses in FC rose 5.1%.</w:t>
      </w:r>
    </w:p>
    <w:p>
      <w:pPr>
        <w:spacing w:after="0" w:line="31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8" w:name="page29"/>
    <w:bookmarkEnd w:id="28"/>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YoY Analysis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YoY, </w:t>
      </w:r>
      <w:r>
        <w:rPr>
          <w:rFonts w:ascii="Times New Roman" w:cs="Times New Roman" w:eastAsia="Times New Roman" w:hAnsi="Times New Roman"/>
          <w:sz w:val="16"/>
          <w:szCs w:val="16"/>
          <w:b w:val="1"/>
          <w:bCs w:val="1"/>
          <w:color w:val="auto"/>
        </w:rPr>
        <w:t>Net Interest Income</w:t>
      </w:r>
      <w:r>
        <w:rPr>
          <w:rFonts w:ascii="Times New Roman" w:cs="Times New Roman" w:eastAsia="Times New Roman" w:hAnsi="Times New Roman"/>
          <w:sz w:val="16"/>
          <w:szCs w:val="16"/>
          <w:color w:val="auto"/>
        </w:rPr>
        <w:t xml:space="preserve"> rose 18.7%, driven primarily by the evolution of IEAs and of LC rates.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Dynamics in Local Currency (LC)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Interest Income </w:t>
      </w:r>
      <w:r>
        <w:rPr>
          <w:rFonts w:ascii="Times New Roman" w:cs="Times New Roman" w:eastAsia="Times New Roman" w:hAnsi="Times New Roman"/>
          <w:sz w:val="16"/>
          <w:szCs w:val="16"/>
          <w:color w:val="auto"/>
        </w:rPr>
        <w:t>in LC rose 20.3% YoY in tandem with the following dynamics: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IEA in LC fell 5.0% YoY due to the following:</w:t>
      </w:r>
    </w:p>
    <w:p>
      <w:pPr>
        <w:spacing w:after="0" w:line="25" w:lineRule="exact"/>
        <w:rPr>
          <w:sz w:val="20"/>
          <w:szCs w:val="20"/>
          <w:color w:val="auto"/>
        </w:rPr>
      </w:pPr>
    </w:p>
    <w:p>
      <w:pPr>
        <w:ind w:left="340" w:hanging="196"/>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structural loans grew 20.3% after origination levels rose in Wholesale Banking, Retail Banking and Microfinance;</w:t>
      </w:r>
    </w:p>
    <w:p>
      <w:pPr>
        <w:ind w:left="340" w:hanging="196"/>
        <w:spacing w:after="0" w:line="23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balances of government programs fell 37.2% due to loan amortization;</w:t>
      </w:r>
    </w:p>
    <w:p>
      <w:pPr>
        <w:ind w:left="340" w:right="20" w:hanging="196"/>
        <w:spacing w:after="0" w:line="23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Investments fell after certificates of deposits were not renewed to maintain liquidity to fund loan growth, and sales of sovereign bonds to reduce the portfolio’s duration; and</w:t>
      </w:r>
    </w:p>
    <w:p>
      <w:pPr>
        <w:ind w:left="340" w:hanging="196"/>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Available funds fell due to a drop in liquidity in the system; dividends distribution; and a reduction in retail funding.</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Movements in these accounts led to a higher-yield IEA mix in LC. Yields on assets with shorter maturities (Available funds and Short-term Investments) increased due to upward shifts in the reference rate, which led market rates in LC to rise. Additionally, our loan portfolio has benefitted from higher yields through effective repricing strategies. Combined, these effects boosted the yield of IEA in LC, which rose from 6.4% in 2Q21 to 8.3% in 2Q22. In this context, income in LC increased 24.7%, driven by an uptick in the volume of structural loans and by a positive price effect across IEAs.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funding in LC fell 9.9% due to lower balances of BCRP Instruments and low-cost deposits, in line with our clients’ amortizations of Reactiva loans.</w:t>
      </w: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Yields on LC funding sources increased, in particular for interest-bearing deposits and BCRP Instruments, in line with the increase in the reference rate. The cost of funds in LC rose from 1.1% in 2Q21 to 1.8% in 2Q22. Due the price effect, interest expenses in LC increased 54.1%.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Dynamics in Foreign Currency (FC)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Interest Income </w:t>
      </w:r>
      <w:r>
        <w:rPr>
          <w:rFonts w:ascii="Times New Roman" w:cs="Times New Roman" w:eastAsia="Times New Roman" w:hAnsi="Times New Roman"/>
          <w:sz w:val="16"/>
          <w:szCs w:val="16"/>
          <w:color w:val="auto"/>
        </w:rPr>
        <w:t>in FC grew 11.1%, which was driven by the following dynamics: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IEA in FC remained stable given that the drop in investments was offset by an uptick in structural loans. This generated a positive mix effect on the IEA yield.</w:t>
      </w: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The IEA yield in FC rose from 3.0% in 2Q21 to 3.3% in 2Q22 due to the mix effect described above and to a slight increase in yields on liquid assets. Positive volume and price effects led FC income to rise 8.1%.</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Average funding in FC rose 2.1%, which was attributable to an increase in savings deposits after clients migrated to the US dollar as a refuge in a context marked by exchange rate volatility. The FC funding cost rose from 1.3% in 2Q21 to 1.4% in 2Q22, in line with an increase in FC rates. Interest expenses in FC grew 4.0%, which was primarily attributable to an increase in passive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YTD analysis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the YTD analysis, </w:t>
      </w:r>
      <w:r>
        <w:rPr>
          <w:rFonts w:ascii="Times New Roman" w:cs="Times New Roman" w:eastAsia="Times New Roman" w:hAnsi="Times New Roman"/>
          <w:sz w:val="16"/>
          <w:szCs w:val="16"/>
          <w:b w:val="1"/>
          <w:bCs w:val="1"/>
          <w:color w:val="auto"/>
        </w:rPr>
        <w:t>Net interest Income</w:t>
      </w:r>
      <w:r>
        <w:rPr>
          <w:rFonts w:ascii="Times New Roman" w:cs="Times New Roman" w:eastAsia="Times New Roman" w:hAnsi="Times New Roman"/>
          <w:sz w:val="16"/>
          <w:szCs w:val="16"/>
          <w:color w:val="auto"/>
        </w:rPr>
        <w:t xml:space="preserve"> rose 19%. The drivers of this growth were the same as those that drove the YoY evolution.</w:t>
      </w:r>
    </w:p>
    <w:p>
      <w:pPr>
        <w:spacing w:after="0" w:line="35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9" w:name="page30"/>
    <w:bookmarkEnd w:id="29"/>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05 </w:t>
      </w:r>
      <w:r>
        <w:rPr>
          <w:rFonts w:ascii="Times New Roman" w:cs="Times New Roman" w:eastAsia="Times New Roman" w:hAnsi="Times New Roman"/>
          <w:sz w:val="29"/>
          <w:szCs w:val="29"/>
          <w:b w:val="1"/>
          <w:bCs w:val="1"/>
          <w:color w:val="E93CAC"/>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1021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1021080"/>
                    </a:xfrm>
                    <a:prstGeom prst="rect">
                      <a:avLst/>
                    </a:prstGeom>
                    <a:noFill/>
                  </pic:spPr>
                </pic:pic>
              </a:graphicData>
            </a:graphic>
          </wp:anchor>
        </w:drawing>
      </w:r>
    </w:p>
    <w:p>
      <w:pPr>
        <w:spacing w:after="0" w:line="318" w:lineRule="exact"/>
        <w:rPr>
          <w:sz w:val="20"/>
          <w:szCs w:val="20"/>
          <w:color w:val="auto"/>
        </w:rPr>
      </w:pPr>
    </w:p>
    <w:p>
      <w:pPr>
        <w:jc w:val="both"/>
        <w:ind w:left="123" w:right="120"/>
        <w:spacing w:after="0" w:line="251" w:lineRule="auto"/>
        <w:rPr>
          <w:sz w:val="20"/>
          <w:szCs w:val="20"/>
          <w:color w:val="auto"/>
        </w:rPr>
      </w:pPr>
      <w:r>
        <w:rPr>
          <w:rFonts w:ascii="Arial" w:cs="Arial" w:eastAsia="Arial" w:hAnsi="Arial"/>
          <w:sz w:val="16"/>
          <w:szCs w:val="16"/>
          <w:color w:val="FFFFFF"/>
        </w:rPr>
        <w:t>Structural provisions remain below pre-pandemic levels. Nonetheless, provisions increased QoQ due to the deterioration of economic projections. Growth in expenses was primarily driven by the Individuals segment at BCP Stand-alone and by BCP Bolivia and to a lesser extent by a reduction in recoveries of written-off loans. YoY, structural Provisions remained stable, given that higher expenses at BCP Bolivia were offset by a decrease at BCP Stand-alone and Mibanco.</w:t>
      </w:r>
    </w:p>
    <w:p>
      <w:pPr>
        <w:spacing w:after="0" w:line="132" w:lineRule="exact"/>
        <w:rPr>
          <w:sz w:val="20"/>
          <w:szCs w:val="20"/>
          <w:color w:val="auto"/>
        </w:rPr>
      </w:pPr>
    </w:p>
    <w:p>
      <w:pPr>
        <w:jc w:val="both"/>
        <w:ind w:left="123" w:right="120"/>
        <w:spacing w:after="0" w:line="278" w:lineRule="auto"/>
        <w:rPr>
          <w:sz w:val="20"/>
          <w:szCs w:val="20"/>
          <w:color w:val="auto"/>
        </w:rPr>
      </w:pPr>
      <w:r>
        <w:rPr>
          <w:rFonts w:ascii="Arial" w:cs="Arial" w:eastAsia="Arial" w:hAnsi="Arial"/>
          <w:sz w:val="16"/>
          <w:szCs w:val="16"/>
          <w:color w:val="FFFFFF"/>
        </w:rPr>
        <w:t>The Structural Cost of Risk (CoR) stood at 1.08% in 2Q22. This quarter, the increase in provisions was offset by Loan growth. YTD, the reduction in provisions was attributable to our prudent management during the pandemic. Currently, CoR is situated in the inferior range of our guidance.</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Provisions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6"/>
          <w:szCs w:val="16"/>
          <w:b w:val="1"/>
          <w:bCs w:val="1"/>
          <w:color w:val="auto"/>
        </w:rPr>
        <w:t xml:space="preserve"> and Cost of Risk (CoR) of the Structural Portfolio</w:t>
      </w:r>
    </w:p>
    <w:p>
      <w:pPr>
        <w:spacing w:after="0" w:line="113"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3900" w:type="dxa"/>
            <w:vAlign w:val="bottom"/>
            <w:tcBorders>
              <w:top w:val="single" w:sz="8" w:color="auto"/>
              <w:left w:val="single" w:sz="8" w:color="auto"/>
              <w:right w:val="single" w:sz="8" w:color="auto"/>
            </w:tcBorders>
            <w:shd w:val="clear" w:color="auto" w:fill="33CCCC"/>
          </w:tcPr>
          <w:p>
            <w:pPr>
              <w:spacing w:after="0" w:line="178" w:lineRule="exact"/>
              <w:rPr>
                <w:sz w:val="20"/>
                <w:szCs w:val="20"/>
                <w:color w:val="auto"/>
              </w:rPr>
            </w:pPr>
            <w:r>
              <w:rPr>
                <w:rFonts w:ascii="Arial" w:cs="Arial" w:eastAsia="Arial" w:hAnsi="Arial"/>
                <w:sz w:val="16"/>
                <w:szCs w:val="16"/>
                <w:b w:val="1"/>
                <w:bCs w:val="1"/>
                <w:color w:val="FFFFFF"/>
              </w:rPr>
              <w:t>Structural Loan Portfolio Provisions</w:t>
            </w:r>
          </w:p>
        </w:tc>
        <w:tc>
          <w:tcPr>
            <w:tcW w:w="860" w:type="dxa"/>
            <w:vAlign w:val="bottom"/>
            <w:tcBorders>
              <w:top w:val="single" w:sz="8" w:color="auto"/>
            </w:tcBorders>
            <w:shd w:val="clear" w:color="auto" w:fill="33CCCC"/>
          </w:tcPr>
          <w:p>
            <w:pPr>
              <w:spacing w:after="0"/>
              <w:rPr>
                <w:sz w:val="15"/>
                <w:szCs w:val="15"/>
                <w:color w:val="auto"/>
              </w:rPr>
            </w:pPr>
          </w:p>
        </w:tc>
        <w:tc>
          <w:tcPr>
            <w:tcW w:w="880" w:type="dxa"/>
            <w:vAlign w:val="bottom"/>
            <w:tcBorders>
              <w:top w:val="single" w:sz="8" w:color="auto"/>
            </w:tcBorders>
            <w:shd w:val="clear" w:color="auto" w:fill="33CCCC"/>
          </w:tcPr>
          <w:p>
            <w:pPr>
              <w:ind w:left="160"/>
              <w:spacing w:after="0" w:line="178" w:lineRule="exact"/>
              <w:rPr>
                <w:sz w:val="20"/>
                <w:szCs w:val="20"/>
                <w:color w:val="auto"/>
              </w:rPr>
            </w:pPr>
            <w:r>
              <w:rPr>
                <w:rFonts w:ascii="Arial" w:cs="Arial" w:eastAsia="Arial" w:hAnsi="Arial"/>
                <w:sz w:val="16"/>
                <w:szCs w:val="16"/>
                <w:b w:val="1"/>
                <w:bCs w:val="1"/>
                <w:color w:val="FFFFFF"/>
              </w:rPr>
              <w:t>Quarter</w:t>
            </w:r>
          </w:p>
        </w:tc>
        <w:tc>
          <w:tcPr>
            <w:tcW w:w="920" w:type="dxa"/>
            <w:vAlign w:val="bottom"/>
            <w:tcBorders>
              <w:top w:val="single" w:sz="8" w:color="auto"/>
              <w:right w:val="single" w:sz="8" w:color="auto"/>
            </w:tcBorders>
            <w:shd w:val="clear" w:color="auto" w:fill="33CCCC"/>
          </w:tcPr>
          <w:p>
            <w:pPr>
              <w:spacing w:after="0"/>
              <w:rPr>
                <w:sz w:val="15"/>
                <w:szCs w:val="15"/>
                <w:color w:val="auto"/>
              </w:rPr>
            </w:pPr>
          </w:p>
        </w:tc>
        <w:tc>
          <w:tcPr>
            <w:tcW w:w="1740" w:type="dxa"/>
            <w:vAlign w:val="bottom"/>
            <w:tcBorders>
              <w:top w:val="single" w:sz="8" w:color="auto"/>
              <w:right w:val="single" w:sz="8" w:color="auto"/>
            </w:tcBorders>
            <w:gridSpan w:val="2"/>
            <w:shd w:val="clear" w:color="auto" w:fill="33CCCC"/>
          </w:tcPr>
          <w:p>
            <w:pPr>
              <w:ind w:left="480"/>
              <w:spacing w:after="0" w:line="178" w:lineRule="exact"/>
              <w:rPr>
                <w:sz w:val="20"/>
                <w:szCs w:val="20"/>
                <w:color w:val="auto"/>
              </w:rPr>
            </w:pPr>
            <w:r>
              <w:rPr>
                <w:rFonts w:ascii="Arial" w:cs="Arial" w:eastAsia="Arial" w:hAnsi="Arial"/>
                <w:sz w:val="16"/>
                <w:szCs w:val="16"/>
                <w:b w:val="1"/>
                <w:bCs w:val="1"/>
                <w:color w:val="FFFFFF"/>
              </w:rPr>
              <w:t>% change</w:t>
            </w:r>
          </w:p>
        </w:tc>
        <w:tc>
          <w:tcPr>
            <w:tcW w:w="1780" w:type="dxa"/>
            <w:vAlign w:val="bottom"/>
            <w:tcBorders>
              <w:top w:val="single" w:sz="8" w:color="auto"/>
              <w:right w:val="single" w:sz="8" w:color="auto"/>
            </w:tcBorders>
            <w:gridSpan w:val="2"/>
            <w:shd w:val="clear" w:color="auto" w:fill="33CCCC"/>
          </w:tcPr>
          <w:p>
            <w:pPr>
              <w:ind w:left="680"/>
              <w:spacing w:after="0" w:line="178" w:lineRule="exact"/>
              <w:rPr>
                <w:sz w:val="20"/>
                <w:szCs w:val="20"/>
                <w:color w:val="auto"/>
              </w:rPr>
            </w:pPr>
            <w:r>
              <w:rPr>
                <w:rFonts w:ascii="Arial" w:cs="Arial" w:eastAsia="Arial" w:hAnsi="Arial"/>
                <w:sz w:val="16"/>
                <w:szCs w:val="16"/>
                <w:b w:val="1"/>
                <w:bCs w:val="1"/>
                <w:color w:val="FFFFFF"/>
              </w:rPr>
              <w:t>As of</w:t>
            </w:r>
          </w:p>
        </w:tc>
        <w:tc>
          <w:tcPr>
            <w:tcW w:w="118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390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 000</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2Q21</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1Q22</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2Q22</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9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c>
          <w:tcPr>
            <w:tcW w:w="90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6"/>
                <w:szCs w:val="16"/>
                <w:b w:val="1"/>
                <w:bCs w:val="1"/>
                <w:color w:val="FFFFFF"/>
              </w:rPr>
              <w:t>Jun 21</w:t>
            </w:r>
          </w:p>
        </w:tc>
        <w:tc>
          <w:tcPr>
            <w:tcW w:w="880" w:type="dxa"/>
            <w:vAlign w:val="bottom"/>
            <w:tcBorders>
              <w:bottom w:val="single" w:sz="8" w:color="auto"/>
              <w:right w:val="single" w:sz="8" w:color="auto"/>
            </w:tcBorders>
            <w:shd w:val="clear" w:color="auto" w:fill="33CCCC"/>
          </w:tcPr>
          <w:p>
            <w:pPr>
              <w:ind w:left="160"/>
              <w:spacing w:after="0"/>
              <w:rPr>
                <w:sz w:val="20"/>
                <w:szCs w:val="20"/>
                <w:color w:val="auto"/>
              </w:rPr>
            </w:pPr>
            <w:r>
              <w:rPr>
                <w:rFonts w:ascii="Arial" w:cs="Arial" w:eastAsia="Arial" w:hAnsi="Arial"/>
                <w:sz w:val="16"/>
                <w:szCs w:val="16"/>
                <w:b w:val="1"/>
                <w:bCs w:val="1"/>
                <w:color w:val="FFFFFF"/>
              </w:rPr>
              <w:t>Jun 22</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58"/>
        </w:trPr>
        <w:tc>
          <w:tcPr>
            <w:tcW w:w="390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Gross provision for credit losses on loan portfolio</w:t>
            </w:r>
          </w:p>
        </w:tc>
        <w:tc>
          <w:tcPr>
            <w:tcW w:w="860" w:type="dxa"/>
            <w:vAlign w:val="bottom"/>
          </w:tcPr>
          <w:p>
            <w:pPr>
              <w:jc w:val="center"/>
              <w:spacing w:after="0" w:line="158" w:lineRule="exact"/>
              <w:rPr>
                <w:sz w:val="20"/>
                <w:szCs w:val="20"/>
                <w:color w:val="auto"/>
              </w:rPr>
            </w:pPr>
            <w:r>
              <w:rPr>
                <w:rFonts w:ascii="Arial" w:cs="Arial" w:eastAsia="Arial" w:hAnsi="Arial"/>
                <w:sz w:val="16"/>
                <w:szCs w:val="16"/>
                <w:color w:val="auto"/>
                <w:w w:val="99"/>
              </w:rPr>
              <w:t>(446,508)</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(346,809)</w:t>
            </w: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(453,605)</w:t>
            </w:r>
          </w:p>
        </w:tc>
        <w:tc>
          <w:tcPr>
            <w:tcW w:w="840" w:type="dxa"/>
            <w:vAlign w:val="bottom"/>
          </w:tcPr>
          <w:p>
            <w:pPr>
              <w:jc w:val="center"/>
              <w:spacing w:after="0" w:line="158" w:lineRule="exact"/>
              <w:rPr>
                <w:sz w:val="20"/>
                <w:szCs w:val="20"/>
                <w:color w:val="auto"/>
              </w:rPr>
            </w:pPr>
            <w:r>
              <w:rPr>
                <w:rFonts w:ascii="Arial" w:cs="Arial" w:eastAsia="Arial" w:hAnsi="Arial"/>
                <w:sz w:val="16"/>
                <w:szCs w:val="16"/>
                <w:color w:val="auto"/>
              </w:rPr>
              <w:t>30.8%</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1.6%</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(1,053,509)</w:t>
            </w:r>
          </w:p>
        </w:tc>
        <w:tc>
          <w:tcPr>
            <w:tcW w:w="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(800,414)</w:t>
            </w:r>
          </w:p>
        </w:tc>
        <w:tc>
          <w:tcPr>
            <w:tcW w:w="11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-24.0%</w:t>
            </w:r>
          </w:p>
        </w:tc>
      </w:tr>
      <w:tr>
        <w:trPr>
          <w:trHeight w:val="183"/>
        </w:trPr>
        <w:tc>
          <w:tcPr>
            <w:tcW w:w="39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Recoveries of written-off loans</w:t>
            </w:r>
          </w:p>
        </w:tc>
        <w:tc>
          <w:tcPr>
            <w:tcW w:w="860" w:type="dxa"/>
            <w:vAlign w:val="bottom"/>
          </w:tcPr>
          <w:p>
            <w:pPr>
              <w:jc w:val="center"/>
              <w:spacing w:after="0" w:line="183" w:lineRule="exact"/>
              <w:rPr>
                <w:sz w:val="20"/>
                <w:szCs w:val="20"/>
                <w:color w:val="auto"/>
              </w:rPr>
            </w:pPr>
            <w:r>
              <w:rPr>
                <w:rFonts w:ascii="Arial" w:cs="Arial" w:eastAsia="Arial" w:hAnsi="Arial"/>
                <w:sz w:val="16"/>
                <w:szCs w:val="16"/>
                <w:color w:val="auto"/>
                <w:w w:val="98"/>
              </w:rPr>
              <w:t>77,627</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93,091</w:t>
            </w:r>
          </w:p>
        </w:tc>
        <w:tc>
          <w:tcPr>
            <w:tcW w:w="9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83,745</w:t>
            </w:r>
          </w:p>
        </w:tc>
        <w:tc>
          <w:tcPr>
            <w:tcW w:w="840" w:type="dxa"/>
            <w:vAlign w:val="bottom"/>
          </w:tcPr>
          <w:p>
            <w:pPr>
              <w:jc w:val="center"/>
              <w:spacing w:after="0" w:line="183" w:lineRule="exact"/>
              <w:rPr>
                <w:sz w:val="20"/>
                <w:szCs w:val="20"/>
                <w:color w:val="auto"/>
              </w:rPr>
            </w:pPr>
            <w:r>
              <w:rPr>
                <w:rFonts w:ascii="Arial" w:cs="Arial" w:eastAsia="Arial" w:hAnsi="Arial"/>
                <w:sz w:val="16"/>
                <w:szCs w:val="16"/>
                <w:color w:val="auto"/>
              </w:rPr>
              <w:t>-10.0%</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7.9%</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142,962</w:t>
            </w:r>
          </w:p>
        </w:tc>
        <w:tc>
          <w:tcPr>
            <w:tcW w:w="8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176,836</w:t>
            </w:r>
          </w:p>
        </w:tc>
        <w:tc>
          <w:tcPr>
            <w:tcW w:w="11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23.7%</w:t>
            </w:r>
          </w:p>
        </w:tc>
      </w:tr>
      <w:tr>
        <w:trPr>
          <w:trHeight w:val="183"/>
        </w:trPr>
        <w:tc>
          <w:tcPr>
            <w:tcW w:w="390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Provision for credit losses on loan portfolio, net</w:t>
            </w:r>
          </w:p>
        </w:tc>
        <w:tc>
          <w:tcPr>
            <w:tcW w:w="8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(368,881)</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(253,718)</w:t>
            </w:r>
          </w:p>
        </w:tc>
        <w:tc>
          <w:tcPr>
            <w:tcW w:w="9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(369,860)</w:t>
            </w:r>
          </w:p>
        </w:tc>
        <w:tc>
          <w:tcPr>
            <w:tcW w:w="8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45.8%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0.3%</w:t>
            </w:r>
          </w:p>
        </w:tc>
        <w:tc>
          <w:tcPr>
            <w:tcW w:w="9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(910,547)</w:t>
            </w:r>
          </w:p>
        </w:tc>
        <w:tc>
          <w:tcPr>
            <w:tcW w:w="8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(623,578)</w:t>
            </w:r>
          </w:p>
        </w:tc>
        <w:tc>
          <w:tcPr>
            <w:tcW w:w="11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-31.5%</w:t>
            </w:r>
          </w:p>
        </w:tc>
      </w:tr>
      <w:tr>
        <w:trPr>
          <w:trHeight w:val="199"/>
        </w:trPr>
        <w:tc>
          <w:tcPr>
            <w:tcW w:w="39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of recoveries</w:t>
            </w:r>
          </w:p>
        </w:tc>
        <w:tc>
          <w:tcPr>
            <w:tcW w:w="8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175"/>
        </w:trPr>
        <w:tc>
          <w:tcPr>
            <w:tcW w:w="390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3"/>
                <w:szCs w:val="13"/>
                <w:color w:val="auto"/>
              </w:rPr>
              <w:t xml:space="preserve">Structural Cost of risk </w:t>
            </w:r>
            <w:r>
              <w:rPr>
                <w:rFonts w:ascii="Arial" w:cs="Arial" w:eastAsia="Arial" w:hAnsi="Arial"/>
                <w:sz w:val="20"/>
                <w:szCs w:val="20"/>
                <w:color w:val="auto"/>
                <w:vertAlign w:val="superscript"/>
              </w:rPr>
              <w:t>(1)</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1.23%</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0.79%</w:t>
            </w:r>
          </w:p>
        </w:tc>
        <w:tc>
          <w:tcPr>
            <w:tcW w:w="92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1.08%</w:t>
            </w:r>
          </w:p>
        </w:tc>
        <w:tc>
          <w:tcPr>
            <w:tcW w:w="8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29 bps</w:t>
            </w:r>
          </w:p>
        </w:tc>
        <w:tc>
          <w:tcPr>
            <w:tcW w:w="9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-15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1.52%</w:t>
            </w:r>
          </w:p>
        </w:tc>
        <w:tc>
          <w:tcPr>
            <w:tcW w:w="8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0.91%</w:t>
            </w:r>
          </w:p>
        </w:tc>
        <w:tc>
          <w:tcPr>
            <w:tcW w:w="11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-61 bps</w:t>
            </w:r>
          </w:p>
        </w:tc>
      </w:tr>
    </w:tbl>
    <w:p>
      <w:pPr>
        <w:spacing w:after="0" w:line="211" w:lineRule="exact"/>
        <w:rPr>
          <w:sz w:val="20"/>
          <w:szCs w:val="20"/>
          <w:color w:val="auto"/>
        </w:rPr>
      </w:pPr>
    </w:p>
    <w:p>
      <w:pPr>
        <w:ind w:left="143" w:hanging="143"/>
        <w:spacing w:after="0"/>
        <w:tabs>
          <w:tab w:leader="none" w:pos="143"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 Provision for credit losses on loan portfolio, net of recoveries.</w:t>
      </w:r>
    </w:p>
    <w:p>
      <w:pPr>
        <w:spacing w:after="0" w:line="7" w:lineRule="exact"/>
        <w:rPr>
          <w:rFonts w:ascii="Times New Roman" w:cs="Times New Roman" w:eastAsia="Times New Roman" w:hAnsi="Times New Roman"/>
          <w:sz w:val="11"/>
          <w:szCs w:val="11"/>
          <w:color w:val="auto"/>
        </w:rPr>
      </w:pPr>
    </w:p>
    <w:p>
      <w:pPr>
        <w:ind w:left="143" w:hanging="143"/>
        <w:spacing w:after="0"/>
        <w:tabs>
          <w:tab w:leader="none" w:pos="143"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Structural Cost of risk excludes the Provisions for credit losses on loan portfolio, net of recoveries and Total Loans from the Reactiva Peru and FAE Government Programs.</w:t>
      </w:r>
    </w:p>
    <w:p>
      <w:pPr>
        <w:spacing w:after="0" w:line="193" w:lineRule="exact"/>
        <w:rPr>
          <w:sz w:val="20"/>
          <w:szCs w:val="20"/>
          <w:color w:val="auto"/>
        </w:rPr>
      </w:pPr>
    </w:p>
    <w:p>
      <w:pPr>
        <w:ind w:left="3" w:right="2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QoQ </w:t>
      </w:r>
      <w:r>
        <w:rPr>
          <w:rFonts w:ascii="Times New Roman" w:cs="Times New Roman" w:eastAsia="Times New Roman" w:hAnsi="Times New Roman"/>
          <w:sz w:val="16"/>
          <w:szCs w:val="16"/>
          <w:color w:val="auto"/>
        </w:rPr>
        <w:t>structural Provisions increased, which was mainly attributable to the evolution at BCP Stand-alone. Notably, the</w:t>
      </w:r>
      <w:r>
        <w:rPr>
          <w:rFonts w:ascii="Times New Roman" w:cs="Times New Roman" w:eastAsia="Times New Roman" w:hAnsi="Times New Roman"/>
          <w:sz w:val="16"/>
          <w:szCs w:val="16"/>
          <w:b w:val="1"/>
          <w:bCs w:val="1"/>
          <w:color w:val="auto"/>
        </w:rPr>
        <w:t xml:space="preserve"> structural Cost of Risk </w:t>
      </w:r>
      <w:r>
        <w:rPr>
          <w:rFonts w:ascii="Times New Roman" w:cs="Times New Roman" w:eastAsia="Times New Roman" w:hAnsi="Times New Roman"/>
          <w:sz w:val="16"/>
          <w:szCs w:val="16"/>
          <w:color w:val="auto"/>
        </w:rPr>
        <w:t>remains within the Guidance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range. The segments that pushed the ratio upwards were:</w:t>
      </w:r>
    </w:p>
    <w:p>
      <w:pPr>
        <w:spacing w:after="0" w:line="164" w:lineRule="exact"/>
        <w:rPr>
          <w:sz w:val="20"/>
          <w:szCs w:val="20"/>
          <w:color w:val="auto"/>
        </w:rPr>
      </w:pPr>
    </w:p>
    <w:p>
      <w:pPr>
        <w:jc w:val="both"/>
        <w:ind w:left="283" w:right="20" w:hanging="283"/>
        <w:spacing w:after="0" w:line="251" w:lineRule="auto"/>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Individuals: </w:t>
      </w:r>
      <w:r>
        <w:rPr>
          <w:rFonts w:ascii="Arial" w:cs="Arial" w:eastAsia="Arial" w:hAnsi="Arial"/>
          <w:sz w:val="16"/>
          <w:szCs w:val="16"/>
          <w:color w:val="auto"/>
        </w:rPr>
        <w:t>mainly Consumer and Credit Card (CC) after the macroeconomic variables of our models were updated to reflect the deterioration in real</w:t>
      </w:r>
      <w:r>
        <w:rPr>
          <w:rFonts w:ascii="Arial" w:cs="Arial" w:eastAsia="Arial" w:hAnsi="Arial"/>
          <w:sz w:val="16"/>
          <w:szCs w:val="16"/>
          <w:b w:val="1"/>
          <w:bCs w:val="1"/>
          <w:color w:val="auto"/>
        </w:rPr>
        <w:t xml:space="preserve"> </w:t>
      </w:r>
      <w:r>
        <w:rPr>
          <w:rFonts w:ascii="Arial" w:cs="Arial" w:eastAsia="Arial" w:hAnsi="Arial"/>
          <w:sz w:val="16"/>
          <w:szCs w:val="16"/>
          <w:color w:val="auto"/>
        </w:rPr>
        <w:t>and projected indicators (such as GDP and inflation), which led real and forward-looking risk to increase for low-income clients. Additionally, the increase in Credit Cards was triggered by a change in the portfolio mix, where the share of “revolving” vs “total payers” clients rose. The Mortgage segment also registered an expansion in provisions due to an increase in client risk; and</w:t>
      </w:r>
    </w:p>
    <w:p>
      <w:pPr>
        <w:spacing w:after="0" w:line="180" w:lineRule="exact"/>
        <w:rPr>
          <w:rFonts w:ascii="Arial" w:cs="Arial" w:eastAsia="Arial" w:hAnsi="Arial"/>
          <w:sz w:val="16"/>
          <w:szCs w:val="16"/>
          <w:color w:val="auto"/>
        </w:rPr>
      </w:pPr>
    </w:p>
    <w:p>
      <w:pPr>
        <w:jc w:val="both"/>
        <w:ind w:left="283" w:right="20" w:hanging="283"/>
        <w:spacing w:after="0" w:line="258" w:lineRule="auto"/>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BCP Bolivia: </w:t>
      </w:r>
      <w:r>
        <w:rPr>
          <w:rFonts w:ascii="Arial" w:cs="Arial" w:eastAsia="Arial" w:hAnsi="Arial"/>
          <w:sz w:val="16"/>
          <w:szCs w:val="16"/>
          <w:color w:val="auto"/>
        </w:rPr>
        <w:t>due to grace periods expirations; debt forgiveness and charge-offs, which reached historic levels; together with an exchange rate effect. In</w:t>
      </w:r>
      <w:r>
        <w:rPr>
          <w:rFonts w:ascii="Arial" w:cs="Arial" w:eastAsia="Arial" w:hAnsi="Arial"/>
          <w:sz w:val="16"/>
          <w:szCs w:val="16"/>
          <w:b w:val="1"/>
          <w:bCs w:val="1"/>
          <w:color w:val="auto"/>
        </w:rPr>
        <w:t xml:space="preserve"> </w:t>
      </w:r>
      <w:r>
        <w:rPr>
          <w:rFonts w:ascii="Arial" w:cs="Arial" w:eastAsia="Arial" w:hAnsi="Arial"/>
          <w:sz w:val="16"/>
          <w:szCs w:val="16"/>
          <w:color w:val="auto"/>
        </w:rPr>
        <w:t>line with grace periods expirations, we expect a normalization of provisions during the 2H22, given that most of the delinquency from reprogrammed operations was already materialized in the first half of the year.</w:t>
      </w:r>
    </w:p>
    <w:p>
      <w:pPr>
        <w:sectPr>
          <w:pgSz w:w="11900" w:h="16838" w:orient="portrait"/>
          <w:cols w:equalWidth="0" w:num="1">
            <w:col w:w="11263"/>
          </w:cols>
          <w:pgMar w:left="317" w:top="313" w:right="319" w:bottom="1440" w:gutter="0" w:footer="0" w:header="0"/>
        </w:sectPr>
      </w:pPr>
    </w:p>
    <w:p>
      <w:pPr>
        <w:spacing w:after="0" w:line="174" w:lineRule="exact"/>
        <w:rPr>
          <w:sz w:val="20"/>
          <w:szCs w:val="20"/>
          <w:color w:val="auto"/>
        </w:rPr>
      </w:pPr>
    </w:p>
    <w:p>
      <w:pPr>
        <w:jc w:val="both"/>
        <w:ind w:left="3" w:right="1120"/>
        <w:spacing w:after="0" w:line="261" w:lineRule="auto"/>
        <w:rPr>
          <w:sz w:val="20"/>
          <w:szCs w:val="20"/>
          <w:color w:val="auto"/>
        </w:rPr>
      </w:pPr>
      <w:r>
        <w:rPr>
          <w:rFonts w:ascii="Times New Roman" w:cs="Times New Roman" w:eastAsia="Times New Roman" w:hAnsi="Times New Roman"/>
          <w:sz w:val="16"/>
          <w:szCs w:val="16"/>
          <w:color w:val="auto"/>
        </w:rPr>
        <w:t>The above was partially attenuated by a reduction in provisions for Wholesale Banking at BCP Stand-alone, which was mainly driven by a base effect from 1Q21, when methodological adjustments were made to models. The drop in was attributable to SMEs at BCP Stand-alone, which registered an improvement in payment behavior among a specific set of clients. Mibanco also registered a decrease in provisions, albeit comparatively lower, due to positive payment behavior. However, we expect expenses at Mibanco to increase in 2H22 due to a less favorable macroeconomic context.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Structural Cost of Risk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18415</wp:posOffset>
            </wp:positionV>
            <wp:extent cx="3085465" cy="1639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85465" cy="1639570"/>
                    </a:xfrm>
                    <a:prstGeom prst="rect">
                      <a:avLst/>
                    </a:prstGeom>
                    <a:noFill/>
                  </pic:spPr>
                </pic:pic>
              </a:graphicData>
            </a:graphic>
          </wp:anchor>
        </w:drawing>
      </w:r>
    </w:p>
    <w:p>
      <w:pPr>
        <w:spacing w:after="0" w:line="1618" w:lineRule="exact"/>
        <w:rPr>
          <w:sz w:val="20"/>
          <w:szCs w:val="20"/>
          <w:color w:val="auto"/>
        </w:rPr>
      </w:pPr>
    </w:p>
    <w:p>
      <w:pPr>
        <w:sectPr>
          <w:pgSz w:w="11900" w:h="16838" w:orient="portrait"/>
          <w:cols w:equalWidth="0" w:num="2">
            <w:col w:w="6523" w:space="720"/>
            <w:col w:w="4020"/>
          </w:cols>
          <w:pgMar w:left="317" w:top="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 w:right="20"/>
        <w:spacing w:after="0" w:line="278"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the structural provisions increased slightly, while the structural CoR fell 15 bps due to a denominator effect. Within the main variations,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stood out:</w:t>
      </w:r>
    </w:p>
    <w:p>
      <w:pPr>
        <w:spacing w:after="0" w:line="301"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type w:val="continuous"/>
        </w:sectPr>
      </w:pPr>
    </w:p>
    <w:bookmarkStart w:id="30" w:name="page31"/>
    <w:bookmarkEnd w:id="3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05.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09" w:lineRule="exact"/>
        <w:rPr>
          <w:sz w:val="20"/>
          <w:szCs w:val="20"/>
          <w:color w:val="auto"/>
        </w:rPr>
      </w:pPr>
    </w:p>
    <w:p>
      <w:pPr>
        <w:ind w:left="283" w:right="20" w:hanging="283"/>
        <w:spacing w:after="0" w:line="278" w:lineRule="auto"/>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Bolivia</w:t>
      </w:r>
      <w:r>
        <w:rPr>
          <w:rFonts w:ascii="Arial" w:cs="Arial" w:eastAsia="Arial" w:hAnsi="Arial"/>
          <w:sz w:val="16"/>
          <w:szCs w:val="16"/>
          <w:color w:val="auto"/>
        </w:rPr>
        <w:t>: growth in provisions for approximately S/80 million was primarily driven by the base effect given that in 2Q21, historically low levels of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reported due to reversals after the Bank required clients in the Consumer segment to provide collateral against loans.</w:t>
      </w:r>
    </w:p>
    <w:p>
      <w:pPr>
        <w:spacing w:after="0" w:line="159"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6"/>
          <w:szCs w:val="16"/>
          <w:color w:val="auto"/>
        </w:rPr>
        <w:t>The aforementioned was offset by a drop in provisions expenses in Individuals and Wholesale Banking at BCP Stand-alone and, to a lesser extent, by a drop in expenses at Mibanco after methodological adjustments were made to its models to reflect variations in payment behavior. In Individuals, the reduction was driven by a base effect in 2Q21, when extraordinary provisions were set aside for Mortgage loans. In Wholesale Banking, the reduction was spurred by a drop in the balance of Stage 3 loans of specific clients. At Mibanco, the decline was attributable to a decrease in volumes of written-off loans.</w:t>
      </w:r>
    </w:p>
    <w:p>
      <w:pPr>
        <w:spacing w:after="0" w:line="3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Provisions and CoR in the Government Loan Portfolio (PG)</w:t>
      </w:r>
    </w:p>
    <w:p>
      <w:pPr>
        <w:spacing w:after="0" w:line="229"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3620" w:type="dxa"/>
            <w:vAlign w:val="bottom"/>
            <w:tcBorders>
              <w:top w:val="single" w:sz="8" w:color="auto"/>
              <w:left w:val="single" w:sz="8" w:color="auto"/>
              <w:right w:val="single" w:sz="8" w:color="auto"/>
            </w:tcBorders>
            <w:shd w:val="clear" w:color="auto" w:fill="33CCCC"/>
          </w:tcPr>
          <w:p>
            <w:pPr>
              <w:spacing w:after="0" w:line="178" w:lineRule="exact"/>
              <w:rPr>
                <w:sz w:val="20"/>
                <w:szCs w:val="20"/>
                <w:color w:val="auto"/>
              </w:rPr>
            </w:pPr>
            <w:r>
              <w:rPr>
                <w:rFonts w:ascii="Arial" w:cs="Arial" w:eastAsia="Arial" w:hAnsi="Arial"/>
                <w:sz w:val="16"/>
                <w:szCs w:val="16"/>
                <w:b w:val="1"/>
                <w:bCs w:val="1"/>
                <w:color w:val="FFFFFF"/>
              </w:rPr>
              <w:t>GP Loan Portfolio Provisions</w:t>
            </w:r>
          </w:p>
        </w:tc>
        <w:tc>
          <w:tcPr>
            <w:tcW w:w="900" w:type="dxa"/>
            <w:vAlign w:val="bottom"/>
            <w:tcBorders>
              <w:top w:val="single" w:sz="8" w:color="auto"/>
            </w:tcBorders>
            <w:shd w:val="clear" w:color="auto" w:fill="33CCCC"/>
          </w:tcPr>
          <w:p>
            <w:pPr>
              <w:spacing w:after="0"/>
              <w:rPr>
                <w:sz w:val="15"/>
                <w:szCs w:val="15"/>
                <w:color w:val="auto"/>
              </w:rPr>
            </w:pPr>
          </w:p>
        </w:tc>
        <w:tc>
          <w:tcPr>
            <w:tcW w:w="960" w:type="dxa"/>
            <w:vAlign w:val="bottom"/>
            <w:tcBorders>
              <w:top w:val="single" w:sz="8" w:color="auto"/>
            </w:tcBorders>
            <w:shd w:val="clear" w:color="auto" w:fill="33CCCC"/>
          </w:tcPr>
          <w:p>
            <w:pPr>
              <w:ind w:left="180"/>
              <w:spacing w:after="0" w:line="178" w:lineRule="exact"/>
              <w:rPr>
                <w:sz w:val="20"/>
                <w:szCs w:val="20"/>
                <w:color w:val="auto"/>
              </w:rPr>
            </w:pPr>
            <w:r>
              <w:rPr>
                <w:rFonts w:ascii="Arial" w:cs="Arial" w:eastAsia="Arial" w:hAnsi="Arial"/>
                <w:sz w:val="16"/>
                <w:szCs w:val="16"/>
                <w:b w:val="1"/>
                <w:bCs w:val="1"/>
                <w:color w:val="FFFFFF"/>
              </w:rPr>
              <w:t>Quarter</w:t>
            </w:r>
          </w:p>
        </w:tc>
        <w:tc>
          <w:tcPr>
            <w:tcW w:w="940" w:type="dxa"/>
            <w:vAlign w:val="bottom"/>
            <w:tcBorders>
              <w:top w:val="single" w:sz="8" w:color="auto"/>
              <w:right w:val="single" w:sz="8" w:color="33CCCC"/>
            </w:tcBorders>
            <w:shd w:val="clear" w:color="auto" w:fill="33CCCC"/>
          </w:tcPr>
          <w:p>
            <w:pPr>
              <w:spacing w:after="0"/>
              <w:rPr>
                <w:sz w:val="15"/>
                <w:szCs w:val="15"/>
                <w:color w:val="auto"/>
              </w:rPr>
            </w:pPr>
          </w:p>
        </w:tc>
        <w:tc>
          <w:tcPr>
            <w:tcW w:w="1740" w:type="dxa"/>
            <w:vAlign w:val="bottom"/>
            <w:tcBorders>
              <w:top w:val="single" w:sz="8" w:color="auto"/>
              <w:right w:val="single" w:sz="8" w:color="auto"/>
            </w:tcBorders>
            <w:gridSpan w:val="2"/>
            <w:shd w:val="clear" w:color="auto" w:fill="33CCCC"/>
          </w:tcPr>
          <w:p>
            <w:pPr>
              <w:ind w:left="480"/>
              <w:spacing w:after="0" w:line="178" w:lineRule="exact"/>
              <w:rPr>
                <w:sz w:val="20"/>
                <w:szCs w:val="20"/>
                <w:color w:val="auto"/>
              </w:rPr>
            </w:pPr>
            <w:r>
              <w:rPr>
                <w:rFonts w:ascii="Arial" w:cs="Arial" w:eastAsia="Arial" w:hAnsi="Arial"/>
                <w:sz w:val="16"/>
                <w:szCs w:val="16"/>
                <w:b w:val="1"/>
                <w:bCs w:val="1"/>
                <w:color w:val="FFFFFF"/>
              </w:rPr>
              <w:t>% change</w:t>
            </w:r>
          </w:p>
        </w:tc>
        <w:tc>
          <w:tcPr>
            <w:tcW w:w="1740" w:type="dxa"/>
            <w:vAlign w:val="bottom"/>
            <w:tcBorders>
              <w:top w:val="single" w:sz="8" w:color="auto"/>
              <w:right w:val="single" w:sz="8" w:color="auto"/>
            </w:tcBorders>
            <w:gridSpan w:val="2"/>
            <w:shd w:val="clear" w:color="auto" w:fill="33CCCC"/>
          </w:tcPr>
          <w:p>
            <w:pPr>
              <w:ind w:left="660"/>
              <w:spacing w:after="0" w:line="178" w:lineRule="exact"/>
              <w:rPr>
                <w:sz w:val="20"/>
                <w:szCs w:val="20"/>
                <w:color w:val="auto"/>
              </w:rPr>
            </w:pPr>
            <w:r>
              <w:rPr>
                <w:rFonts w:ascii="Arial" w:cs="Arial" w:eastAsia="Arial" w:hAnsi="Arial"/>
                <w:sz w:val="16"/>
                <w:szCs w:val="16"/>
                <w:b w:val="1"/>
                <w:bCs w:val="1"/>
                <w:color w:val="FFFFFF"/>
              </w:rPr>
              <w:t>As of</w:t>
            </w:r>
          </w:p>
        </w:tc>
        <w:tc>
          <w:tcPr>
            <w:tcW w:w="136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36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 000</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2Q21</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1Q22</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2Q22</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7"/>
              </w:rPr>
              <w:t>QoQ</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c>
          <w:tcPr>
            <w:tcW w:w="90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6"/>
                <w:szCs w:val="16"/>
                <w:b w:val="1"/>
                <w:bCs w:val="1"/>
                <w:color w:val="FFFFFF"/>
              </w:rPr>
              <w:t>Jun 21</w:t>
            </w:r>
          </w:p>
        </w:tc>
        <w:tc>
          <w:tcPr>
            <w:tcW w:w="84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6"/>
                <w:szCs w:val="16"/>
                <w:b w:val="1"/>
                <w:bCs w:val="1"/>
                <w:color w:val="FFFFFF"/>
              </w:rPr>
              <w:t>Jun 22</w:t>
            </w:r>
          </w:p>
        </w:tc>
        <w:tc>
          <w:tcPr>
            <w:tcW w:w="13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58"/>
        </w:trPr>
        <w:tc>
          <w:tcPr>
            <w:tcW w:w="362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Gross provision for credit losses on loan portfolio</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w w:val="99"/>
              </w:rPr>
              <w:t>5,501</w:t>
            </w:r>
          </w:p>
        </w:tc>
        <w:tc>
          <w:tcPr>
            <w:tcW w:w="960" w:type="dxa"/>
            <w:vAlign w:val="bottom"/>
          </w:tcPr>
          <w:p>
            <w:pPr>
              <w:jc w:val="center"/>
              <w:spacing w:after="0" w:line="158" w:lineRule="exact"/>
              <w:rPr>
                <w:sz w:val="20"/>
                <w:szCs w:val="20"/>
                <w:color w:val="auto"/>
              </w:rPr>
            </w:pPr>
            <w:r>
              <w:rPr>
                <w:rFonts w:ascii="Arial" w:cs="Arial" w:eastAsia="Arial" w:hAnsi="Arial"/>
                <w:sz w:val="16"/>
                <w:szCs w:val="16"/>
                <w:color w:val="auto"/>
              </w:rPr>
              <w:t>(3,872)</w:t>
            </w:r>
          </w:p>
        </w:tc>
        <w:tc>
          <w:tcPr>
            <w:tcW w:w="9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9"/>
              </w:rPr>
              <w:t>6,569</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-269.6%</w:t>
            </w:r>
          </w:p>
        </w:tc>
        <w:tc>
          <w:tcPr>
            <w:tcW w:w="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19.4%</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(10,480)</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9"/>
              </w:rPr>
              <w:t>2,697</w:t>
            </w:r>
          </w:p>
        </w:tc>
        <w:tc>
          <w:tcPr>
            <w:tcW w:w="13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-125.7%</w:t>
            </w:r>
          </w:p>
        </w:tc>
      </w:tr>
      <w:tr>
        <w:trPr>
          <w:trHeight w:val="183"/>
        </w:trPr>
        <w:tc>
          <w:tcPr>
            <w:tcW w:w="362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Recoveries of written-off loans</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74"/>
              </w:rPr>
              <w:t>-</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362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Provision for credit losses on loan portfolio,</w:t>
            </w:r>
          </w:p>
        </w:tc>
        <w:tc>
          <w:tcPr>
            <w:tcW w:w="9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5,501</w:t>
            </w:r>
          </w:p>
        </w:tc>
        <w:tc>
          <w:tcPr>
            <w:tcW w:w="9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(3,872)</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6,569</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-269.6%</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19.4%</w:t>
            </w:r>
          </w:p>
        </w:tc>
        <w:tc>
          <w:tcPr>
            <w:tcW w:w="900" w:type="dxa"/>
            <w:vAlign w:val="bottom"/>
          </w:tcPr>
          <w:p>
            <w:pPr>
              <w:ind w:left="180"/>
              <w:spacing w:after="0" w:line="183" w:lineRule="exact"/>
              <w:rPr>
                <w:sz w:val="20"/>
                <w:szCs w:val="20"/>
                <w:color w:val="auto"/>
              </w:rPr>
            </w:pPr>
            <w:r>
              <w:rPr>
                <w:rFonts w:ascii="Arial" w:cs="Arial" w:eastAsia="Arial" w:hAnsi="Arial"/>
                <w:sz w:val="16"/>
                <w:szCs w:val="16"/>
                <w:b w:val="1"/>
                <w:bCs w:val="1"/>
                <w:color w:val="auto"/>
              </w:rPr>
              <w:t>(10,480)</w:t>
            </w:r>
          </w:p>
        </w:tc>
        <w:tc>
          <w:tcPr>
            <w:tcW w:w="8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2,697</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-125.7%</w:t>
            </w:r>
          </w:p>
        </w:tc>
      </w:tr>
      <w:tr>
        <w:trPr>
          <w:trHeight w:val="199"/>
        </w:trPr>
        <w:tc>
          <w:tcPr>
            <w:tcW w:w="3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net of recoveries</w:t>
            </w: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75"/>
        </w:trPr>
        <w:tc>
          <w:tcPr>
            <w:tcW w:w="362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3"/>
                <w:szCs w:val="13"/>
                <w:color w:val="auto"/>
              </w:rPr>
              <w:t xml:space="preserve">GP Cost of risk </w:t>
            </w:r>
            <w:r>
              <w:rPr>
                <w:rFonts w:ascii="Arial" w:cs="Arial" w:eastAsia="Arial" w:hAnsi="Arial"/>
                <w:sz w:val="20"/>
                <w:szCs w:val="20"/>
                <w:color w:val="auto"/>
                <w:vertAlign w:val="superscript"/>
              </w:rPr>
              <w:t>(1)</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-0.10%</w:t>
            </w:r>
          </w:p>
        </w:tc>
        <w:tc>
          <w:tcPr>
            <w:tcW w:w="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0.09%</w:t>
            </w:r>
          </w:p>
        </w:tc>
        <w:tc>
          <w:tcPr>
            <w:tcW w:w="9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-0.20%</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-29 bps</w:t>
            </w:r>
          </w:p>
        </w:tc>
        <w:tc>
          <w:tcPr>
            <w:tcW w:w="8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-10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0.09%</w:t>
            </w:r>
          </w:p>
        </w:tc>
        <w:tc>
          <w:tcPr>
            <w:tcW w:w="8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-0.04%</w:t>
            </w:r>
          </w:p>
        </w:tc>
        <w:tc>
          <w:tcPr>
            <w:tcW w:w="13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-13 bps</w:t>
            </w:r>
          </w:p>
        </w:tc>
      </w:tr>
    </w:tbl>
    <w:p>
      <w:pPr>
        <w:ind w:left="3"/>
        <w:spacing w:after="0"/>
        <w:rPr>
          <w:sz w:val="20"/>
          <w:szCs w:val="20"/>
          <w:color w:val="auto"/>
        </w:rPr>
      </w:pPr>
      <w:r>
        <w:rPr>
          <w:rFonts w:ascii="Times New Roman" w:cs="Times New Roman" w:eastAsia="Times New Roman" w:hAnsi="Times New Roman"/>
          <w:sz w:val="11"/>
          <w:szCs w:val="11"/>
          <w:color w:val="auto"/>
        </w:rPr>
        <w:t>(1) The GP Cost of risk includes the Provisions for credit losses on loan portfolio, net of recoveries and Total Loans from the Reactiva Peru and FAE Government Programs.</w:t>
      </w:r>
    </w:p>
    <w:p>
      <w:pPr>
        <w:spacing w:after="0" w:line="198"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GP Provisions fell QoQ after more honoring processes of state-backed guarantees were executed and the portfolio registered lower levels of deterioration, particularly in SME-Pyme. YoY, the drop reflects an uptick in amortizations and effective execution of honoring processes.</w:t>
      </w:r>
    </w:p>
    <w:p>
      <w:pPr>
        <w:spacing w:after="0" w:line="167"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The GP Allowances for loan losses represents 2% of the total Allowances balance at Credicorp. This volume reflects the fact that state-backed coverage of GP loans is significant (loan coverage between 80% to 98%). For more information, see 1.2 Portfolio Quality – NPL Portfolio of Government Loans.</w:t>
      </w:r>
    </w:p>
    <w:p>
      <w:pPr>
        <w:spacing w:after="0" w:line="1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Provisions and CoR of Total Portfolio</w:t>
      </w:r>
    </w:p>
    <w:p>
      <w:pPr>
        <w:spacing w:after="0" w:line="204"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3620" w:type="dxa"/>
            <w:vAlign w:val="bottom"/>
            <w:tcBorders>
              <w:top w:val="single" w:sz="8" w:color="auto"/>
              <w:left w:val="single" w:sz="8" w:color="646464"/>
              <w:right w:val="single" w:sz="8" w:color="auto"/>
            </w:tcBorders>
            <w:shd w:val="clear" w:color="auto" w:fill="33CCCC"/>
          </w:tcPr>
          <w:p>
            <w:pPr>
              <w:ind w:left="20"/>
              <w:spacing w:after="0" w:line="178" w:lineRule="exact"/>
              <w:rPr>
                <w:sz w:val="20"/>
                <w:szCs w:val="20"/>
                <w:color w:val="auto"/>
              </w:rPr>
            </w:pPr>
            <w:r>
              <w:rPr>
                <w:rFonts w:ascii="Arial" w:cs="Arial" w:eastAsia="Arial" w:hAnsi="Arial"/>
                <w:sz w:val="16"/>
                <w:szCs w:val="16"/>
                <w:b w:val="1"/>
                <w:bCs w:val="1"/>
                <w:color w:val="FFFFFF"/>
              </w:rPr>
              <w:t>Loan Portfolio Provisions</w:t>
            </w:r>
          </w:p>
        </w:tc>
        <w:tc>
          <w:tcPr>
            <w:tcW w:w="940" w:type="dxa"/>
            <w:vAlign w:val="bottom"/>
            <w:tcBorders>
              <w:top w:val="single" w:sz="8" w:color="auto"/>
            </w:tcBorders>
            <w:shd w:val="clear" w:color="auto" w:fill="33CCCC"/>
          </w:tcPr>
          <w:p>
            <w:pPr>
              <w:spacing w:after="0"/>
              <w:rPr>
                <w:sz w:val="15"/>
                <w:szCs w:val="15"/>
                <w:color w:val="auto"/>
              </w:rPr>
            </w:pPr>
          </w:p>
        </w:tc>
        <w:tc>
          <w:tcPr>
            <w:tcW w:w="940" w:type="dxa"/>
            <w:vAlign w:val="bottom"/>
            <w:tcBorders>
              <w:top w:val="single" w:sz="8" w:color="auto"/>
            </w:tcBorders>
            <w:shd w:val="clear" w:color="auto" w:fill="33CCCC"/>
          </w:tcPr>
          <w:p>
            <w:pPr>
              <w:ind w:left="160"/>
              <w:spacing w:after="0" w:line="178" w:lineRule="exact"/>
              <w:rPr>
                <w:sz w:val="20"/>
                <w:szCs w:val="20"/>
                <w:color w:val="auto"/>
              </w:rPr>
            </w:pPr>
            <w:r>
              <w:rPr>
                <w:rFonts w:ascii="Arial" w:cs="Arial" w:eastAsia="Arial" w:hAnsi="Arial"/>
                <w:sz w:val="16"/>
                <w:szCs w:val="16"/>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5"/>
                <w:szCs w:val="15"/>
                <w:color w:val="auto"/>
              </w:rPr>
            </w:pPr>
          </w:p>
        </w:tc>
        <w:tc>
          <w:tcPr>
            <w:tcW w:w="1720" w:type="dxa"/>
            <w:vAlign w:val="bottom"/>
            <w:tcBorders>
              <w:top w:val="single" w:sz="8" w:color="auto"/>
              <w:right w:val="single" w:sz="8" w:color="auto"/>
            </w:tcBorders>
            <w:gridSpan w:val="2"/>
            <w:shd w:val="clear" w:color="auto" w:fill="33CCCC"/>
          </w:tcPr>
          <w:p>
            <w:pPr>
              <w:ind w:left="460"/>
              <w:spacing w:after="0" w:line="178" w:lineRule="exact"/>
              <w:rPr>
                <w:sz w:val="20"/>
                <w:szCs w:val="20"/>
                <w:color w:val="auto"/>
              </w:rPr>
            </w:pPr>
            <w:r>
              <w:rPr>
                <w:rFonts w:ascii="Arial" w:cs="Arial" w:eastAsia="Arial" w:hAnsi="Arial"/>
                <w:sz w:val="16"/>
                <w:szCs w:val="16"/>
                <w:b w:val="1"/>
                <w:bCs w:val="1"/>
                <w:color w:val="FFFFFF"/>
              </w:rPr>
              <w:t>% change</w:t>
            </w:r>
          </w:p>
        </w:tc>
        <w:tc>
          <w:tcPr>
            <w:tcW w:w="1740" w:type="dxa"/>
            <w:vAlign w:val="bottom"/>
            <w:tcBorders>
              <w:top w:val="single" w:sz="8" w:color="auto"/>
              <w:right w:val="single" w:sz="8" w:color="auto"/>
            </w:tcBorders>
            <w:gridSpan w:val="2"/>
            <w:shd w:val="clear" w:color="auto" w:fill="33CCCC"/>
          </w:tcPr>
          <w:p>
            <w:pPr>
              <w:ind w:left="660"/>
              <w:spacing w:after="0" w:line="178" w:lineRule="exact"/>
              <w:rPr>
                <w:sz w:val="20"/>
                <w:szCs w:val="20"/>
                <w:color w:val="auto"/>
              </w:rPr>
            </w:pPr>
            <w:r>
              <w:rPr>
                <w:rFonts w:ascii="Arial" w:cs="Arial" w:eastAsia="Arial" w:hAnsi="Arial"/>
                <w:sz w:val="16"/>
                <w:szCs w:val="16"/>
                <w:b w:val="1"/>
                <w:bCs w:val="1"/>
                <w:color w:val="FFFFFF"/>
              </w:rPr>
              <w:t>As of</w:t>
            </w:r>
          </w:p>
        </w:tc>
        <w:tc>
          <w:tcPr>
            <w:tcW w:w="136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3620" w:type="dxa"/>
            <w:vAlign w:val="bottom"/>
            <w:tcBorders>
              <w:left w:val="single" w:sz="8" w:color="646464"/>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2Q21</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1Q22</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2Q22</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21</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w:t>
            </w:r>
          </w:p>
        </w:tc>
        <w:tc>
          <w:tcPr>
            <w:tcW w:w="13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58"/>
        </w:trPr>
        <w:tc>
          <w:tcPr>
            <w:tcW w:w="3620" w:type="dxa"/>
            <w:vAlign w:val="bottom"/>
            <w:tcBorders>
              <w:left w:val="single" w:sz="8" w:color="646464"/>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Gross provision for credit losses on loan portfolio</w:t>
            </w:r>
          </w:p>
        </w:tc>
        <w:tc>
          <w:tcPr>
            <w:tcW w:w="940" w:type="dxa"/>
            <w:vAlign w:val="bottom"/>
          </w:tcPr>
          <w:p>
            <w:pPr>
              <w:jc w:val="center"/>
              <w:spacing w:after="0" w:line="158" w:lineRule="exact"/>
              <w:rPr>
                <w:sz w:val="20"/>
                <w:szCs w:val="20"/>
                <w:color w:val="auto"/>
              </w:rPr>
            </w:pPr>
            <w:r>
              <w:rPr>
                <w:rFonts w:ascii="Arial" w:cs="Arial" w:eastAsia="Arial" w:hAnsi="Arial"/>
                <w:sz w:val="16"/>
                <w:szCs w:val="16"/>
                <w:color w:val="auto"/>
              </w:rPr>
              <w:t>(441,007)</w:t>
            </w:r>
          </w:p>
        </w:tc>
        <w:tc>
          <w:tcPr>
            <w:tcW w:w="940" w:type="dxa"/>
            <w:vAlign w:val="bottom"/>
          </w:tcPr>
          <w:p>
            <w:pPr>
              <w:jc w:val="center"/>
              <w:spacing w:after="0" w:line="158" w:lineRule="exact"/>
              <w:rPr>
                <w:sz w:val="20"/>
                <w:szCs w:val="20"/>
                <w:color w:val="auto"/>
              </w:rPr>
            </w:pPr>
            <w:r>
              <w:rPr>
                <w:rFonts w:ascii="Arial" w:cs="Arial" w:eastAsia="Arial" w:hAnsi="Arial"/>
                <w:sz w:val="16"/>
                <w:szCs w:val="16"/>
                <w:color w:val="auto"/>
              </w:rPr>
              <w:t>(350,681)</w:t>
            </w:r>
          </w:p>
        </w:tc>
        <w:tc>
          <w:tcPr>
            <w:tcW w:w="9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(447,036)</w:t>
            </w:r>
          </w:p>
        </w:tc>
        <w:tc>
          <w:tcPr>
            <w:tcW w:w="860" w:type="dxa"/>
            <w:vAlign w:val="bottom"/>
          </w:tcPr>
          <w:p>
            <w:pPr>
              <w:jc w:val="center"/>
              <w:spacing w:after="0" w:line="158" w:lineRule="exact"/>
              <w:rPr>
                <w:sz w:val="20"/>
                <w:szCs w:val="20"/>
                <w:color w:val="auto"/>
              </w:rPr>
            </w:pPr>
            <w:r>
              <w:rPr>
                <w:rFonts w:ascii="Arial" w:cs="Arial" w:eastAsia="Arial" w:hAnsi="Arial"/>
                <w:sz w:val="16"/>
                <w:szCs w:val="16"/>
                <w:color w:val="auto"/>
              </w:rPr>
              <w:t>27.5%</w:t>
            </w:r>
          </w:p>
        </w:tc>
        <w:tc>
          <w:tcPr>
            <w:tcW w:w="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1.4%</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(1,063,989)</w:t>
            </w:r>
          </w:p>
        </w:tc>
        <w:tc>
          <w:tcPr>
            <w:tcW w:w="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9"/>
              </w:rPr>
              <w:t>(797,717)</w:t>
            </w:r>
          </w:p>
        </w:tc>
        <w:tc>
          <w:tcPr>
            <w:tcW w:w="13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-25.0%</w:t>
            </w:r>
          </w:p>
        </w:tc>
      </w:tr>
      <w:tr>
        <w:trPr>
          <w:trHeight w:val="183"/>
        </w:trPr>
        <w:tc>
          <w:tcPr>
            <w:tcW w:w="362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Recoveries of written-off loans</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rPr>
              <w:t>77,627</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rPr>
              <w:t>93,091</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83,745</w:t>
            </w:r>
          </w:p>
        </w:tc>
        <w:tc>
          <w:tcPr>
            <w:tcW w:w="860" w:type="dxa"/>
            <w:vAlign w:val="bottom"/>
          </w:tcPr>
          <w:p>
            <w:pPr>
              <w:jc w:val="center"/>
              <w:spacing w:after="0" w:line="183" w:lineRule="exact"/>
              <w:rPr>
                <w:sz w:val="20"/>
                <w:szCs w:val="20"/>
                <w:color w:val="auto"/>
              </w:rPr>
            </w:pPr>
            <w:r>
              <w:rPr>
                <w:rFonts w:ascii="Arial" w:cs="Arial" w:eastAsia="Arial" w:hAnsi="Arial"/>
                <w:sz w:val="16"/>
                <w:szCs w:val="16"/>
                <w:color w:val="auto"/>
              </w:rPr>
              <w:t>-10.0%</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7.9%</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142,962</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176,836</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23.7%</w:t>
            </w:r>
          </w:p>
        </w:tc>
      </w:tr>
      <w:tr>
        <w:trPr>
          <w:trHeight w:val="183"/>
        </w:trPr>
        <w:tc>
          <w:tcPr>
            <w:tcW w:w="362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Provision for credit losses on loan portfolio,</w:t>
            </w: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(363,380)</w:t>
            </w:r>
          </w:p>
        </w:tc>
        <w:tc>
          <w:tcPr>
            <w:tcW w:w="94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(257,590)</w:t>
            </w:r>
          </w:p>
        </w:tc>
        <w:tc>
          <w:tcPr>
            <w:tcW w:w="94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(363,291)</w:t>
            </w:r>
          </w:p>
        </w:tc>
        <w:tc>
          <w:tcPr>
            <w:tcW w:w="8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41.0%</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0.0%</w:t>
            </w:r>
          </w:p>
        </w:tc>
        <w:tc>
          <w:tcPr>
            <w:tcW w:w="8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(921,027)</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(620,881)</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-32.6%</w:t>
            </w:r>
          </w:p>
        </w:tc>
      </w:tr>
      <w:tr>
        <w:trPr>
          <w:trHeight w:val="199"/>
        </w:trPr>
        <w:tc>
          <w:tcPr>
            <w:tcW w:w="3620" w:type="dxa"/>
            <w:vAlign w:val="bottom"/>
            <w:tcBorders>
              <w:left w:val="single" w:sz="8" w:color="646464"/>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of recoveries</w:t>
            </w: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75"/>
        </w:trPr>
        <w:tc>
          <w:tcPr>
            <w:tcW w:w="3620" w:type="dxa"/>
            <w:vAlign w:val="bottom"/>
            <w:tcBorders>
              <w:left w:val="single" w:sz="8" w:color="646464"/>
              <w:bottom w:val="single" w:sz="8" w:color="auto"/>
              <w:right w:val="single" w:sz="8" w:color="auto"/>
            </w:tcBorders>
          </w:tcPr>
          <w:p>
            <w:pPr>
              <w:ind w:left="20"/>
              <w:spacing w:after="0" w:line="175"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(1)</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1.02%</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0.71%</w:t>
            </w:r>
          </w:p>
        </w:tc>
        <w:tc>
          <w:tcPr>
            <w:tcW w:w="9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0.97%</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26 bps</w:t>
            </w:r>
          </w:p>
        </w:tc>
        <w:tc>
          <w:tcPr>
            <w:tcW w:w="8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-5 bps</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1.29%</w:t>
            </w:r>
          </w:p>
        </w:tc>
        <w:tc>
          <w:tcPr>
            <w:tcW w:w="8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0.83%</w:t>
            </w:r>
          </w:p>
        </w:tc>
        <w:tc>
          <w:tcPr>
            <w:tcW w:w="13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-46 bps</w:t>
            </w:r>
          </w:p>
        </w:tc>
      </w:tr>
    </w:tbl>
    <w:p>
      <w:pPr>
        <w:ind w:left="3"/>
        <w:spacing w:after="0"/>
        <w:rPr>
          <w:sz w:val="20"/>
          <w:szCs w:val="20"/>
          <w:color w:val="auto"/>
        </w:rPr>
      </w:pPr>
      <w:r>
        <w:rPr>
          <w:rFonts w:ascii="Times New Roman" w:cs="Times New Roman" w:eastAsia="Times New Roman" w:hAnsi="Times New Roman"/>
          <w:sz w:val="11"/>
          <w:szCs w:val="11"/>
          <w:color w:val="auto"/>
        </w:rPr>
        <w:t>(1) Annualized Provision for credit losses on loan portfolio, net of recoveries / Total Loans.</w:t>
      </w:r>
    </w:p>
    <w:p>
      <w:pPr>
        <w:spacing w:after="0" w:line="198"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The analysis of structural and GP loans shows that the CoR for the total portfolio rose 26bps QoQ and dropped -5bps YoY. The impact of GP loans, which stood at 11 bps, was attributable to a denominator effect, in line with amortizations of GP loans.</w:t>
      </w:r>
    </w:p>
    <w:p>
      <w:pPr>
        <w:spacing w:after="0" w:line="165" w:lineRule="exact"/>
        <w:rPr>
          <w:sz w:val="20"/>
          <w:szCs w:val="20"/>
          <w:color w:val="auto"/>
        </w:rPr>
      </w:pPr>
    </w:p>
    <w:p>
      <w:pPr>
        <w:ind w:left="1503"/>
        <w:spacing w:after="0"/>
        <w:tabs>
          <w:tab w:leader="none" w:pos="7362" w:val="left"/>
        </w:tabs>
        <w:rPr>
          <w:sz w:val="20"/>
          <w:szCs w:val="20"/>
          <w:color w:val="auto"/>
        </w:rPr>
      </w:pPr>
      <w:r>
        <w:rPr>
          <w:rFonts w:ascii="Times New Roman" w:cs="Times New Roman" w:eastAsia="Times New Roman" w:hAnsi="Times New Roman"/>
          <w:sz w:val="16"/>
          <w:szCs w:val="16"/>
          <w:b w:val="1"/>
          <w:bCs w:val="1"/>
          <w:color w:val="auto"/>
        </w:rPr>
        <w:t>QoQ Evolution of the Cost of Risk</w:t>
      </w:r>
      <w:r>
        <w:rPr>
          <w:sz w:val="20"/>
          <w:szCs w:val="20"/>
          <w:color w:val="auto"/>
        </w:rPr>
        <w:tab/>
      </w:r>
      <w:r>
        <w:rPr>
          <w:rFonts w:ascii="Times New Roman" w:cs="Times New Roman" w:eastAsia="Times New Roman" w:hAnsi="Times New Roman"/>
          <w:sz w:val="16"/>
          <w:szCs w:val="16"/>
          <w:b w:val="1"/>
          <w:bCs w:val="1"/>
          <w:color w:val="auto"/>
        </w:rPr>
        <w:t>YoY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18415</wp:posOffset>
            </wp:positionV>
            <wp:extent cx="2637155" cy="10902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37155" cy="1090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1"/>
          <w:szCs w:val="11"/>
          <w:color w:val="auto"/>
        </w:rPr>
        <w:t>(1) Others include BCP Bolivia, Mibanco Colombia, ASB Bank Corp and eliminations.</w:t>
      </w:r>
    </w:p>
    <w:p>
      <w:pPr>
        <w:ind w:left="6723"/>
        <w:spacing w:after="0"/>
        <w:rPr>
          <w:sz w:val="20"/>
          <w:szCs w:val="20"/>
          <w:color w:val="auto"/>
        </w:rPr>
      </w:pPr>
      <w:r>
        <w:rPr>
          <w:rFonts w:ascii="Times New Roman" w:cs="Times New Roman" w:eastAsia="Times New Roman" w:hAnsi="Times New Roman"/>
          <w:sz w:val="11"/>
          <w:szCs w:val="11"/>
          <w:color w:val="auto"/>
        </w:rPr>
        <w:t>(1) Others include BCP Bolivia, Mibanco Colombia, ASB Bank Corp and eliminations.</w:t>
      </w:r>
    </w:p>
    <w:p>
      <w:pPr>
        <w:spacing w:after="0" w:line="288"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31" w:name="page32"/>
    <w:bookmarkEnd w:id="3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color w:val="E93CAC"/>
        </w:rPr>
        <w:t xml:space="preserve">06 </w:t>
      </w:r>
      <w:r>
        <w:rPr>
          <w:rFonts w:ascii="Times New Roman" w:cs="Times New Roman" w:eastAsia="Times New Roman" w:hAnsi="Times New Roman"/>
          <w:sz w:val="29"/>
          <w:szCs w:val="29"/>
          <w:color w:val="E93C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45655" cy="788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788670"/>
                    </a:xfrm>
                    <a:prstGeom prst="rect">
                      <a:avLst/>
                    </a:prstGeom>
                    <a:noFill/>
                  </pic:spPr>
                </pic:pic>
              </a:graphicData>
            </a:graphic>
          </wp:anchor>
        </w:drawing>
      </w:r>
    </w:p>
    <w:p>
      <w:pPr>
        <w:spacing w:after="0" w:line="310" w:lineRule="exact"/>
        <w:rPr>
          <w:sz w:val="20"/>
          <w:szCs w:val="20"/>
          <w:color w:val="auto"/>
        </w:rPr>
      </w:pPr>
    </w:p>
    <w:p>
      <w:pPr>
        <w:ind w:left="123" w:right="120"/>
        <w:spacing w:after="0" w:line="278" w:lineRule="auto"/>
        <w:rPr>
          <w:sz w:val="20"/>
          <w:szCs w:val="20"/>
          <w:color w:val="auto"/>
        </w:rPr>
      </w:pPr>
      <w:r>
        <w:rPr>
          <w:rFonts w:ascii="Arial" w:cs="Arial" w:eastAsia="Arial" w:hAnsi="Arial"/>
          <w:sz w:val="16"/>
          <w:szCs w:val="16"/>
          <w:color w:val="FFFFFF"/>
        </w:rPr>
        <w:t>Other core income rose maintains a growing trend driven by growth in fees in a context marked by an uptick in transactions and higher on-going FX volatility.</w:t>
      </w:r>
    </w:p>
    <w:p>
      <w:pPr>
        <w:spacing w:after="0" w:line="110" w:lineRule="exact"/>
        <w:rPr>
          <w:sz w:val="20"/>
          <w:szCs w:val="20"/>
          <w:color w:val="auto"/>
        </w:rPr>
      </w:pPr>
    </w:p>
    <w:p>
      <w:pPr>
        <w:ind w:left="123" w:right="120"/>
        <w:spacing w:after="0" w:line="278" w:lineRule="auto"/>
        <w:rPr>
          <w:sz w:val="20"/>
          <w:szCs w:val="20"/>
          <w:color w:val="auto"/>
        </w:rPr>
      </w:pPr>
      <w:r>
        <w:rPr>
          <w:rFonts w:ascii="Arial" w:cs="Arial" w:eastAsia="Arial" w:hAnsi="Arial"/>
          <w:sz w:val="16"/>
          <w:szCs w:val="16"/>
          <w:color w:val="FFFFFF"/>
        </w:rPr>
        <w:t>Non-core other income fell due to Net losses on securities. These losses were driven by higher volatility in the stock markets, which negatively affected investments at Credicorp Stand-alone, Prima, ASB and Pacífico.</w:t>
      </w:r>
    </w:p>
    <w:p>
      <w:pPr>
        <w:spacing w:after="0" w:line="2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6.1 Other core income</w:t>
      </w:r>
    </w:p>
    <w:p>
      <w:pPr>
        <w:spacing w:after="0" w:line="200"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3240" w:type="dxa"/>
            <w:vAlign w:val="bottom"/>
            <w:tcBorders>
              <w:top w:val="single" w:sz="8" w:color="auto"/>
              <w:left w:val="single" w:sz="8" w:color="auto"/>
              <w:right w:val="single" w:sz="8" w:color="auto"/>
            </w:tcBorders>
            <w:shd w:val="clear" w:color="auto" w:fill="33CCCC"/>
          </w:tcPr>
          <w:p>
            <w:pPr>
              <w:spacing w:after="0" w:line="178" w:lineRule="exact"/>
              <w:rPr>
                <w:sz w:val="20"/>
                <w:szCs w:val="20"/>
                <w:color w:val="auto"/>
              </w:rPr>
            </w:pPr>
            <w:r>
              <w:rPr>
                <w:rFonts w:ascii="Arial" w:cs="Arial" w:eastAsia="Arial" w:hAnsi="Arial"/>
                <w:sz w:val="16"/>
                <w:szCs w:val="16"/>
                <w:b w:val="1"/>
                <w:bCs w:val="1"/>
                <w:color w:val="FFFFFF"/>
              </w:rPr>
              <w:t>Core Other Income</w:t>
            </w:r>
          </w:p>
        </w:tc>
        <w:tc>
          <w:tcPr>
            <w:tcW w:w="1100" w:type="dxa"/>
            <w:vAlign w:val="bottom"/>
            <w:tcBorders>
              <w:top w:val="single" w:sz="8" w:color="auto"/>
            </w:tcBorders>
            <w:shd w:val="clear" w:color="auto" w:fill="33CCCC"/>
          </w:tcPr>
          <w:p>
            <w:pPr>
              <w:spacing w:after="0"/>
              <w:rPr>
                <w:sz w:val="15"/>
                <w:szCs w:val="15"/>
                <w:color w:val="auto"/>
              </w:rPr>
            </w:pPr>
          </w:p>
        </w:tc>
        <w:tc>
          <w:tcPr>
            <w:tcW w:w="1040" w:type="dxa"/>
            <w:vAlign w:val="bottom"/>
            <w:tcBorders>
              <w:top w:val="single" w:sz="8" w:color="auto"/>
            </w:tcBorders>
            <w:shd w:val="clear" w:color="auto" w:fill="33CCCC"/>
          </w:tcPr>
          <w:p>
            <w:pPr>
              <w:jc w:val="right"/>
              <w:ind w:right="279"/>
              <w:spacing w:after="0" w:line="178"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shd w:val="clear" w:color="auto" w:fill="33CCCC"/>
          </w:tcPr>
          <w:p>
            <w:pPr>
              <w:spacing w:after="0"/>
              <w:rPr>
                <w:sz w:val="15"/>
                <w:szCs w:val="15"/>
                <w:color w:val="auto"/>
              </w:rPr>
            </w:pPr>
          </w:p>
        </w:tc>
        <w:tc>
          <w:tcPr>
            <w:tcW w:w="2000" w:type="dxa"/>
            <w:vAlign w:val="bottom"/>
            <w:tcBorders>
              <w:top w:val="single" w:sz="8" w:color="auto"/>
              <w:right w:val="single" w:sz="8" w:color="auto"/>
            </w:tcBorders>
            <w:gridSpan w:val="2"/>
            <w:shd w:val="clear" w:color="auto" w:fill="33CCCC"/>
          </w:tcPr>
          <w:p>
            <w:pPr>
              <w:ind w:left="580"/>
              <w:spacing w:after="0" w:line="178" w:lineRule="exact"/>
              <w:rPr>
                <w:sz w:val="20"/>
                <w:szCs w:val="20"/>
                <w:color w:val="auto"/>
              </w:rPr>
            </w:pPr>
            <w:r>
              <w:rPr>
                <w:rFonts w:ascii="Arial" w:cs="Arial" w:eastAsia="Arial" w:hAnsi="Arial"/>
                <w:sz w:val="16"/>
                <w:szCs w:val="16"/>
                <w:b w:val="1"/>
                <w:bCs w:val="1"/>
                <w:color w:val="FFFFFF"/>
              </w:rPr>
              <w:t>% Change</w:t>
            </w:r>
          </w:p>
        </w:tc>
        <w:tc>
          <w:tcPr>
            <w:tcW w:w="1200" w:type="dxa"/>
            <w:vAlign w:val="bottom"/>
            <w:tcBorders>
              <w:top w:val="single" w:sz="8" w:color="auto"/>
            </w:tcBorders>
            <w:shd w:val="clear" w:color="auto" w:fill="33CCCC"/>
          </w:tcPr>
          <w:p>
            <w:pPr>
              <w:jc w:val="right"/>
              <w:spacing w:after="0" w:line="178" w:lineRule="exact"/>
              <w:rPr>
                <w:sz w:val="20"/>
                <w:szCs w:val="20"/>
                <w:color w:val="auto"/>
              </w:rPr>
            </w:pPr>
            <w:r>
              <w:rPr>
                <w:rFonts w:ascii="Arial" w:cs="Arial" w:eastAsia="Arial" w:hAnsi="Arial"/>
                <w:sz w:val="16"/>
                <w:szCs w:val="16"/>
                <w:b w:val="1"/>
                <w:bCs w:val="1"/>
                <w:color w:val="FFFFFF"/>
              </w:rPr>
              <w:t>As of</w:t>
            </w:r>
          </w:p>
        </w:tc>
        <w:tc>
          <w:tcPr>
            <w:tcW w:w="800" w:type="dxa"/>
            <w:vAlign w:val="bottom"/>
            <w:tcBorders>
              <w:top w:val="single" w:sz="8" w:color="auto"/>
              <w:right w:val="single" w:sz="8" w:color="auto"/>
            </w:tcBorders>
            <w:shd w:val="clear" w:color="auto" w:fill="33CCCC"/>
          </w:tcPr>
          <w:p>
            <w:pPr>
              <w:spacing w:after="0"/>
              <w:rPr>
                <w:sz w:val="15"/>
                <w:szCs w:val="15"/>
                <w:color w:val="auto"/>
              </w:rPr>
            </w:pPr>
          </w:p>
        </w:tc>
        <w:tc>
          <w:tcPr>
            <w:tcW w:w="100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83"/>
        </w:trPr>
        <w:tc>
          <w:tcPr>
            <w:tcW w:w="3240" w:type="dxa"/>
            <w:vAlign w:val="bottom"/>
            <w:tcBorders>
              <w:left w:val="single" w:sz="8" w:color="auto"/>
              <w:right w:val="single" w:sz="8" w:color="auto"/>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000)</w:t>
            </w:r>
          </w:p>
        </w:tc>
        <w:tc>
          <w:tcPr>
            <w:tcW w:w="1100" w:type="dxa"/>
            <w:vAlign w:val="bottom"/>
            <w:shd w:val="clear" w:color="auto" w:fill="33CCCC"/>
          </w:tcPr>
          <w:p>
            <w:pPr>
              <w:jc w:val="right"/>
              <w:ind w:right="339"/>
              <w:spacing w:after="0" w:line="183" w:lineRule="exact"/>
              <w:rPr>
                <w:sz w:val="20"/>
                <w:szCs w:val="20"/>
                <w:color w:val="auto"/>
              </w:rPr>
            </w:pPr>
            <w:r>
              <w:rPr>
                <w:rFonts w:ascii="Arial" w:cs="Arial" w:eastAsia="Arial" w:hAnsi="Arial"/>
                <w:sz w:val="16"/>
                <w:szCs w:val="16"/>
                <w:b w:val="1"/>
                <w:bCs w:val="1"/>
                <w:color w:val="FFFFFF"/>
              </w:rPr>
              <w:t>2Q21</w:t>
            </w:r>
          </w:p>
        </w:tc>
        <w:tc>
          <w:tcPr>
            <w:tcW w:w="1040" w:type="dxa"/>
            <w:vAlign w:val="bottom"/>
            <w:shd w:val="clear" w:color="auto" w:fill="33CCCC"/>
          </w:tcPr>
          <w:p>
            <w:pPr>
              <w:jc w:val="right"/>
              <w:ind w:right="359"/>
              <w:spacing w:after="0" w:line="183" w:lineRule="exact"/>
              <w:rPr>
                <w:sz w:val="20"/>
                <w:szCs w:val="20"/>
                <w:color w:val="auto"/>
              </w:rPr>
            </w:pPr>
            <w:r>
              <w:rPr>
                <w:rFonts w:ascii="Arial" w:cs="Arial" w:eastAsia="Arial" w:hAnsi="Arial"/>
                <w:sz w:val="16"/>
                <w:szCs w:val="16"/>
                <w:b w:val="1"/>
                <w:bCs w:val="1"/>
                <w:color w:val="FFFFFF"/>
              </w:rPr>
              <w:t>1Q22</w:t>
            </w:r>
          </w:p>
        </w:tc>
        <w:tc>
          <w:tcPr>
            <w:tcW w:w="880" w:type="dxa"/>
            <w:vAlign w:val="bottom"/>
            <w:tcBorders>
              <w:right w:val="single" w:sz="8" w:color="auto"/>
            </w:tcBorders>
            <w:shd w:val="clear" w:color="auto" w:fill="33CCCC"/>
          </w:tcPr>
          <w:p>
            <w:pPr>
              <w:jc w:val="right"/>
              <w:ind w:right="239"/>
              <w:spacing w:after="0" w:line="183" w:lineRule="exact"/>
              <w:rPr>
                <w:sz w:val="20"/>
                <w:szCs w:val="20"/>
                <w:color w:val="auto"/>
              </w:rPr>
            </w:pPr>
            <w:r>
              <w:rPr>
                <w:rFonts w:ascii="Arial" w:cs="Arial" w:eastAsia="Arial" w:hAnsi="Arial"/>
                <w:sz w:val="16"/>
                <w:szCs w:val="16"/>
                <w:b w:val="1"/>
                <w:bCs w:val="1"/>
                <w:color w:val="FFFFFF"/>
              </w:rPr>
              <w:t>2Q22</w:t>
            </w:r>
          </w:p>
        </w:tc>
        <w:tc>
          <w:tcPr>
            <w:tcW w:w="960" w:type="dxa"/>
            <w:vAlign w:val="bottom"/>
            <w:shd w:val="clear" w:color="auto" w:fill="33CCCC"/>
          </w:tcPr>
          <w:p>
            <w:pPr>
              <w:ind w:left="300"/>
              <w:spacing w:after="0" w:line="183" w:lineRule="exact"/>
              <w:rPr>
                <w:sz w:val="20"/>
                <w:szCs w:val="20"/>
                <w:color w:val="auto"/>
              </w:rPr>
            </w:pPr>
            <w:r>
              <w:rPr>
                <w:rFonts w:ascii="Arial" w:cs="Arial" w:eastAsia="Arial" w:hAnsi="Arial"/>
                <w:sz w:val="16"/>
                <w:szCs w:val="16"/>
                <w:b w:val="1"/>
                <w:bCs w:val="1"/>
                <w:color w:val="FFFFFF"/>
              </w:rPr>
              <w:t>QoQ</w:t>
            </w:r>
          </w:p>
        </w:tc>
        <w:tc>
          <w:tcPr>
            <w:tcW w:w="1040" w:type="dxa"/>
            <w:vAlign w:val="bottom"/>
            <w:tcBorders>
              <w:right w:val="single" w:sz="8" w:color="auto"/>
            </w:tcBorders>
            <w:shd w:val="clear" w:color="auto" w:fill="33CCCC"/>
          </w:tcPr>
          <w:p>
            <w:pPr>
              <w:ind w:left="360"/>
              <w:spacing w:after="0" w:line="183" w:lineRule="exact"/>
              <w:rPr>
                <w:sz w:val="20"/>
                <w:szCs w:val="20"/>
                <w:color w:val="auto"/>
              </w:rPr>
            </w:pPr>
            <w:r>
              <w:rPr>
                <w:rFonts w:ascii="Arial" w:cs="Arial" w:eastAsia="Arial" w:hAnsi="Arial"/>
                <w:sz w:val="16"/>
                <w:szCs w:val="16"/>
                <w:b w:val="1"/>
                <w:bCs w:val="1"/>
                <w:color w:val="FFFFFF"/>
              </w:rPr>
              <w:t>YoY</w:t>
            </w:r>
          </w:p>
        </w:tc>
        <w:tc>
          <w:tcPr>
            <w:tcW w:w="1200" w:type="dxa"/>
            <w:vAlign w:val="bottom"/>
            <w:shd w:val="clear" w:color="auto" w:fill="33CCCC"/>
          </w:tcPr>
          <w:p>
            <w:pPr>
              <w:jc w:val="right"/>
              <w:ind w:right="379"/>
              <w:spacing w:after="0" w:line="183" w:lineRule="exact"/>
              <w:rPr>
                <w:sz w:val="20"/>
                <w:szCs w:val="20"/>
                <w:color w:val="auto"/>
              </w:rPr>
            </w:pPr>
            <w:r>
              <w:rPr>
                <w:rFonts w:ascii="Arial" w:cs="Arial" w:eastAsia="Arial" w:hAnsi="Arial"/>
                <w:sz w:val="16"/>
                <w:szCs w:val="16"/>
                <w:b w:val="1"/>
                <w:bCs w:val="1"/>
                <w:color w:val="FFFFFF"/>
              </w:rPr>
              <w:t>Jun 21</w:t>
            </w:r>
          </w:p>
        </w:tc>
        <w:tc>
          <w:tcPr>
            <w:tcW w:w="800" w:type="dxa"/>
            <w:vAlign w:val="bottom"/>
            <w:tcBorders>
              <w:right w:val="single" w:sz="8" w:color="auto"/>
            </w:tcBorders>
            <w:shd w:val="clear" w:color="auto" w:fill="33CCCC"/>
          </w:tcPr>
          <w:p>
            <w:pPr>
              <w:jc w:val="right"/>
              <w:ind w:right="179"/>
              <w:spacing w:after="0" w:line="183" w:lineRule="exact"/>
              <w:rPr>
                <w:sz w:val="20"/>
                <w:szCs w:val="20"/>
                <w:color w:val="auto"/>
              </w:rPr>
            </w:pPr>
            <w:r>
              <w:rPr>
                <w:rFonts w:ascii="Arial" w:cs="Arial" w:eastAsia="Arial" w:hAnsi="Arial"/>
                <w:sz w:val="16"/>
                <w:szCs w:val="16"/>
                <w:b w:val="1"/>
                <w:bCs w:val="1"/>
                <w:color w:val="FFFFFF"/>
              </w:rPr>
              <w:t>Jun 22</w:t>
            </w:r>
          </w:p>
        </w:tc>
        <w:tc>
          <w:tcPr>
            <w:tcW w:w="100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Jun 22/ Jun</w:t>
            </w:r>
          </w:p>
        </w:tc>
      </w:tr>
      <w:tr>
        <w:trPr>
          <w:trHeight w:val="199"/>
        </w:trPr>
        <w:tc>
          <w:tcPr>
            <w:tcW w:w="3240" w:type="dxa"/>
            <w:vAlign w:val="bottom"/>
            <w:tcBorders>
              <w:left w:val="single" w:sz="8" w:color="auto"/>
              <w:bottom w:val="single" w:sz="8" w:color="auto"/>
              <w:right w:val="single" w:sz="8" w:color="auto"/>
            </w:tcBorders>
            <w:shd w:val="clear" w:color="auto" w:fill="33CCCC"/>
          </w:tcPr>
          <w:p>
            <w:pPr>
              <w:spacing w:after="0"/>
              <w:rPr>
                <w:sz w:val="17"/>
                <w:szCs w:val="17"/>
                <w:color w:val="auto"/>
              </w:rPr>
            </w:pPr>
          </w:p>
        </w:tc>
        <w:tc>
          <w:tcPr>
            <w:tcW w:w="1100" w:type="dxa"/>
            <w:vAlign w:val="bottom"/>
            <w:tcBorders>
              <w:bottom w:val="single" w:sz="8" w:color="auto"/>
            </w:tcBorders>
            <w:shd w:val="clear" w:color="auto" w:fill="33CCCC"/>
          </w:tcPr>
          <w:p>
            <w:pPr>
              <w:spacing w:after="0"/>
              <w:rPr>
                <w:sz w:val="17"/>
                <w:szCs w:val="17"/>
                <w:color w:val="auto"/>
              </w:rPr>
            </w:pPr>
          </w:p>
        </w:tc>
        <w:tc>
          <w:tcPr>
            <w:tcW w:w="1040" w:type="dxa"/>
            <w:vAlign w:val="bottom"/>
            <w:tcBorders>
              <w:bottom w:val="single" w:sz="8" w:color="auto"/>
            </w:tcBorders>
            <w:shd w:val="clear" w:color="auto" w:fill="33CCCC"/>
          </w:tcPr>
          <w:p>
            <w:pPr>
              <w:spacing w:after="0"/>
              <w:rPr>
                <w:sz w:val="17"/>
                <w:szCs w:val="17"/>
                <w:color w:val="auto"/>
              </w:rPr>
            </w:pPr>
          </w:p>
        </w:tc>
        <w:tc>
          <w:tcPr>
            <w:tcW w:w="880" w:type="dxa"/>
            <w:vAlign w:val="bottom"/>
            <w:tcBorders>
              <w:bottom w:val="single" w:sz="8" w:color="auto"/>
              <w:right w:val="single" w:sz="8" w:color="auto"/>
            </w:tcBorders>
            <w:shd w:val="clear" w:color="auto" w:fill="33CCCC"/>
          </w:tcPr>
          <w:p>
            <w:pPr>
              <w:spacing w:after="0"/>
              <w:rPr>
                <w:sz w:val="17"/>
                <w:szCs w:val="17"/>
                <w:color w:val="auto"/>
              </w:rPr>
            </w:pPr>
          </w:p>
        </w:tc>
        <w:tc>
          <w:tcPr>
            <w:tcW w:w="960" w:type="dxa"/>
            <w:vAlign w:val="bottom"/>
            <w:tcBorders>
              <w:bottom w:val="single" w:sz="8" w:color="auto"/>
            </w:tcBorders>
            <w:shd w:val="clear" w:color="auto" w:fill="33CCCC"/>
          </w:tcPr>
          <w:p>
            <w:pPr>
              <w:spacing w:after="0"/>
              <w:rPr>
                <w:sz w:val="17"/>
                <w:szCs w:val="17"/>
                <w:color w:val="auto"/>
              </w:rPr>
            </w:pPr>
          </w:p>
        </w:tc>
        <w:tc>
          <w:tcPr>
            <w:tcW w:w="1040" w:type="dxa"/>
            <w:vAlign w:val="bottom"/>
            <w:tcBorders>
              <w:bottom w:val="single" w:sz="8" w:color="auto"/>
              <w:right w:val="single" w:sz="8" w:color="auto"/>
            </w:tcBorders>
            <w:shd w:val="clear" w:color="auto" w:fill="33CCCC"/>
          </w:tcPr>
          <w:p>
            <w:pPr>
              <w:spacing w:after="0"/>
              <w:rPr>
                <w:sz w:val="17"/>
                <w:szCs w:val="17"/>
                <w:color w:val="auto"/>
              </w:rPr>
            </w:pPr>
          </w:p>
        </w:tc>
        <w:tc>
          <w:tcPr>
            <w:tcW w:w="1200" w:type="dxa"/>
            <w:vAlign w:val="bottom"/>
            <w:tcBorders>
              <w:bottom w:val="single" w:sz="8" w:color="auto"/>
            </w:tcBorders>
            <w:shd w:val="clear" w:color="auto" w:fill="33CCCC"/>
          </w:tcPr>
          <w:p>
            <w:pPr>
              <w:spacing w:after="0"/>
              <w:rPr>
                <w:sz w:val="17"/>
                <w:szCs w:val="17"/>
                <w:color w:val="auto"/>
              </w:rPr>
            </w:pPr>
          </w:p>
        </w:tc>
        <w:tc>
          <w:tcPr>
            <w:tcW w:w="800" w:type="dxa"/>
            <w:vAlign w:val="bottom"/>
            <w:tcBorders>
              <w:bottom w:val="single" w:sz="8" w:color="auto"/>
              <w:right w:val="single" w:sz="8" w:color="auto"/>
            </w:tcBorders>
            <w:shd w:val="clear" w:color="auto" w:fill="33CCCC"/>
          </w:tcPr>
          <w:p>
            <w:pPr>
              <w:spacing w:after="0"/>
              <w:rPr>
                <w:sz w:val="17"/>
                <w:szCs w:val="17"/>
                <w:color w:val="auto"/>
              </w:rPr>
            </w:pP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21</w:t>
            </w:r>
          </w:p>
        </w:tc>
      </w:tr>
      <w:tr>
        <w:trPr>
          <w:trHeight w:val="158"/>
        </w:trPr>
        <w:tc>
          <w:tcPr>
            <w:tcW w:w="324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Fee income</w:t>
            </w: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862,411</w:t>
            </w:r>
          </w:p>
        </w:tc>
        <w:tc>
          <w:tcPr>
            <w:tcW w:w="1040" w:type="dxa"/>
            <w:vAlign w:val="bottom"/>
          </w:tcPr>
          <w:p>
            <w:pPr>
              <w:jc w:val="right"/>
              <w:ind w:right="59"/>
              <w:spacing w:after="0" w:line="158" w:lineRule="exact"/>
              <w:rPr>
                <w:sz w:val="20"/>
                <w:szCs w:val="20"/>
                <w:color w:val="auto"/>
              </w:rPr>
            </w:pPr>
            <w:r>
              <w:rPr>
                <w:rFonts w:ascii="Arial" w:cs="Arial" w:eastAsia="Arial" w:hAnsi="Arial"/>
                <w:sz w:val="16"/>
                <w:szCs w:val="16"/>
                <w:color w:val="auto"/>
              </w:rPr>
              <w:t>891,031</w:t>
            </w:r>
          </w:p>
        </w:tc>
        <w:tc>
          <w:tcPr>
            <w:tcW w:w="88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920,492</w:t>
            </w:r>
          </w:p>
        </w:tc>
        <w:tc>
          <w:tcPr>
            <w:tcW w:w="960" w:type="dxa"/>
            <w:vAlign w:val="bottom"/>
          </w:tcPr>
          <w:p>
            <w:pPr>
              <w:ind w:left="300"/>
              <w:spacing w:after="0" w:line="158" w:lineRule="exact"/>
              <w:rPr>
                <w:sz w:val="20"/>
                <w:szCs w:val="20"/>
                <w:color w:val="auto"/>
              </w:rPr>
            </w:pPr>
            <w:r>
              <w:rPr>
                <w:rFonts w:ascii="Arial" w:cs="Arial" w:eastAsia="Arial" w:hAnsi="Arial"/>
                <w:sz w:val="16"/>
                <w:szCs w:val="16"/>
                <w:color w:val="auto"/>
              </w:rPr>
              <w:t>3.3%</w:t>
            </w:r>
          </w:p>
        </w:tc>
        <w:tc>
          <w:tcPr>
            <w:tcW w:w="1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6.7%</w:t>
            </w:r>
          </w:p>
        </w:tc>
        <w:tc>
          <w:tcPr>
            <w:tcW w:w="1200" w:type="dxa"/>
            <w:vAlign w:val="bottom"/>
          </w:tcPr>
          <w:p>
            <w:pPr>
              <w:jc w:val="right"/>
              <w:ind w:right="139"/>
              <w:spacing w:after="0" w:line="158" w:lineRule="exact"/>
              <w:rPr>
                <w:sz w:val="20"/>
                <w:szCs w:val="20"/>
                <w:color w:val="auto"/>
              </w:rPr>
            </w:pPr>
            <w:r>
              <w:rPr>
                <w:rFonts w:ascii="Arial" w:cs="Arial" w:eastAsia="Arial" w:hAnsi="Arial"/>
                <w:sz w:val="16"/>
                <w:szCs w:val="16"/>
                <w:color w:val="auto"/>
              </w:rPr>
              <w:t>1,693,182</w:t>
            </w:r>
          </w:p>
        </w:tc>
        <w:tc>
          <w:tcPr>
            <w:tcW w:w="80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1,811,523</w:t>
            </w:r>
          </w:p>
        </w:tc>
        <w:tc>
          <w:tcPr>
            <w:tcW w:w="10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7.0%</w:t>
            </w:r>
          </w:p>
        </w:tc>
      </w:tr>
      <w:tr>
        <w:trPr>
          <w:trHeight w:val="199"/>
        </w:trPr>
        <w:tc>
          <w:tcPr>
            <w:tcW w:w="32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Net gain on foreign exchange transactions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238,440</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259,710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269,059</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3.6%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12.8%</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413,251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528,769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28.0%</w:t>
            </w:r>
          </w:p>
        </w:tc>
      </w:tr>
      <w:tr>
        <w:trPr>
          <w:trHeight w:val="175"/>
        </w:trPr>
        <w:tc>
          <w:tcPr>
            <w:tcW w:w="324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other income Core</w:t>
            </w:r>
          </w:p>
        </w:tc>
        <w:tc>
          <w:tcPr>
            <w:tcW w:w="110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b w:val="1"/>
                <w:bCs w:val="1"/>
                <w:color w:val="auto"/>
              </w:rPr>
              <w:t>1,100,851</w:t>
            </w:r>
          </w:p>
        </w:tc>
        <w:tc>
          <w:tcPr>
            <w:tcW w:w="104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1,150,741</w:t>
            </w:r>
          </w:p>
        </w:tc>
        <w:tc>
          <w:tcPr>
            <w:tcW w:w="88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1,189,551</w:t>
            </w:r>
          </w:p>
        </w:tc>
        <w:tc>
          <w:tcPr>
            <w:tcW w:w="960" w:type="dxa"/>
            <w:vAlign w:val="bottom"/>
            <w:tcBorders>
              <w:bottom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3.4%</w:t>
            </w:r>
          </w:p>
        </w:tc>
        <w:tc>
          <w:tcPr>
            <w:tcW w:w="10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8.1%</w:t>
            </w:r>
          </w:p>
        </w:tc>
        <w:tc>
          <w:tcPr>
            <w:tcW w:w="120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b w:val="1"/>
                <w:bCs w:val="1"/>
                <w:color w:val="auto"/>
              </w:rPr>
              <w:t>2,106,433</w:t>
            </w:r>
          </w:p>
        </w:tc>
        <w:tc>
          <w:tcPr>
            <w:tcW w:w="8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2,340,292</w:t>
            </w:r>
          </w:p>
        </w:tc>
        <w:tc>
          <w:tcPr>
            <w:tcW w:w="10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11.1%</w:t>
            </w:r>
          </w:p>
        </w:tc>
      </w:tr>
    </w:tbl>
    <w:p>
      <w:pPr>
        <w:jc w:val="both"/>
        <w:ind w:left="3" w:right="20" w:firstLine="57"/>
        <w:spacing w:after="0" w:line="260" w:lineRule="auto"/>
        <w:rPr>
          <w:sz w:val="20"/>
          <w:szCs w:val="20"/>
          <w:color w:val="auto"/>
        </w:rPr>
      </w:pPr>
      <w:r>
        <w:rPr>
          <w:rFonts w:ascii="Times New Roman" w:cs="Times New Roman" w:eastAsia="Times New Roman" w:hAnsi="Times New Roman"/>
          <w:sz w:val="16"/>
          <w:szCs w:val="16"/>
          <w:color w:val="auto"/>
        </w:rPr>
        <w:t>The upward trend in other core income continued. This positive evolution was led by BCP Stand-alone, which registered an increase in fee income due to an uptick in digital transactions, which reflected on-going migration from traditional to digital channels, and growth in POS use. In this context, cashless transactions represented 43% of the transaction amount at the end of June. Mibanco also reported an increase in fee income, which was driven primarily by growth in insurance sales and secondarily by a decrease in in fees paid to commercial partners. The aforementioned was partially offset by a drop in fee income from mutual funds, after extraordinary income from entry to third-party funds through international platforms were reported in 2Q21. Gains of foreign exchange transactions continued to trend upward due to growth in transaction volumes and an uptick in exchange rate volatility.</w:t>
      </w:r>
    </w:p>
    <w:p>
      <w:pPr>
        <w:spacing w:after="0" w:line="3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Fee income by banking business</w:t>
      </w:r>
    </w:p>
    <w:p>
      <w:pPr>
        <w:spacing w:after="0" w:line="3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Composition of fee income by banking business</w:t>
      </w:r>
    </w:p>
    <w:p>
      <w:pPr>
        <w:spacing w:after="0" w:line="29" w:lineRule="exact"/>
        <w:rPr>
          <w:sz w:val="20"/>
          <w:szCs w:val="20"/>
          <w:color w:val="auto"/>
        </w:rPr>
      </w:pPr>
    </w:p>
    <w:tbl>
      <w:tblPr>
        <w:tblLayout w:type="fixed"/>
        <w:tblInd w:w="13" w:type="dxa"/>
        <w:tblCellMar>
          <w:top w:w="0" w:type="dxa"/>
          <w:left w:w="0" w:type="dxa"/>
          <w:bottom w:w="0" w:type="dxa"/>
          <w:right w:w="0" w:type="dxa"/>
        </w:tblCellMar>
      </w:tblPr>
      <w:tr>
        <w:trPr>
          <w:trHeight w:val="159"/>
        </w:trPr>
        <w:tc>
          <w:tcPr>
            <w:tcW w:w="3240" w:type="dxa"/>
            <w:vAlign w:val="bottom"/>
            <w:tcBorders>
              <w:top w:val="single" w:sz="8" w:color="auto"/>
              <w:left w:val="single" w:sz="8" w:color="auto"/>
              <w:right w:val="single" w:sz="8" w:color="auto"/>
            </w:tcBorders>
            <w:shd w:val="clear" w:color="auto" w:fill="33CCCC"/>
          </w:tcPr>
          <w:p>
            <w:pPr>
              <w:spacing w:after="0" w:line="159" w:lineRule="exact"/>
              <w:rPr>
                <w:sz w:val="20"/>
                <w:szCs w:val="20"/>
                <w:color w:val="auto"/>
              </w:rPr>
            </w:pPr>
            <w:r>
              <w:rPr>
                <w:rFonts w:ascii="Arial" w:cs="Arial" w:eastAsia="Arial" w:hAnsi="Arial"/>
                <w:sz w:val="16"/>
                <w:szCs w:val="16"/>
                <w:b w:val="1"/>
                <w:bCs w:val="1"/>
                <w:color w:val="FFFFFF"/>
              </w:rPr>
              <w:t>Banking Business Fees</w:t>
            </w:r>
          </w:p>
        </w:tc>
        <w:tc>
          <w:tcPr>
            <w:tcW w:w="1100" w:type="dxa"/>
            <w:vAlign w:val="bottom"/>
            <w:tcBorders>
              <w:top w:val="single" w:sz="8" w:color="auto"/>
            </w:tcBorders>
            <w:shd w:val="clear" w:color="auto" w:fill="33CCCC"/>
          </w:tcPr>
          <w:p>
            <w:pPr>
              <w:spacing w:after="0"/>
              <w:rPr>
                <w:sz w:val="13"/>
                <w:szCs w:val="13"/>
                <w:color w:val="auto"/>
              </w:rPr>
            </w:pPr>
          </w:p>
        </w:tc>
        <w:tc>
          <w:tcPr>
            <w:tcW w:w="1040" w:type="dxa"/>
            <w:vAlign w:val="bottom"/>
            <w:tcBorders>
              <w:top w:val="single" w:sz="8" w:color="auto"/>
            </w:tcBorders>
            <w:shd w:val="clear" w:color="auto" w:fill="33CCCC"/>
          </w:tcPr>
          <w:p>
            <w:pPr>
              <w:jc w:val="right"/>
              <w:ind w:right="279"/>
              <w:spacing w:after="0" w:line="159"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shd w:val="clear" w:color="auto" w:fill="33CCCC"/>
          </w:tcPr>
          <w:p>
            <w:pPr>
              <w:spacing w:after="0"/>
              <w:rPr>
                <w:sz w:val="13"/>
                <w:szCs w:val="13"/>
                <w:color w:val="auto"/>
              </w:rPr>
            </w:pPr>
          </w:p>
        </w:tc>
        <w:tc>
          <w:tcPr>
            <w:tcW w:w="2000" w:type="dxa"/>
            <w:vAlign w:val="bottom"/>
            <w:tcBorders>
              <w:top w:val="single" w:sz="8" w:color="auto"/>
              <w:right w:val="single" w:sz="8" w:color="auto"/>
            </w:tcBorders>
            <w:gridSpan w:val="2"/>
            <w:shd w:val="clear" w:color="auto" w:fill="33CCCC"/>
          </w:tcPr>
          <w:p>
            <w:pPr>
              <w:jc w:val="right"/>
              <w:ind w:right="539"/>
              <w:spacing w:after="0" w:line="159" w:lineRule="exact"/>
              <w:rPr>
                <w:sz w:val="20"/>
                <w:szCs w:val="20"/>
                <w:color w:val="auto"/>
              </w:rPr>
            </w:pPr>
            <w:r>
              <w:rPr>
                <w:rFonts w:ascii="Arial" w:cs="Arial" w:eastAsia="Arial" w:hAnsi="Arial"/>
                <w:sz w:val="16"/>
                <w:szCs w:val="16"/>
                <w:b w:val="1"/>
                <w:bCs w:val="1"/>
                <w:color w:val="FFFFFF"/>
              </w:rPr>
              <w:t>% Change</w:t>
            </w:r>
          </w:p>
        </w:tc>
        <w:tc>
          <w:tcPr>
            <w:tcW w:w="1200" w:type="dxa"/>
            <w:vAlign w:val="bottom"/>
            <w:tcBorders>
              <w:top w:val="single" w:sz="8" w:color="auto"/>
            </w:tcBorders>
            <w:shd w:val="clear" w:color="auto" w:fill="33CCCC"/>
          </w:tcPr>
          <w:p>
            <w:pPr>
              <w:jc w:val="right"/>
              <w:spacing w:after="0" w:line="159" w:lineRule="exact"/>
              <w:rPr>
                <w:sz w:val="20"/>
                <w:szCs w:val="20"/>
                <w:color w:val="auto"/>
              </w:rPr>
            </w:pPr>
            <w:r>
              <w:rPr>
                <w:rFonts w:ascii="Arial" w:cs="Arial" w:eastAsia="Arial" w:hAnsi="Arial"/>
                <w:sz w:val="16"/>
                <w:szCs w:val="16"/>
                <w:b w:val="1"/>
                <w:bCs w:val="1"/>
                <w:color w:val="FFFFFF"/>
              </w:rPr>
              <w:t>As of</w:t>
            </w:r>
          </w:p>
        </w:tc>
        <w:tc>
          <w:tcPr>
            <w:tcW w:w="800" w:type="dxa"/>
            <w:vAlign w:val="bottom"/>
            <w:tcBorders>
              <w:top w:val="single" w:sz="8" w:color="auto"/>
              <w:right w:val="single" w:sz="8" w:color="auto"/>
            </w:tcBorders>
            <w:shd w:val="clear" w:color="auto" w:fill="33CCCC"/>
          </w:tcPr>
          <w:p>
            <w:pPr>
              <w:spacing w:after="0"/>
              <w:rPr>
                <w:sz w:val="13"/>
                <w:szCs w:val="13"/>
                <w:color w:val="auto"/>
              </w:rPr>
            </w:pPr>
          </w:p>
        </w:tc>
        <w:tc>
          <w:tcPr>
            <w:tcW w:w="1000" w:type="dxa"/>
            <w:vAlign w:val="bottom"/>
            <w:tcBorders>
              <w:top w:val="single" w:sz="8" w:color="auto"/>
              <w:right w:val="single" w:sz="8" w:color="auto"/>
            </w:tcBorders>
            <w:shd w:val="clear" w:color="auto" w:fill="33CCCC"/>
          </w:tcPr>
          <w:p>
            <w:pPr>
              <w:jc w:val="center"/>
              <w:spacing w:after="0" w:line="159" w:lineRule="exact"/>
              <w:rPr>
                <w:sz w:val="20"/>
                <w:szCs w:val="20"/>
                <w:color w:val="auto"/>
              </w:rPr>
            </w:pPr>
            <w:r>
              <w:rPr>
                <w:rFonts w:ascii="Arial" w:cs="Arial" w:eastAsia="Arial" w:hAnsi="Arial"/>
                <w:sz w:val="16"/>
                <w:szCs w:val="16"/>
                <w:b w:val="1"/>
                <w:bCs w:val="1"/>
                <w:color w:val="FFFFFF"/>
              </w:rPr>
              <w:t>% Change</w:t>
            </w:r>
          </w:p>
        </w:tc>
      </w:tr>
      <w:tr>
        <w:trPr>
          <w:trHeight w:val="183"/>
        </w:trPr>
        <w:tc>
          <w:tcPr>
            <w:tcW w:w="3240" w:type="dxa"/>
            <w:vAlign w:val="bottom"/>
            <w:tcBorders>
              <w:left w:val="single" w:sz="8" w:color="auto"/>
              <w:right w:val="single" w:sz="8" w:color="auto"/>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000</w:t>
            </w:r>
          </w:p>
        </w:tc>
        <w:tc>
          <w:tcPr>
            <w:tcW w:w="1100" w:type="dxa"/>
            <w:vAlign w:val="bottom"/>
            <w:shd w:val="clear" w:color="auto" w:fill="33CCCC"/>
          </w:tcPr>
          <w:p>
            <w:pPr>
              <w:jc w:val="right"/>
              <w:ind w:right="339"/>
              <w:spacing w:after="0" w:line="183" w:lineRule="exact"/>
              <w:rPr>
                <w:sz w:val="20"/>
                <w:szCs w:val="20"/>
                <w:color w:val="auto"/>
              </w:rPr>
            </w:pPr>
            <w:r>
              <w:rPr>
                <w:rFonts w:ascii="Arial" w:cs="Arial" w:eastAsia="Arial" w:hAnsi="Arial"/>
                <w:sz w:val="16"/>
                <w:szCs w:val="16"/>
                <w:b w:val="1"/>
                <w:bCs w:val="1"/>
                <w:color w:val="FFFFFF"/>
              </w:rPr>
              <w:t>2Q21</w:t>
            </w:r>
          </w:p>
        </w:tc>
        <w:tc>
          <w:tcPr>
            <w:tcW w:w="1040" w:type="dxa"/>
            <w:vAlign w:val="bottom"/>
            <w:shd w:val="clear" w:color="auto" w:fill="33CCCC"/>
          </w:tcPr>
          <w:p>
            <w:pPr>
              <w:jc w:val="right"/>
              <w:ind w:right="379"/>
              <w:spacing w:after="0" w:line="183" w:lineRule="exact"/>
              <w:rPr>
                <w:sz w:val="20"/>
                <w:szCs w:val="20"/>
                <w:color w:val="auto"/>
              </w:rPr>
            </w:pPr>
            <w:r>
              <w:rPr>
                <w:rFonts w:ascii="Arial" w:cs="Arial" w:eastAsia="Arial" w:hAnsi="Arial"/>
                <w:sz w:val="16"/>
                <w:szCs w:val="16"/>
                <w:b w:val="1"/>
                <w:bCs w:val="1"/>
                <w:color w:val="FFFFFF"/>
              </w:rPr>
              <w:t>1Q22</w:t>
            </w:r>
          </w:p>
        </w:tc>
        <w:tc>
          <w:tcPr>
            <w:tcW w:w="880" w:type="dxa"/>
            <w:vAlign w:val="bottom"/>
            <w:tcBorders>
              <w:right w:val="single" w:sz="8" w:color="auto"/>
            </w:tcBorders>
            <w:shd w:val="clear" w:color="auto" w:fill="33CCCC"/>
          </w:tcPr>
          <w:p>
            <w:pPr>
              <w:jc w:val="right"/>
              <w:ind w:right="239"/>
              <w:spacing w:after="0" w:line="183" w:lineRule="exact"/>
              <w:rPr>
                <w:sz w:val="20"/>
                <w:szCs w:val="20"/>
                <w:color w:val="auto"/>
              </w:rPr>
            </w:pPr>
            <w:r>
              <w:rPr>
                <w:rFonts w:ascii="Arial" w:cs="Arial" w:eastAsia="Arial" w:hAnsi="Arial"/>
                <w:sz w:val="16"/>
                <w:szCs w:val="16"/>
                <w:b w:val="1"/>
                <w:bCs w:val="1"/>
                <w:color w:val="FFFFFF"/>
              </w:rPr>
              <w:t>2Q22</w:t>
            </w:r>
          </w:p>
        </w:tc>
        <w:tc>
          <w:tcPr>
            <w:tcW w:w="1140" w:type="dxa"/>
            <w:vAlign w:val="bottom"/>
            <w:shd w:val="clear" w:color="auto" w:fill="33CCCC"/>
          </w:tcPr>
          <w:p>
            <w:pPr>
              <w:jc w:val="right"/>
              <w:ind w:right="439"/>
              <w:spacing w:after="0" w:line="183" w:lineRule="exact"/>
              <w:rPr>
                <w:sz w:val="20"/>
                <w:szCs w:val="20"/>
                <w:color w:val="auto"/>
              </w:rPr>
            </w:pPr>
            <w:r>
              <w:rPr>
                <w:rFonts w:ascii="Arial" w:cs="Arial" w:eastAsia="Arial" w:hAnsi="Arial"/>
                <w:sz w:val="16"/>
                <w:szCs w:val="16"/>
                <w:b w:val="1"/>
                <w:bCs w:val="1"/>
                <w:color w:val="FFFFFF"/>
              </w:rPr>
              <w:t>TaT</w:t>
            </w:r>
          </w:p>
        </w:tc>
        <w:tc>
          <w:tcPr>
            <w:tcW w:w="860" w:type="dxa"/>
            <w:vAlign w:val="bottom"/>
            <w:tcBorders>
              <w:right w:val="single" w:sz="8" w:color="auto"/>
            </w:tcBorders>
            <w:shd w:val="clear" w:color="auto" w:fill="33CCCC"/>
          </w:tcPr>
          <w:p>
            <w:pPr>
              <w:jc w:val="right"/>
              <w:ind w:right="279"/>
              <w:spacing w:after="0" w:line="183" w:lineRule="exact"/>
              <w:rPr>
                <w:sz w:val="20"/>
                <w:szCs w:val="20"/>
                <w:color w:val="auto"/>
              </w:rPr>
            </w:pPr>
            <w:r>
              <w:rPr>
                <w:rFonts w:ascii="Arial" w:cs="Arial" w:eastAsia="Arial" w:hAnsi="Arial"/>
                <w:sz w:val="16"/>
                <w:szCs w:val="16"/>
                <w:b w:val="1"/>
                <w:bCs w:val="1"/>
                <w:color w:val="FFFFFF"/>
              </w:rPr>
              <w:t>AaA</w:t>
            </w:r>
          </w:p>
        </w:tc>
        <w:tc>
          <w:tcPr>
            <w:tcW w:w="1200" w:type="dxa"/>
            <w:vAlign w:val="bottom"/>
            <w:shd w:val="clear" w:color="auto" w:fill="33CCCC"/>
          </w:tcPr>
          <w:p>
            <w:pPr>
              <w:jc w:val="right"/>
              <w:ind w:right="379"/>
              <w:spacing w:after="0" w:line="183" w:lineRule="exact"/>
              <w:rPr>
                <w:sz w:val="20"/>
                <w:szCs w:val="20"/>
                <w:color w:val="auto"/>
              </w:rPr>
            </w:pPr>
            <w:r>
              <w:rPr>
                <w:rFonts w:ascii="Arial" w:cs="Arial" w:eastAsia="Arial" w:hAnsi="Arial"/>
                <w:sz w:val="16"/>
                <w:szCs w:val="16"/>
                <w:b w:val="1"/>
                <w:bCs w:val="1"/>
                <w:color w:val="FFFFFF"/>
              </w:rPr>
              <w:t>Jun 21</w:t>
            </w:r>
          </w:p>
        </w:tc>
        <w:tc>
          <w:tcPr>
            <w:tcW w:w="800" w:type="dxa"/>
            <w:vAlign w:val="bottom"/>
            <w:tcBorders>
              <w:right w:val="single" w:sz="8" w:color="auto"/>
            </w:tcBorders>
            <w:shd w:val="clear" w:color="auto" w:fill="33CCCC"/>
          </w:tcPr>
          <w:p>
            <w:pPr>
              <w:jc w:val="right"/>
              <w:ind w:right="179"/>
              <w:spacing w:after="0" w:line="183" w:lineRule="exact"/>
              <w:rPr>
                <w:sz w:val="20"/>
                <w:szCs w:val="20"/>
                <w:color w:val="auto"/>
              </w:rPr>
            </w:pPr>
            <w:r>
              <w:rPr>
                <w:rFonts w:ascii="Arial" w:cs="Arial" w:eastAsia="Arial" w:hAnsi="Arial"/>
                <w:sz w:val="16"/>
                <w:szCs w:val="16"/>
                <w:b w:val="1"/>
                <w:bCs w:val="1"/>
                <w:color w:val="FFFFFF"/>
              </w:rPr>
              <w:t>Jun 22</w:t>
            </w:r>
          </w:p>
        </w:tc>
        <w:tc>
          <w:tcPr>
            <w:tcW w:w="100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Jun 22 / Jun</w:t>
            </w:r>
          </w:p>
        </w:tc>
      </w:tr>
      <w:tr>
        <w:trPr>
          <w:trHeight w:val="199"/>
        </w:trPr>
        <w:tc>
          <w:tcPr>
            <w:tcW w:w="3240" w:type="dxa"/>
            <w:vAlign w:val="bottom"/>
            <w:tcBorders>
              <w:left w:val="single" w:sz="8" w:color="auto"/>
              <w:bottom w:val="single" w:sz="8" w:color="auto"/>
              <w:right w:val="single" w:sz="8" w:color="auto"/>
            </w:tcBorders>
            <w:shd w:val="clear" w:color="auto" w:fill="33CCCC"/>
          </w:tcPr>
          <w:p>
            <w:pPr>
              <w:spacing w:after="0"/>
              <w:rPr>
                <w:sz w:val="17"/>
                <w:szCs w:val="17"/>
                <w:color w:val="auto"/>
              </w:rPr>
            </w:pPr>
          </w:p>
        </w:tc>
        <w:tc>
          <w:tcPr>
            <w:tcW w:w="1100" w:type="dxa"/>
            <w:vAlign w:val="bottom"/>
            <w:tcBorders>
              <w:bottom w:val="single" w:sz="8" w:color="auto"/>
            </w:tcBorders>
            <w:shd w:val="clear" w:color="auto" w:fill="33CCCC"/>
          </w:tcPr>
          <w:p>
            <w:pPr>
              <w:spacing w:after="0"/>
              <w:rPr>
                <w:sz w:val="17"/>
                <w:szCs w:val="17"/>
                <w:color w:val="auto"/>
              </w:rPr>
            </w:pPr>
          </w:p>
        </w:tc>
        <w:tc>
          <w:tcPr>
            <w:tcW w:w="1040" w:type="dxa"/>
            <w:vAlign w:val="bottom"/>
            <w:tcBorders>
              <w:bottom w:val="single" w:sz="8" w:color="auto"/>
            </w:tcBorders>
            <w:shd w:val="clear" w:color="auto" w:fill="33CCCC"/>
          </w:tcPr>
          <w:p>
            <w:pPr>
              <w:spacing w:after="0"/>
              <w:rPr>
                <w:sz w:val="17"/>
                <w:szCs w:val="17"/>
                <w:color w:val="auto"/>
              </w:rPr>
            </w:pPr>
          </w:p>
        </w:tc>
        <w:tc>
          <w:tcPr>
            <w:tcW w:w="880" w:type="dxa"/>
            <w:vAlign w:val="bottom"/>
            <w:tcBorders>
              <w:bottom w:val="single" w:sz="8" w:color="auto"/>
              <w:right w:val="single" w:sz="8" w:color="auto"/>
            </w:tcBorders>
            <w:shd w:val="clear" w:color="auto" w:fill="33CCCC"/>
          </w:tcPr>
          <w:p>
            <w:pPr>
              <w:spacing w:after="0"/>
              <w:rPr>
                <w:sz w:val="17"/>
                <w:szCs w:val="17"/>
                <w:color w:val="auto"/>
              </w:rPr>
            </w:pPr>
          </w:p>
        </w:tc>
        <w:tc>
          <w:tcPr>
            <w:tcW w:w="1140" w:type="dxa"/>
            <w:vAlign w:val="bottom"/>
            <w:tcBorders>
              <w:bottom w:val="single" w:sz="8" w:color="auto"/>
            </w:tcBorders>
            <w:shd w:val="clear" w:color="auto" w:fill="33CCCC"/>
          </w:tcPr>
          <w:p>
            <w:pPr>
              <w:spacing w:after="0"/>
              <w:rPr>
                <w:sz w:val="17"/>
                <w:szCs w:val="17"/>
                <w:color w:val="auto"/>
              </w:rPr>
            </w:pPr>
          </w:p>
        </w:tc>
        <w:tc>
          <w:tcPr>
            <w:tcW w:w="860" w:type="dxa"/>
            <w:vAlign w:val="bottom"/>
            <w:tcBorders>
              <w:bottom w:val="single" w:sz="8" w:color="auto"/>
              <w:right w:val="single" w:sz="8" w:color="auto"/>
            </w:tcBorders>
            <w:shd w:val="clear" w:color="auto" w:fill="33CCCC"/>
          </w:tcPr>
          <w:p>
            <w:pPr>
              <w:spacing w:after="0"/>
              <w:rPr>
                <w:sz w:val="17"/>
                <w:szCs w:val="17"/>
                <w:color w:val="auto"/>
              </w:rPr>
            </w:pPr>
          </w:p>
        </w:tc>
        <w:tc>
          <w:tcPr>
            <w:tcW w:w="1200" w:type="dxa"/>
            <w:vAlign w:val="bottom"/>
            <w:tcBorders>
              <w:bottom w:val="single" w:sz="8" w:color="auto"/>
            </w:tcBorders>
            <w:shd w:val="clear" w:color="auto" w:fill="33CCCC"/>
          </w:tcPr>
          <w:p>
            <w:pPr>
              <w:spacing w:after="0"/>
              <w:rPr>
                <w:sz w:val="17"/>
                <w:szCs w:val="17"/>
                <w:color w:val="auto"/>
              </w:rPr>
            </w:pPr>
          </w:p>
        </w:tc>
        <w:tc>
          <w:tcPr>
            <w:tcW w:w="800" w:type="dxa"/>
            <w:vAlign w:val="bottom"/>
            <w:tcBorders>
              <w:bottom w:val="single" w:sz="8" w:color="auto"/>
              <w:right w:val="single" w:sz="8" w:color="auto"/>
            </w:tcBorders>
            <w:shd w:val="clear" w:color="auto" w:fill="33CCCC"/>
          </w:tcPr>
          <w:p>
            <w:pPr>
              <w:spacing w:after="0"/>
              <w:rPr>
                <w:sz w:val="17"/>
                <w:szCs w:val="17"/>
                <w:color w:val="auto"/>
              </w:rPr>
            </w:pP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21</w:t>
            </w:r>
          </w:p>
        </w:tc>
      </w:tr>
      <w:tr>
        <w:trPr>
          <w:trHeight w:val="150"/>
        </w:trPr>
        <w:tc>
          <w:tcPr>
            <w:tcW w:w="3240" w:type="dxa"/>
            <w:vAlign w:val="bottom"/>
            <w:tcBorders>
              <w:left w:val="single" w:sz="8" w:color="auto"/>
              <w:right w:val="single" w:sz="8" w:color="auto"/>
            </w:tcBorders>
          </w:tcPr>
          <w:p>
            <w:pPr>
              <w:spacing w:after="0" w:line="150" w:lineRule="exact"/>
              <w:rPr>
                <w:sz w:val="20"/>
                <w:szCs w:val="20"/>
                <w:color w:val="auto"/>
              </w:rPr>
            </w:pPr>
            <w:r>
              <w:rPr>
                <w:rFonts w:ascii="Arial" w:cs="Arial" w:eastAsia="Arial" w:hAnsi="Arial"/>
                <w:sz w:val="11"/>
                <w:szCs w:val="11"/>
                <w:color w:val="auto"/>
              </w:rPr>
              <w:t xml:space="preserve">Payments and transactionals </w:t>
            </w:r>
            <w:r>
              <w:rPr>
                <w:rFonts w:ascii="Arial" w:cs="Arial" w:eastAsia="Arial" w:hAnsi="Arial"/>
                <w:sz w:val="17"/>
                <w:szCs w:val="17"/>
                <w:color w:val="auto"/>
                <w:vertAlign w:val="superscript"/>
              </w:rPr>
              <w:t>(1)</w:t>
            </w:r>
          </w:p>
        </w:tc>
        <w:tc>
          <w:tcPr>
            <w:tcW w:w="1100" w:type="dxa"/>
            <w:vAlign w:val="bottom"/>
          </w:tcPr>
          <w:p>
            <w:pPr>
              <w:jc w:val="right"/>
              <w:ind w:right="39"/>
              <w:spacing w:after="0" w:line="150" w:lineRule="exact"/>
              <w:rPr>
                <w:sz w:val="20"/>
                <w:szCs w:val="20"/>
                <w:color w:val="auto"/>
              </w:rPr>
            </w:pPr>
            <w:r>
              <w:rPr>
                <w:rFonts w:ascii="Arial" w:cs="Arial" w:eastAsia="Arial" w:hAnsi="Arial"/>
                <w:sz w:val="16"/>
                <w:szCs w:val="16"/>
                <w:color w:val="auto"/>
              </w:rPr>
              <w:t>234,282</w:t>
            </w:r>
          </w:p>
        </w:tc>
        <w:tc>
          <w:tcPr>
            <w:tcW w:w="1040" w:type="dxa"/>
            <w:vAlign w:val="bottom"/>
          </w:tcPr>
          <w:p>
            <w:pPr>
              <w:jc w:val="right"/>
              <w:ind w:right="59"/>
              <w:spacing w:after="0" w:line="150" w:lineRule="exact"/>
              <w:rPr>
                <w:sz w:val="20"/>
                <w:szCs w:val="20"/>
                <w:color w:val="auto"/>
              </w:rPr>
            </w:pPr>
            <w:r>
              <w:rPr>
                <w:rFonts w:ascii="Arial" w:cs="Arial" w:eastAsia="Arial" w:hAnsi="Arial"/>
                <w:sz w:val="16"/>
                <w:szCs w:val="16"/>
                <w:color w:val="auto"/>
              </w:rPr>
              <w:t>290,197</w:t>
            </w:r>
          </w:p>
        </w:tc>
        <w:tc>
          <w:tcPr>
            <w:tcW w:w="8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306,095</w:t>
            </w:r>
          </w:p>
        </w:tc>
        <w:tc>
          <w:tcPr>
            <w:tcW w:w="1140" w:type="dxa"/>
            <w:vAlign w:val="bottom"/>
          </w:tcPr>
          <w:p>
            <w:pPr>
              <w:jc w:val="right"/>
              <w:ind w:right="79"/>
              <w:spacing w:after="0" w:line="150" w:lineRule="exact"/>
              <w:rPr>
                <w:sz w:val="20"/>
                <w:szCs w:val="20"/>
                <w:color w:val="auto"/>
              </w:rPr>
            </w:pPr>
            <w:r>
              <w:rPr>
                <w:rFonts w:ascii="Arial" w:cs="Arial" w:eastAsia="Arial" w:hAnsi="Arial"/>
                <w:sz w:val="16"/>
                <w:szCs w:val="16"/>
                <w:color w:val="auto"/>
              </w:rPr>
              <w:t>5.48%</w:t>
            </w:r>
          </w:p>
        </w:tc>
        <w:tc>
          <w:tcPr>
            <w:tcW w:w="8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30.65%</w:t>
            </w:r>
          </w:p>
        </w:tc>
        <w:tc>
          <w:tcPr>
            <w:tcW w:w="1200" w:type="dxa"/>
            <w:vAlign w:val="bottom"/>
          </w:tcPr>
          <w:p>
            <w:pPr>
              <w:jc w:val="right"/>
              <w:ind w:right="139"/>
              <w:spacing w:after="0" w:line="150" w:lineRule="exact"/>
              <w:rPr>
                <w:sz w:val="20"/>
                <w:szCs w:val="20"/>
                <w:color w:val="auto"/>
              </w:rPr>
            </w:pPr>
            <w:r>
              <w:rPr>
                <w:rFonts w:ascii="Arial" w:cs="Arial" w:eastAsia="Arial" w:hAnsi="Arial"/>
                <w:sz w:val="16"/>
                <w:szCs w:val="16"/>
                <w:color w:val="auto"/>
              </w:rPr>
              <w:t>460,039</w:t>
            </w:r>
          </w:p>
        </w:tc>
        <w:tc>
          <w:tcPr>
            <w:tcW w:w="8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596,292</w:t>
            </w:r>
          </w:p>
        </w:tc>
        <w:tc>
          <w:tcPr>
            <w:tcW w:w="10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29.62%</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3"/>
                <w:szCs w:val="13"/>
                <w:color w:val="auto"/>
              </w:rPr>
              <w:t xml:space="preserve">Liability accounts </w:t>
            </w:r>
            <w:r>
              <w:rPr>
                <w:rFonts w:ascii="Arial" w:cs="Arial" w:eastAsia="Arial" w:hAnsi="Arial"/>
                <w:sz w:val="21"/>
                <w:szCs w:val="21"/>
                <w:color w:val="auto"/>
                <w:vertAlign w:val="superscript"/>
              </w:rPr>
              <w:t>(2)</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207,005</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217,956</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234,038</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7.38%</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13.06%</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624,606</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692,623</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10.89%</w:t>
            </w:r>
          </w:p>
        </w:tc>
      </w:tr>
      <w:tr>
        <w:trPr>
          <w:trHeight w:val="191"/>
        </w:trPr>
        <w:tc>
          <w:tcPr>
            <w:tcW w:w="3240" w:type="dxa"/>
            <w:vAlign w:val="bottom"/>
            <w:tcBorders>
              <w:left w:val="single" w:sz="8" w:color="auto"/>
              <w:right w:val="single" w:sz="8" w:color="auto"/>
            </w:tcBorders>
          </w:tcPr>
          <w:p>
            <w:pPr>
              <w:spacing w:after="0" w:line="190" w:lineRule="exact"/>
              <w:rPr>
                <w:sz w:val="20"/>
                <w:szCs w:val="20"/>
                <w:color w:val="auto"/>
              </w:rPr>
            </w:pPr>
            <w:r>
              <w:rPr>
                <w:rFonts w:ascii="Arial" w:cs="Arial" w:eastAsia="Arial" w:hAnsi="Arial"/>
                <w:sz w:val="14"/>
                <w:szCs w:val="14"/>
                <w:color w:val="auto"/>
              </w:rPr>
              <w:t xml:space="preserve">Loan Disbursement </w:t>
            </w:r>
            <w:r>
              <w:rPr>
                <w:rFonts w:ascii="Arial" w:cs="Arial" w:eastAsia="Arial" w:hAnsi="Arial"/>
                <w:sz w:val="22"/>
                <w:szCs w:val="22"/>
                <w:color w:val="auto"/>
                <w:vertAlign w:val="superscript"/>
              </w:rPr>
              <w:t>(3)</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88,473</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90,576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91,940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575,178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634,510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10.32%</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Off-balance sheet</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60,592</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60,370</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59,304</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-1.77%</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-2.13%</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286,081</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302,190</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5.63%</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Mibanco (Peru and Colombia)</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16,713</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33,276</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35,190</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5.75%</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110.56%</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160,252</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188,140</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17.40%</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Insurances</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26,897</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30,303</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28,823</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-4.88%</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7.16%</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93,882</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127,592</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35.91%</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BCP Bolivia</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30,558</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27,400</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25,470</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-7.04%</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-16.65%</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119,176</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111,996</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-6.02%</w:t>
            </w:r>
          </w:p>
        </w:tc>
      </w:tr>
      <w:tr>
        <w:trPr>
          <w:trHeight w:val="183"/>
        </w:trPr>
        <w:tc>
          <w:tcPr>
            <w:tcW w:w="32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Wealth Management and Corporate Finance</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21,590</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18,785</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18,126</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-3.51%</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-16.04%</w:t>
            </w:r>
          </w:p>
        </w:tc>
        <w:tc>
          <w:tcPr>
            <w:tcW w:w="12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98,537</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89,781</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-8.89%</w:t>
            </w:r>
          </w:p>
        </w:tc>
      </w:tr>
      <w:tr>
        <w:trPr>
          <w:trHeight w:val="175"/>
        </w:trPr>
        <w:tc>
          <w:tcPr>
            <w:tcW w:w="3240" w:type="dxa"/>
            <w:vAlign w:val="bottom"/>
            <w:tcBorders>
              <w:left w:val="single" w:sz="8" w:color="auto"/>
              <w:right w:val="single" w:sz="8" w:color="auto"/>
            </w:tcBorders>
          </w:tcPr>
          <w:p>
            <w:pPr>
              <w:spacing w:after="0" w:line="175" w:lineRule="exact"/>
              <w:rPr>
                <w:sz w:val="20"/>
                <w:szCs w:val="20"/>
                <w:color w:val="auto"/>
              </w:rPr>
            </w:pPr>
            <w:r>
              <w:rPr>
                <w:rFonts w:ascii="Arial" w:cs="Arial" w:eastAsia="Arial" w:hAnsi="Arial"/>
                <w:sz w:val="16"/>
                <w:szCs w:val="16"/>
                <w:color w:val="auto"/>
              </w:rPr>
              <w:t>ASB</w:t>
            </w:r>
          </w:p>
        </w:tc>
        <w:tc>
          <w:tcPr>
            <w:tcW w:w="11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11,202</w:t>
            </w:r>
          </w:p>
        </w:tc>
        <w:tc>
          <w:tcPr>
            <w:tcW w:w="1040" w:type="dxa"/>
            <w:vAlign w:val="bottom"/>
          </w:tcPr>
          <w:p>
            <w:pPr>
              <w:jc w:val="right"/>
              <w:ind w:right="59"/>
              <w:spacing w:after="0" w:line="175" w:lineRule="exact"/>
              <w:rPr>
                <w:sz w:val="20"/>
                <w:szCs w:val="20"/>
                <w:color w:val="auto"/>
              </w:rPr>
            </w:pPr>
            <w:r>
              <w:rPr>
                <w:rFonts w:ascii="Arial" w:cs="Arial" w:eastAsia="Arial" w:hAnsi="Arial"/>
                <w:sz w:val="16"/>
                <w:szCs w:val="16"/>
                <w:color w:val="auto"/>
              </w:rPr>
              <w:t>12,280</w:t>
            </w:r>
          </w:p>
        </w:tc>
        <w:tc>
          <w:tcPr>
            <w:tcW w:w="8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9,483</w:t>
            </w:r>
          </w:p>
        </w:tc>
        <w:tc>
          <w:tcPr>
            <w:tcW w:w="1140" w:type="dxa"/>
            <w:vAlign w:val="bottom"/>
          </w:tcPr>
          <w:p>
            <w:pPr>
              <w:jc w:val="right"/>
              <w:ind w:right="79"/>
              <w:spacing w:after="0" w:line="175" w:lineRule="exact"/>
              <w:rPr>
                <w:sz w:val="20"/>
                <w:szCs w:val="20"/>
                <w:color w:val="auto"/>
              </w:rPr>
            </w:pPr>
            <w:r>
              <w:rPr>
                <w:rFonts w:ascii="Arial" w:cs="Arial" w:eastAsia="Arial" w:hAnsi="Arial"/>
                <w:sz w:val="16"/>
                <w:szCs w:val="16"/>
                <w:color w:val="auto"/>
              </w:rPr>
              <w:t>-22.78%</w:t>
            </w:r>
          </w:p>
        </w:tc>
        <w:tc>
          <w:tcPr>
            <w:tcW w:w="8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-15.34%</w:t>
            </w:r>
          </w:p>
        </w:tc>
        <w:tc>
          <w:tcPr>
            <w:tcW w:w="120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57,784</w:t>
            </w:r>
          </w:p>
        </w:tc>
        <w:tc>
          <w:tcPr>
            <w:tcW w:w="8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58,674</w:t>
            </w:r>
          </w:p>
        </w:tc>
        <w:tc>
          <w:tcPr>
            <w:tcW w:w="10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1.54%</w:t>
            </w:r>
          </w:p>
        </w:tc>
      </w:tr>
      <w:tr>
        <w:trPr>
          <w:trHeight w:val="208"/>
        </w:trPr>
        <w:tc>
          <w:tcPr>
            <w:tcW w:w="3240" w:type="dxa"/>
            <w:vAlign w:val="bottom"/>
            <w:tcBorders>
              <w:left w:val="single" w:sz="8" w:color="auto"/>
              <w:bottom w:val="single" w:sz="8" w:color="auto"/>
              <w:right w:val="single" w:sz="8" w:color="auto"/>
            </w:tcBorders>
          </w:tcPr>
          <w:p>
            <w:pPr>
              <w:spacing w:after="0" w:line="207" w:lineRule="exact"/>
              <w:rPr>
                <w:sz w:val="20"/>
                <w:szCs w:val="20"/>
                <w:color w:val="auto"/>
              </w:rPr>
            </w:pPr>
            <w:r>
              <w:rPr>
                <w:rFonts w:ascii="Arial" w:cs="Arial" w:eastAsia="Arial" w:hAnsi="Arial"/>
                <w:sz w:val="15"/>
                <w:szCs w:val="15"/>
                <w:color w:val="auto"/>
              </w:rPr>
              <w:t xml:space="preserve">Others </w:t>
            </w:r>
            <w:r>
              <w:rPr>
                <w:rFonts w:ascii="Arial" w:cs="Arial" w:eastAsia="Arial" w:hAnsi="Arial"/>
                <w:sz w:val="24"/>
                <w:szCs w:val="24"/>
                <w:color w:val="auto"/>
                <w:vertAlign w:val="superscript"/>
              </w:rPr>
              <w:t>(4)</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9,407</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-124.91%</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-112.17%</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42,566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25,214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-40.77%</w:t>
            </w:r>
          </w:p>
        </w:tc>
      </w:tr>
      <w:tr>
        <w:trPr>
          <w:trHeight w:val="175"/>
        </w:trPr>
        <w:tc>
          <w:tcPr>
            <w:tcW w:w="324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b w:val="1"/>
                <w:bCs w:val="1"/>
                <w:color w:val="auto"/>
              </w:rPr>
              <w:t>706,719</w:t>
            </w:r>
          </w:p>
        </w:tc>
        <w:tc>
          <w:tcPr>
            <w:tcW w:w="104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785,739</w:t>
            </w:r>
          </w:p>
        </w:tc>
        <w:tc>
          <w:tcPr>
            <w:tcW w:w="88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807,324</w:t>
            </w:r>
          </w:p>
        </w:tc>
        <w:tc>
          <w:tcPr>
            <w:tcW w:w="1140" w:type="dxa"/>
            <w:vAlign w:val="bottom"/>
            <w:tcBorders>
              <w:bottom w:val="single" w:sz="8" w:color="auto"/>
            </w:tcBorders>
          </w:tcPr>
          <w:p>
            <w:pPr>
              <w:jc w:val="right"/>
              <w:ind w:right="79"/>
              <w:spacing w:after="0" w:line="175" w:lineRule="exact"/>
              <w:rPr>
                <w:sz w:val="20"/>
                <w:szCs w:val="20"/>
                <w:color w:val="auto"/>
              </w:rPr>
            </w:pPr>
            <w:r>
              <w:rPr>
                <w:rFonts w:ascii="Arial" w:cs="Arial" w:eastAsia="Arial" w:hAnsi="Arial"/>
                <w:sz w:val="16"/>
                <w:szCs w:val="16"/>
                <w:b w:val="1"/>
                <w:bCs w:val="1"/>
                <w:color w:val="auto"/>
              </w:rPr>
              <w:t>2.75%</w:t>
            </w:r>
          </w:p>
        </w:tc>
        <w:tc>
          <w:tcPr>
            <w:tcW w:w="8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14.24%</w:t>
            </w:r>
          </w:p>
        </w:tc>
        <w:tc>
          <w:tcPr>
            <w:tcW w:w="120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b w:val="1"/>
                <w:bCs w:val="1"/>
                <w:color w:val="auto"/>
              </w:rPr>
              <w:t>2,518,100</w:t>
            </w:r>
          </w:p>
        </w:tc>
        <w:tc>
          <w:tcPr>
            <w:tcW w:w="8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2,827,012</w:t>
            </w:r>
          </w:p>
        </w:tc>
        <w:tc>
          <w:tcPr>
            <w:tcW w:w="10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12.27%</w:t>
            </w:r>
          </w:p>
        </w:tc>
      </w:tr>
    </w:tbl>
    <w:p>
      <w:pPr>
        <w:ind w:left="143" w:hanging="143"/>
        <w:spacing w:after="0" w:line="237" w:lineRule="auto"/>
        <w:tabs>
          <w:tab w:leader="none" w:pos="143"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Corresponds to fees from: credit and debit cards; payments and collections.</w:t>
      </w:r>
    </w:p>
    <w:p>
      <w:pPr>
        <w:ind w:left="143" w:hanging="143"/>
        <w:spacing w:after="0" w:line="231" w:lineRule="auto"/>
        <w:tabs>
          <w:tab w:leader="none" w:pos="143"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Corresponds to fees from: Account maintenance, interbank transfers, national money orders y international transfers.</w:t>
      </w:r>
    </w:p>
    <w:p>
      <w:pPr>
        <w:ind w:left="143" w:hanging="143"/>
        <w:spacing w:after="0" w:line="231" w:lineRule="auto"/>
        <w:tabs>
          <w:tab w:leader="none" w:pos="143"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Corresponds to fees from retail and wholesale loan disbursements.</w:t>
      </w:r>
    </w:p>
    <w:p>
      <w:pPr>
        <w:ind w:left="143" w:hanging="143"/>
        <w:spacing w:after="0"/>
        <w:tabs>
          <w:tab w:leader="none" w:pos="143"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Use of third-party network, other services to third parties and Commissions in foreign branches.</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Fees for banking services registered maintain a growing trend due to:</w:t>
      </w:r>
    </w:p>
    <w:p>
      <w:pPr>
        <w:spacing w:after="0" w:line="230" w:lineRule="exact"/>
        <w:rPr>
          <w:sz w:val="20"/>
          <w:szCs w:val="20"/>
          <w:color w:val="auto"/>
        </w:rPr>
      </w:pPr>
    </w:p>
    <w:p>
      <w:pPr>
        <w:ind w:left="723" w:right="20" w:hanging="430"/>
        <w:spacing w:after="0" w:line="248" w:lineRule="auto"/>
        <w:tabs>
          <w:tab w:leader="none" w:pos="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Economic reactivation in Peru as well as growth in digital transactions and an uptick in the use of POS, both of which were reflected an increase in fee paying transactions. In the aforementioned context, credit and debit cards registered growth of 32% and 118% year over year respectively.</w:t>
      </w:r>
    </w:p>
    <w:p>
      <w:pPr>
        <w:spacing w:after="0" w:line="1" w:lineRule="exact"/>
        <w:rPr>
          <w:rFonts w:ascii="Arial" w:cs="Arial" w:eastAsia="Arial" w:hAnsi="Arial"/>
          <w:sz w:val="16"/>
          <w:szCs w:val="16"/>
          <w:color w:val="auto"/>
        </w:rPr>
      </w:pPr>
    </w:p>
    <w:p>
      <w:pPr>
        <w:ind w:left="723" w:hanging="430"/>
        <w:spacing w:after="0" w:line="238" w:lineRule="auto"/>
        <w:tabs>
          <w:tab w:leader="none" w:pos="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Fees relative maintenance of deposits and for interbank transfers rose 51% year over year.</w:t>
      </w:r>
    </w:p>
    <w:p>
      <w:pPr>
        <w:ind w:left="723" w:right="20" w:hanging="430"/>
        <w:spacing w:after="0" w:line="238" w:lineRule="auto"/>
        <w:tabs>
          <w:tab w:leader="none" w:pos="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Fees relative to loan disbursements rose, led by personal loans (+12% QoQ, +96% YoY and +72% YTD). In a context marked by an uptick in digital adoption, 71% of the personal loans were granted through digital channels.</w:t>
      </w:r>
    </w:p>
    <w:p>
      <w:pPr>
        <w:ind w:left="723" w:right="20" w:hanging="430"/>
        <w:spacing w:after="0" w:line="268" w:lineRule="auto"/>
        <w:tabs>
          <w:tab w:leader="none" w:pos="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Growth in the fee level registered by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which was driven by an uptick in sales of bancassurance; and in the level reported by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Colombia </w:t>
      </w:r>
      <w:r>
        <w:rPr>
          <w:rFonts w:ascii="Arial" w:cs="Arial" w:eastAsia="Arial" w:hAnsi="Arial"/>
          <w:sz w:val="16"/>
          <w:szCs w:val="16"/>
          <w:color w:val="auto"/>
        </w:rPr>
        <w:t>for microfinance fees, which was associated with an uptick in loan disbursements.</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aforementioned was partially offset by an increase in fees relative to other networks use and other third-party services.</w:t>
      </w:r>
    </w:p>
    <w:p>
      <w:pPr>
        <w:spacing w:after="0" w:line="373"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32" w:name="page33"/>
    <w:bookmarkEnd w:id="32"/>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5655"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6.2 Other Non-Core income</w:t>
      </w:r>
    </w:p>
    <w:p>
      <w:pPr>
        <w:spacing w:after="0" w:line="127"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2580" w:type="dxa"/>
            <w:vAlign w:val="bottom"/>
            <w:tcBorders>
              <w:top w:val="single" w:sz="8" w:color="auto"/>
              <w:left w:val="single" w:sz="8" w:color="auto"/>
              <w:right w:val="single" w:sz="8" w:color="auto"/>
            </w:tcBorders>
            <w:shd w:val="clear" w:color="auto" w:fill="33CCCC"/>
          </w:tcPr>
          <w:p>
            <w:pPr>
              <w:spacing w:after="0" w:line="178" w:lineRule="exact"/>
              <w:rPr>
                <w:sz w:val="20"/>
                <w:szCs w:val="20"/>
                <w:color w:val="auto"/>
              </w:rPr>
            </w:pPr>
            <w:r>
              <w:rPr>
                <w:rFonts w:ascii="Arial" w:cs="Arial" w:eastAsia="Arial" w:hAnsi="Arial"/>
                <w:sz w:val="16"/>
                <w:szCs w:val="16"/>
                <w:b w:val="1"/>
                <w:bCs w:val="1"/>
                <w:color w:val="FFFFFF"/>
              </w:rPr>
              <w:t>Non-core Other income</w:t>
            </w:r>
          </w:p>
        </w:tc>
        <w:tc>
          <w:tcPr>
            <w:tcW w:w="1140" w:type="dxa"/>
            <w:vAlign w:val="bottom"/>
            <w:tcBorders>
              <w:top w:val="single" w:sz="8" w:color="auto"/>
            </w:tcBorders>
            <w:shd w:val="clear" w:color="auto" w:fill="33CCCC"/>
          </w:tcPr>
          <w:p>
            <w:pPr>
              <w:spacing w:after="0"/>
              <w:rPr>
                <w:sz w:val="15"/>
                <w:szCs w:val="15"/>
                <w:color w:val="auto"/>
              </w:rPr>
            </w:pPr>
          </w:p>
        </w:tc>
        <w:tc>
          <w:tcPr>
            <w:tcW w:w="1080" w:type="dxa"/>
            <w:vAlign w:val="bottom"/>
            <w:tcBorders>
              <w:top w:val="single" w:sz="8" w:color="auto"/>
            </w:tcBorders>
            <w:shd w:val="clear" w:color="auto" w:fill="33CCCC"/>
          </w:tcPr>
          <w:p>
            <w:pPr>
              <w:jc w:val="right"/>
              <w:ind w:right="299"/>
              <w:spacing w:after="0" w:line="178" w:lineRule="exact"/>
              <w:rPr>
                <w:sz w:val="20"/>
                <w:szCs w:val="20"/>
                <w:color w:val="auto"/>
              </w:rPr>
            </w:pPr>
            <w:r>
              <w:rPr>
                <w:rFonts w:ascii="Arial" w:cs="Arial" w:eastAsia="Arial" w:hAnsi="Arial"/>
                <w:sz w:val="16"/>
                <w:szCs w:val="16"/>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5"/>
                <w:szCs w:val="15"/>
                <w:color w:val="auto"/>
              </w:rPr>
            </w:pPr>
          </w:p>
        </w:tc>
        <w:tc>
          <w:tcPr>
            <w:tcW w:w="2080" w:type="dxa"/>
            <w:vAlign w:val="bottom"/>
            <w:tcBorders>
              <w:top w:val="single" w:sz="8" w:color="auto"/>
              <w:right w:val="single" w:sz="8" w:color="auto"/>
            </w:tcBorders>
            <w:gridSpan w:val="2"/>
            <w:shd w:val="clear" w:color="auto" w:fill="33CCCC"/>
          </w:tcPr>
          <w:p>
            <w:pPr>
              <w:ind w:left="640"/>
              <w:spacing w:after="0" w:line="178" w:lineRule="exact"/>
              <w:rPr>
                <w:sz w:val="20"/>
                <w:szCs w:val="20"/>
                <w:color w:val="auto"/>
              </w:rPr>
            </w:pPr>
            <w:r>
              <w:rPr>
                <w:rFonts w:ascii="Arial" w:cs="Arial" w:eastAsia="Arial" w:hAnsi="Arial"/>
                <w:sz w:val="16"/>
                <w:szCs w:val="16"/>
                <w:b w:val="1"/>
                <w:bCs w:val="1"/>
                <w:color w:val="FFFFFF"/>
              </w:rPr>
              <w:t>% Change</w:t>
            </w:r>
          </w:p>
        </w:tc>
        <w:tc>
          <w:tcPr>
            <w:tcW w:w="1280" w:type="dxa"/>
            <w:vAlign w:val="bottom"/>
            <w:tcBorders>
              <w:top w:val="single" w:sz="8" w:color="auto"/>
            </w:tcBorders>
            <w:shd w:val="clear" w:color="auto" w:fill="33CCCC"/>
          </w:tcPr>
          <w:p>
            <w:pPr>
              <w:jc w:val="right"/>
              <w:spacing w:after="0" w:line="178" w:lineRule="exact"/>
              <w:rPr>
                <w:sz w:val="20"/>
                <w:szCs w:val="20"/>
                <w:color w:val="auto"/>
              </w:rPr>
            </w:pPr>
            <w:r>
              <w:rPr>
                <w:rFonts w:ascii="Arial" w:cs="Arial" w:eastAsia="Arial" w:hAnsi="Arial"/>
                <w:sz w:val="16"/>
                <w:szCs w:val="16"/>
                <w:b w:val="1"/>
                <w:bCs w:val="1"/>
                <w:color w:val="FFFFFF"/>
              </w:rPr>
              <w:t>As of</w:t>
            </w:r>
          </w:p>
        </w:tc>
        <w:tc>
          <w:tcPr>
            <w:tcW w:w="820" w:type="dxa"/>
            <w:vAlign w:val="bottom"/>
            <w:tcBorders>
              <w:top w:val="single" w:sz="8" w:color="auto"/>
              <w:right w:val="single" w:sz="8" w:color="auto"/>
            </w:tcBorders>
            <w:shd w:val="clear" w:color="auto" w:fill="33CCCC"/>
          </w:tcPr>
          <w:p>
            <w:pPr>
              <w:spacing w:after="0"/>
              <w:rPr>
                <w:sz w:val="15"/>
                <w:szCs w:val="15"/>
                <w:color w:val="auto"/>
              </w:rPr>
            </w:pPr>
          </w:p>
        </w:tc>
        <w:tc>
          <w:tcPr>
            <w:tcW w:w="138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258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 000)</w:t>
            </w:r>
          </w:p>
        </w:tc>
        <w:tc>
          <w:tcPr>
            <w:tcW w:w="1140" w:type="dxa"/>
            <w:vAlign w:val="bottom"/>
            <w:tcBorders>
              <w:bottom w:val="single" w:sz="8" w:color="auto"/>
            </w:tcBorders>
            <w:shd w:val="clear" w:color="auto" w:fill="33CCCC"/>
          </w:tcPr>
          <w:p>
            <w:pPr>
              <w:jc w:val="right"/>
              <w:ind w:right="359"/>
              <w:spacing w:after="0"/>
              <w:rPr>
                <w:sz w:val="20"/>
                <w:szCs w:val="20"/>
                <w:color w:val="auto"/>
              </w:rPr>
            </w:pPr>
            <w:r>
              <w:rPr>
                <w:rFonts w:ascii="Arial" w:cs="Arial" w:eastAsia="Arial" w:hAnsi="Arial"/>
                <w:sz w:val="16"/>
                <w:szCs w:val="16"/>
                <w:b w:val="1"/>
                <w:bCs w:val="1"/>
                <w:color w:val="FFFFFF"/>
              </w:rPr>
              <w:t>2Q21</w:t>
            </w:r>
          </w:p>
        </w:tc>
        <w:tc>
          <w:tcPr>
            <w:tcW w:w="1080" w:type="dxa"/>
            <w:vAlign w:val="bottom"/>
            <w:tcBorders>
              <w:bottom w:val="single" w:sz="8" w:color="auto"/>
            </w:tcBorders>
            <w:shd w:val="clear" w:color="auto" w:fill="33CCCC"/>
          </w:tcPr>
          <w:p>
            <w:pPr>
              <w:jc w:val="right"/>
              <w:ind w:right="399"/>
              <w:spacing w:after="0"/>
              <w:rPr>
                <w:sz w:val="20"/>
                <w:szCs w:val="20"/>
                <w:color w:val="auto"/>
              </w:rPr>
            </w:pPr>
            <w:r>
              <w:rPr>
                <w:rFonts w:ascii="Arial" w:cs="Arial" w:eastAsia="Arial" w:hAnsi="Arial"/>
                <w:sz w:val="16"/>
                <w:szCs w:val="16"/>
                <w:b w:val="1"/>
                <w:bCs w:val="1"/>
                <w:color w:val="FFFFFF"/>
              </w:rPr>
              <w:t>1Q22</w:t>
            </w:r>
          </w:p>
        </w:tc>
        <w:tc>
          <w:tcPr>
            <w:tcW w:w="900" w:type="dxa"/>
            <w:vAlign w:val="bottom"/>
            <w:tcBorders>
              <w:bottom w:val="single" w:sz="8" w:color="auto"/>
              <w:right w:val="single" w:sz="8" w:color="auto"/>
            </w:tcBorders>
            <w:shd w:val="clear" w:color="auto" w:fill="33CCCC"/>
          </w:tcPr>
          <w:p>
            <w:pPr>
              <w:jc w:val="right"/>
              <w:ind w:right="259"/>
              <w:spacing w:after="0"/>
              <w:rPr>
                <w:sz w:val="20"/>
                <w:szCs w:val="20"/>
                <w:color w:val="auto"/>
              </w:rPr>
            </w:pPr>
            <w:r>
              <w:rPr>
                <w:rFonts w:ascii="Arial" w:cs="Arial" w:eastAsia="Arial" w:hAnsi="Arial"/>
                <w:sz w:val="16"/>
                <w:szCs w:val="16"/>
                <w:b w:val="1"/>
                <w:bCs w:val="1"/>
                <w:color w:val="FFFFFF"/>
              </w:rPr>
              <w:t>2Q22</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7"/>
              </w:rPr>
              <w:t>QoQ</w:t>
            </w:r>
          </w:p>
        </w:tc>
        <w:tc>
          <w:tcPr>
            <w:tcW w:w="1080" w:type="dxa"/>
            <w:vAlign w:val="bottom"/>
            <w:tcBorders>
              <w:bottom w:val="single" w:sz="8" w:color="auto"/>
              <w:right w:val="single" w:sz="8" w:color="auto"/>
            </w:tcBorders>
            <w:shd w:val="clear" w:color="auto" w:fill="33CCCC"/>
          </w:tcPr>
          <w:p>
            <w:pPr>
              <w:ind w:left="400"/>
              <w:spacing w:after="0"/>
              <w:rPr>
                <w:sz w:val="20"/>
                <w:szCs w:val="20"/>
                <w:color w:val="auto"/>
              </w:rPr>
            </w:pPr>
            <w:r>
              <w:rPr>
                <w:rFonts w:ascii="Arial" w:cs="Arial" w:eastAsia="Arial" w:hAnsi="Arial"/>
                <w:sz w:val="16"/>
                <w:szCs w:val="16"/>
                <w:b w:val="1"/>
                <w:bCs w:val="1"/>
                <w:color w:val="FFFFFF"/>
              </w:rPr>
              <w:t>YoY</w:t>
            </w:r>
          </w:p>
        </w:tc>
        <w:tc>
          <w:tcPr>
            <w:tcW w:w="1280" w:type="dxa"/>
            <w:vAlign w:val="bottom"/>
            <w:tcBorders>
              <w:bottom w:val="single" w:sz="8" w:color="auto"/>
            </w:tcBorders>
            <w:shd w:val="clear" w:color="auto" w:fill="33CCCC"/>
          </w:tcPr>
          <w:p>
            <w:pPr>
              <w:jc w:val="right"/>
              <w:ind w:right="419"/>
              <w:spacing w:after="0"/>
              <w:rPr>
                <w:sz w:val="20"/>
                <w:szCs w:val="20"/>
                <w:color w:val="auto"/>
              </w:rPr>
            </w:pPr>
            <w:r>
              <w:rPr>
                <w:rFonts w:ascii="Arial" w:cs="Arial" w:eastAsia="Arial" w:hAnsi="Arial"/>
                <w:sz w:val="16"/>
                <w:szCs w:val="16"/>
                <w:b w:val="1"/>
                <w:bCs w:val="1"/>
                <w:color w:val="FFFFFF"/>
              </w:rPr>
              <w:t>Jun 21</w:t>
            </w:r>
          </w:p>
        </w:tc>
        <w:tc>
          <w:tcPr>
            <w:tcW w:w="820" w:type="dxa"/>
            <w:vAlign w:val="bottom"/>
            <w:tcBorders>
              <w:bottom w:val="single" w:sz="8" w:color="auto"/>
              <w:right w:val="single" w:sz="8" w:color="auto"/>
            </w:tcBorders>
            <w:shd w:val="clear" w:color="auto" w:fill="33CCCC"/>
          </w:tcPr>
          <w:p>
            <w:pPr>
              <w:jc w:val="right"/>
              <w:ind w:right="199"/>
              <w:spacing w:after="0"/>
              <w:rPr>
                <w:sz w:val="20"/>
                <w:szCs w:val="20"/>
                <w:color w:val="auto"/>
              </w:rPr>
            </w:pPr>
            <w:r>
              <w:rPr>
                <w:rFonts w:ascii="Arial" w:cs="Arial" w:eastAsia="Arial" w:hAnsi="Arial"/>
                <w:sz w:val="16"/>
                <w:szCs w:val="16"/>
                <w:b w:val="1"/>
                <w:bCs w:val="1"/>
                <w:color w:val="FFFFFF"/>
              </w:rPr>
              <w:t>Jun 22</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 Jun 21</w:t>
            </w:r>
          </w:p>
        </w:tc>
      </w:tr>
      <w:tr>
        <w:trPr>
          <w:trHeight w:val="150"/>
        </w:trPr>
        <w:tc>
          <w:tcPr>
            <w:tcW w:w="2580" w:type="dxa"/>
            <w:vAlign w:val="bottom"/>
            <w:tcBorders>
              <w:left w:val="single" w:sz="8" w:color="auto"/>
              <w:right w:val="single" w:sz="8" w:color="auto"/>
            </w:tcBorders>
          </w:tcPr>
          <w:p>
            <w:pPr>
              <w:spacing w:after="0" w:line="150" w:lineRule="exact"/>
              <w:rPr>
                <w:sz w:val="20"/>
                <w:szCs w:val="20"/>
                <w:color w:val="auto"/>
              </w:rPr>
            </w:pPr>
            <w:r>
              <w:rPr>
                <w:rFonts w:ascii="Arial" w:cs="Arial" w:eastAsia="Arial" w:hAnsi="Arial"/>
                <w:sz w:val="16"/>
                <w:szCs w:val="16"/>
                <w:color w:val="auto"/>
              </w:rPr>
              <w:t>Net gain on securities</w:t>
            </w:r>
          </w:p>
        </w:tc>
        <w:tc>
          <w:tcPr>
            <w:tcW w:w="1140" w:type="dxa"/>
            <w:vAlign w:val="bottom"/>
          </w:tcPr>
          <w:p>
            <w:pPr>
              <w:jc w:val="right"/>
              <w:ind w:right="39"/>
              <w:spacing w:after="0" w:line="150" w:lineRule="exact"/>
              <w:rPr>
                <w:sz w:val="20"/>
                <w:szCs w:val="20"/>
                <w:color w:val="auto"/>
              </w:rPr>
            </w:pPr>
            <w:r>
              <w:rPr>
                <w:rFonts w:ascii="Arial" w:cs="Arial" w:eastAsia="Arial" w:hAnsi="Arial"/>
                <w:sz w:val="16"/>
                <w:szCs w:val="16"/>
                <w:color w:val="auto"/>
              </w:rPr>
              <w:t>(69,947)</w:t>
            </w:r>
          </w:p>
        </w:tc>
        <w:tc>
          <w:tcPr>
            <w:tcW w:w="1080" w:type="dxa"/>
            <w:vAlign w:val="bottom"/>
          </w:tcPr>
          <w:p>
            <w:pPr>
              <w:jc w:val="right"/>
              <w:ind w:right="79"/>
              <w:spacing w:after="0" w:line="150" w:lineRule="exact"/>
              <w:rPr>
                <w:sz w:val="20"/>
                <w:szCs w:val="20"/>
                <w:color w:val="auto"/>
              </w:rPr>
            </w:pPr>
            <w:r>
              <w:rPr>
                <w:rFonts w:ascii="Arial" w:cs="Arial" w:eastAsia="Arial" w:hAnsi="Arial"/>
                <w:sz w:val="16"/>
                <w:szCs w:val="16"/>
                <w:color w:val="auto"/>
              </w:rPr>
              <w:t>(56,866)</w:t>
            </w:r>
          </w:p>
        </w:tc>
        <w:tc>
          <w:tcPr>
            <w:tcW w:w="9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(94,180)</w:t>
            </w:r>
          </w:p>
        </w:tc>
        <w:tc>
          <w:tcPr>
            <w:tcW w:w="1000" w:type="dxa"/>
            <w:vAlign w:val="bottom"/>
          </w:tcPr>
          <w:p>
            <w:pPr>
              <w:jc w:val="center"/>
              <w:spacing w:after="0" w:line="150" w:lineRule="exact"/>
              <w:rPr>
                <w:sz w:val="20"/>
                <w:szCs w:val="20"/>
                <w:color w:val="auto"/>
              </w:rPr>
            </w:pPr>
            <w:r>
              <w:rPr>
                <w:rFonts w:ascii="Arial" w:cs="Arial" w:eastAsia="Arial" w:hAnsi="Arial"/>
                <w:sz w:val="16"/>
                <w:szCs w:val="16"/>
                <w:color w:val="auto"/>
                <w:w w:val="97"/>
              </w:rPr>
              <w:t>n.a.</w:t>
            </w:r>
          </w:p>
        </w:tc>
        <w:tc>
          <w:tcPr>
            <w:tcW w:w="1080" w:type="dxa"/>
            <w:vAlign w:val="bottom"/>
            <w:tcBorders>
              <w:right w:val="single" w:sz="8" w:color="auto"/>
            </w:tcBorders>
          </w:tcPr>
          <w:p>
            <w:pPr>
              <w:ind w:left="400"/>
              <w:spacing w:after="0" w:line="150" w:lineRule="exact"/>
              <w:rPr>
                <w:sz w:val="20"/>
                <w:szCs w:val="20"/>
                <w:color w:val="auto"/>
              </w:rPr>
            </w:pPr>
            <w:r>
              <w:rPr>
                <w:rFonts w:ascii="Arial" w:cs="Arial" w:eastAsia="Arial" w:hAnsi="Arial"/>
                <w:sz w:val="16"/>
                <w:szCs w:val="16"/>
                <w:color w:val="auto"/>
              </w:rPr>
              <w:t>n.a.</w:t>
            </w:r>
          </w:p>
        </w:tc>
        <w:tc>
          <w:tcPr>
            <w:tcW w:w="1280" w:type="dxa"/>
            <w:vAlign w:val="bottom"/>
          </w:tcPr>
          <w:p>
            <w:pPr>
              <w:jc w:val="right"/>
              <w:ind w:right="159"/>
              <w:spacing w:after="0" w:line="150" w:lineRule="exact"/>
              <w:rPr>
                <w:sz w:val="20"/>
                <w:szCs w:val="20"/>
                <w:color w:val="auto"/>
              </w:rPr>
            </w:pPr>
            <w:r>
              <w:rPr>
                <w:rFonts w:ascii="Arial" w:cs="Arial" w:eastAsia="Arial" w:hAnsi="Arial"/>
                <w:sz w:val="16"/>
                <w:szCs w:val="16"/>
                <w:color w:val="auto"/>
              </w:rPr>
              <w:t>(53,660)</w:t>
            </w:r>
          </w:p>
        </w:tc>
        <w:tc>
          <w:tcPr>
            <w:tcW w:w="8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(151,046)</w:t>
            </w:r>
          </w:p>
        </w:tc>
        <w:tc>
          <w:tcPr>
            <w:tcW w:w="13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6"/>
                <w:szCs w:val="16"/>
                <w:color w:val="auto"/>
              </w:rPr>
              <w:t>181.5%</w:t>
            </w:r>
          </w:p>
        </w:tc>
      </w:tr>
      <w:tr>
        <w:trPr>
          <w:trHeight w:val="191"/>
        </w:trPr>
        <w:tc>
          <w:tcPr>
            <w:tcW w:w="2580" w:type="dxa"/>
            <w:vAlign w:val="bottom"/>
            <w:tcBorders>
              <w:left w:val="single" w:sz="8" w:color="auto"/>
              <w:right w:val="single" w:sz="8" w:color="auto"/>
            </w:tcBorders>
          </w:tcPr>
          <w:p>
            <w:pPr>
              <w:spacing w:after="0" w:line="190" w:lineRule="exact"/>
              <w:rPr>
                <w:sz w:val="20"/>
                <w:szCs w:val="20"/>
                <w:color w:val="auto"/>
              </w:rPr>
            </w:pPr>
            <w:r>
              <w:rPr>
                <w:rFonts w:ascii="Arial" w:cs="Arial" w:eastAsia="Arial" w:hAnsi="Arial"/>
                <w:sz w:val="14"/>
                <w:szCs w:val="14"/>
                <w:color w:val="auto"/>
              </w:rPr>
              <w:t xml:space="preserve">Net gain from associates </w:t>
            </w:r>
            <w:r>
              <w:rPr>
                <w:rFonts w:ascii="Arial" w:cs="Arial" w:eastAsia="Arial" w:hAnsi="Arial"/>
                <w:sz w:val="22"/>
                <w:szCs w:val="22"/>
                <w:color w:val="auto"/>
                <w:vertAlign w:val="superscript"/>
              </w:rPr>
              <w:t>(1)</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12,302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24,014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29,219</w:t>
            </w:r>
          </w:p>
        </w:tc>
        <w:tc>
          <w:tcPr>
            <w:tcW w:w="1000" w:type="dxa"/>
            <w:vAlign w:val="bottom"/>
          </w:tcPr>
          <w:p>
            <w:pPr>
              <w:jc w:val="center"/>
              <w:spacing w:after="0"/>
              <w:rPr>
                <w:sz w:val="20"/>
                <w:szCs w:val="20"/>
                <w:color w:val="auto"/>
              </w:rPr>
            </w:pPr>
            <w:r>
              <w:rPr>
                <w:rFonts w:ascii="Arial" w:cs="Arial" w:eastAsia="Arial" w:hAnsi="Arial"/>
                <w:sz w:val="16"/>
                <w:szCs w:val="16"/>
                <w:color w:val="auto"/>
              </w:rPr>
              <w:t>21.7%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137.5%</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41,707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53,233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27.6%</w:t>
            </w:r>
          </w:p>
        </w:tc>
      </w:tr>
      <w:tr>
        <w:trPr>
          <w:trHeight w:val="183"/>
        </w:trPr>
        <w:tc>
          <w:tcPr>
            <w:tcW w:w="25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Net gain on derivatives held for</w:t>
            </w: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52,606</w:t>
            </w:r>
          </w:p>
        </w:tc>
        <w:tc>
          <w:tcPr>
            <w:tcW w:w="10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(5,982)</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12,304</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7"/>
              </w:rPr>
              <w:t>n.a.</w:t>
            </w:r>
          </w:p>
        </w:tc>
        <w:tc>
          <w:tcPr>
            <w:tcW w:w="10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-76.6%</w:t>
            </w:r>
          </w:p>
        </w:tc>
        <w:tc>
          <w:tcPr>
            <w:tcW w:w="12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131,153</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6,322</w:t>
            </w:r>
          </w:p>
        </w:tc>
        <w:tc>
          <w:tcPr>
            <w:tcW w:w="13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-95.2%</w:t>
            </w:r>
          </w:p>
        </w:tc>
      </w:tr>
      <w:tr>
        <w:trPr>
          <w:trHeight w:val="183"/>
        </w:trPr>
        <w:tc>
          <w:tcPr>
            <w:tcW w:w="25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trading</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83"/>
        </w:trPr>
        <w:tc>
          <w:tcPr>
            <w:tcW w:w="25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Net gain from exchange</w:t>
            </w: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32,959</w:t>
            </w:r>
          </w:p>
        </w:tc>
        <w:tc>
          <w:tcPr>
            <w:tcW w:w="10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(17,060)</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(17,066)</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rPr>
              <w:t>0.0%</w:t>
            </w:r>
          </w:p>
        </w:tc>
        <w:tc>
          <w:tcPr>
            <w:tcW w:w="10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-151.8%</w:t>
            </w:r>
          </w:p>
        </w:tc>
        <w:tc>
          <w:tcPr>
            <w:tcW w:w="12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23,677</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(34,126)</w:t>
            </w:r>
          </w:p>
        </w:tc>
        <w:tc>
          <w:tcPr>
            <w:tcW w:w="13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-244.1%</w:t>
            </w:r>
          </w:p>
        </w:tc>
      </w:tr>
      <w:tr>
        <w:trPr>
          <w:trHeight w:val="183"/>
        </w:trPr>
        <w:tc>
          <w:tcPr>
            <w:tcW w:w="258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differences</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99"/>
        </w:trPr>
        <w:tc>
          <w:tcPr>
            <w:tcW w:w="2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Other non-financial income</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62,923</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147,902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84,152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-43.1%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33.7%</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136,914</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232,054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69.5%</w:t>
            </w:r>
          </w:p>
        </w:tc>
      </w:tr>
      <w:tr>
        <w:trPr>
          <w:trHeight w:val="175"/>
        </w:trPr>
        <w:tc>
          <w:tcPr>
            <w:tcW w:w="258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 other income Non-Core</w:t>
            </w:r>
          </w:p>
        </w:tc>
        <w:tc>
          <w:tcPr>
            <w:tcW w:w="114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b w:val="1"/>
                <w:bCs w:val="1"/>
                <w:color w:val="auto"/>
              </w:rPr>
              <w:t>90,843</w:t>
            </w:r>
          </w:p>
        </w:tc>
        <w:tc>
          <w:tcPr>
            <w:tcW w:w="1080" w:type="dxa"/>
            <w:vAlign w:val="bottom"/>
            <w:tcBorders>
              <w:bottom w:val="single" w:sz="8" w:color="auto"/>
            </w:tcBorders>
          </w:tcPr>
          <w:p>
            <w:pPr>
              <w:jc w:val="right"/>
              <w:ind w:right="79"/>
              <w:spacing w:after="0" w:line="175" w:lineRule="exact"/>
              <w:rPr>
                <w:sz w:val="20"/>
                <w:szCs w:val="20"/>
                <w:color w:val="auto"/>
              </w:rPr>
            </w:pPr>
            <w:r>
              <w:rPr>
                <w:rFonts w:ascii="Arial" w:cs="Arial" w:eastAsia="Arial" w:hAnsi="Arial"/>
                <w:sz w:val="16"/>
                <w:szCs w:val="16"/>
                <w:b w:val="1"/>
                <w:bCs w:val="1"/>
                <w:color w:val="auto"/>
              </w:rPr>
              <w:t>92,008</w:t>
            </w:r>
          </w:p>
        </w:tc>
        <w:tc>
          <w:tcPr>
            <w:tcW w:w="9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14,429</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-84.3%</w:t>
            </w:r>
          </w:p>
        </w:tc>
        <w:tc>
          <w:tcPr>
            <w:tcW w:w="10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-84.1%</w:t>
            </w:r>
          </w:p>
        </w:tc>
        <w:tc>
          <w:tcPr>
            <w:tcW w:w="1280" w:type="dxa"/>
            <w:vAlign w:val="bottom"/>
            <w:tcBorders>
              <w:bottom w:val="single" w:sz="8" w:color="auto"/>
            </w:tcBorders>
          </w:tcPr>
          <w:p>
            <w:pPr>
              <w:jc w:val="right"/>
              <w:ind w:right="159"/>
              <w:spacing w:after="0" w:line="175" w:lineRule="exact"/>
              <w:rPr>
                <w:sz w:val="20"/>
                <w:szCs w:val="20"/>
                <w:color w:val="auto"/>
              </w:rPr>
            </w:pPr>
            <w:r>
              <w:rPr>
                <w:rFonts w:ascii="Arial" w:cs="Arial" w:eastAsia="Arial" w:hAnsi="Arial"/>
                <w:sz w:val="16"/>
                <w:szCs w:val="16"/>
                <w:b w:val="1"/>
                <w:bCs w:val="1"/>
                <w:color w:val="auto"/>
              </w:rPr>
              <w:t>279,791</w:t>
            </w:r>
          </w:p>
        </w:tc>
        <w:tc>
          <w:tcPr>
            <w:tcW w:w="82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106,437</w:t>
            </w:r>
          </w:p>
        </w:tc>
        <w:tc>
          <w:tcPr>
            <w:tcW w:w="13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-62.0%</w:t>
            </w:r>
          </w:p>
        </w:tc>
      </w:tr>
    </w:tbl>
    <w:p>
      <w:pPr>
        <w:ind w:left="583" w:hanging="467"/>
        <w:spacing w:after="0"/>
        <w:tabs>
          <w:tab w:leader="none" w:pos="583"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net income from other investments, mainly from the result of Banmedica.</w:t>
      </w:r>
    </w:p>
    <w:p>
      <w:pPr>
        <w:sectPr>
          <w:pgSz w:w="11900" w:h="16838" w:orient="portrait"/>
          <w:cols w:equalWidth="0" w:num="1">
            <w:col w:w="11263"/>
          </w:cols>
          <w:pgMar w:left="317" w:top="313" w:right="319" w:bottom="1440" w:gutter="0" w:footer="0" w:header="0"/>
        </w:sectPr>
      </w:pPr>
    </w:p>
    <w:p>
      <w:pPr>
        <w:spacing w:after="0" w:line="192" w:lineRule="exact"/>
        <w:rPr>
          <w:sz w:val="20"/>
          <w:szCs w:val="20"/>
          <w:color w:val="auto"/>
        </w:rPr>
      </w:pPr>
    </w:p>
    <w:p>
      <w:pPr>
        <w:ind w:left="1403"/>
        <w:spacing w:after="0"/>
        <w:rPr>
          <w:sz w:val="20"/>
          <w:szCs w:val="20"/>
          <w:color w:val="auto"/>
        </w:rPr>
      </w:pPr>
      <w:r>
        <w:rPr>
          <w:rFonts w:ascii="Times New Roman" w:cs="Times New Roman" w:eastAsia="Times New Roman" w:hAnsi="Times New Roman"/>
          <w:sz w:val="15"/>
          <w:szCs w:val="15"/>
          <w:b w:val="1"/>
          <w:bCs w:val="1"/>
          <w:color w:val="auto"/>
        </w:rPr>
        <w:t>YoY evolution of other non-core income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YTD evolution of other non-core income</w:t>
      </w:r>
    </w:p>
    <w:p>
      <w:pPr>
        <w:spacing w:after="0" w:line="31" w:lineRule="exact"/>
        <w:rPr>
          <w:sz w:val="20"/>
          <w:szCs w:val="20"/>
          <w:color w:val="auto"/>
        </w:rPr>
      </w:pPr>
    </w:p>
    <w:p>
      <w:pPr>
        <w:sectPr>
          <w:pgSz w:w="11900" w:h="16838" w:orient="portrait"/>
          <w:cols w:equalWidth="0" w:num="2">
            <w:col w:w="6503" w:space="720"/>
            <w:col w:w="4040"/>
          </w:cols>
          <w:pgMar w:left="317" w:top="313" w:right="319" w:bottom="1440" w:gutter="0" w:footer="0" w:header="0"/>
          <w:type w:val="continuous"/>
        </w:sectPr>
      </w:pPr>
    </w:p>
    <w:p>
      <w:pPr>
        <w:ind w:left="2083"/>
        <w:spacing w:after="0"/>
        <w:rPr>
          <w:sz w:val="20"/>
          <w:szCs w:val="20"/>
          <w:color w:val="auto"/>
        </w:rPr>
      </w:pPr>
      <w:r>
        <w:rPr>
          <w:rFonts w:ascii="Times New Roman" w:cs="Times New Roman" w:eastAsia="Times New Roman" w:hAnsi="Times New Roman"/>
          <w:sz w:val="15"/>
          <w:szCs w:val="15"/>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8255</wp:posOffset>
            </wp:positionV>
            <wp:extent cx="2235200" cy="2080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35200" cy="2080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8255</wp:posOffset>
            </wp:positionV>
            <wp:extent cx="2235200" cy="20802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35200" cy="2080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3" w:space="720"/>
            <w:col w:w="3320"/>
          </w:cols>
          <w:pgMar w:left="317" w:top="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13"/>
          <w:szCs w:val="13"/>
          <w:color w:val="auto"/>
        </w:rPr>
        <w:t>(1)Others includes Grupo Credito, Credicorp Stand-alone, eliminations y others.</w:t>
      </w:r>
    </w:p>
    <w:p>
      <w:pPr>
        <w:spacing w:after="0" w:line="157" w:lineRule="exact"/>
        <w:rPr>
          <w:sz w:val="20"/>
          <w:szCs w:val="20"/>
          <w:color w:val="auto"/>
        </w:rPr>
      </w:pPr>
    </w:p>
    <w:p>
      <w:pPr>
        <w:ind w:left="3" w:right="2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Other non-core income </w:t>
      </w:r>
      <w:r>
        <w:rPr>
          <w:rFonts w:ascii="Times New Roman" w:cs="Times New Roman" w:eastAsia="Times New Roman" w:hAnsi="Times New Roman"/>
          <w:sz w:val="16"/>
          <w:szCs w:val="16"/>
          <w:color w:val="auto"/>
        </w:rPr>
        <w:t>fell driven primarily by to the negative results reported for the</w:t>
      </w:r>
      <w:r>
        <w:rPr>
          <w:rFonts w:ascii="Times New Roman" w:cs="Times New Roman" w:eastAsia="Times New Roman" w:hAnsi="Times New Roman"/>
          <w:sz w:val="16"/>
          <w:szCs w:val="16"/>
          <w:b w:val="1"/>
          <w:bCs w:val="1"/>
          <w:color w:val="auto"/>
        </w:rPr>
        <w:t xml:space="preserve"> Net loss on securities </w:t>
      </w:r>
      <w:r>
        <w:rPr>
          <w:rFonts w:ascii="Times New Roman" w:cs="Times New Roman" w:eastAsia="Times New Roman" w:hAnsi="Times New Roman"/>
          <w:sz w:val="16"/>
          <w:szCs w:val="16"/>
          <w:color w:val="auto"/>
        </w:rPr>
        <w:t>in a context impacted by higher levels of volatility across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markets this quarter. This volatility has mainly affected:</w:t>
      </w:r>
    </w:p>
    <w:p>
      <w:pPr>
        <w:spacing w:after="0" w:line="79" w:lineRule="exact"/>
        <w:rPr>
          <w:sz w:val="20"/>
          <w:szCs w:val="20"/>
          <w:color w:val="auto"/>
        </w:rPr>
      </w:pPr>
    </w:p>
    <w:p>
      <w:pPr>
        <w:ind w:left="223" w:hanging="223"/>
        <w:spacing w:after="0"/>
        <w:tabs>
          <w:tab w:leader="none" w:pos="2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Investments in mutual funds at Credicorp Stand-alone,</w:t>
      </w:r>
    </w:p>
    <w:p>
      <w:pPr>
        <w:spacing w:after="0" w:line="14" w:lineRule="exact"/>
        <w:rPr>
          <w:rFonts w:ascii="Arial" w:cs="Arial" w:eastAsia="Arial" w:hAnsi="Arial"/>
          <w:sz w:val="16"/>
          <w:szCs w:val="16"/>
          <w:color w:val="auto"/>
        </w:rPr>
      </w:pPr>
    </w:p>
    <w:p>
      <w:pPr>
        <w:ind w:left="223" w:hanging="223"/>
        <w:spacing w:after="0" w:line="238" w:lineRule="auto"/>
        <w:tabs>
          <w:tab w:leader="none" w:pos="2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International fixed-income portfolios at ASB and Credicorp Capital,</w:t>
      </w:r>
    </w:p>
    <w:p>
      <w:pPr>
        <w:ind w:left="223" w:hanging="223"/>
        <w:spacing w:after="0" w:line="238" w:lineRule="auto"/>
        <w:tabs>
          <w:tab w:leader="none" w:pos="2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Investments that are part of Prima’s legal reserve; and</w:t>
      </w:r>
    </w:p>
    <w:p>
      <w:pPr>
        <w:ind w:left="223" w:hanging="223"/>
        <w:spacing w:after="0"/>
        <w:tabs>
          <w:tab w:leader="none" w:pos="2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Fixed-income investments at Pacífico.</w:t>
      </w:r>
    </w:p>
    <w:p>
      <w:pPr>
        <w:spacing w:after="0" w:line="176" w:lineRule="exact"/>
        <w:rPr>
          <w:sz w:val="20"/>
          <w:szCs w:val="20"/>
          <w:color w:val="auto"/>
        </w:rPr>
      </w:pPr>
    </w:p>
    <w:p>
      <w:pPr>
        <w:ind w:left="3" w:right="20"/>
        <w:spacing w:after="0" w:line="291" w:lineRule="auto"/>
        <w:rPr>
          <w:sz w:val="20"/>
          <w:szCs w:val="20"/>
          <w:color w:val="auto"/>
        </w:rPr>
      </w:pPr>
      <w:r>
        <w:rPr>
          <w:rFonts w:ascii="Times New Roman" w:cs="Times New Roman" w:eastAsia="Times New Roman" w:hAnsi="Times New Roman"/>
          <w:sz w:val="16"/>
          <w:szCs w:val="16"/>
          <w:color w:val="auto"/>
        </w:rPr>
        <w:t xml:space="preserve">In addition, </w:t>
      </w:r>
      <w:r>
        <w:rPr>
          <w:rFonts w:ascii="Times New Roman" w:cs="Times New Roman" w:eastAsia="Times New Roman" w:hAnsi="Times New Roman"/>
          <w:sz w:val="16"/>
          <w:szCs w:val="16"/>
          <w:b w:val="1"/>
          <w:bCs w:val="1"/>
          <w:color w:val="auto"/>
        </w:rPr>
        <w:t>YoY</w:t>
      </w:r>
      <w:r>
        <w:rPr>
          <w:rFonts w:ascii="Times New Roman" w:cs="Times New Roman" w:eastAsia="Times New Roman" w:hAnsi="Times New Roman"/>
          <w:sz w:val="16"/>
          <w:szCs w:val="16"/>
          <w:color w:val="auto"/>
        </w:rPr>
        <w:t xml:space="preserve">, other non-core income was affected by </w:t>
      </w:r>
      <w:r>
        <w:rPr>
          <w:rFonts w:ascii="Times New Roman" w:cs="Times New Roman" w:eastAsia="Times New Roman" w:hAnsi="Times New Roman"/>
          <w:sz w:val="16"/>
          <w:szCs w:val="16"/>
          <w:b w:val="1"/>
          <w:bCs w:val="1"/>
          <w:color w:val="auto"/>
        </w:rPr>
        <w:t>Net Loss on derivatives</w:t>
      </w:r>
      <w:r>
        <w:rPr>
          <w:rFonts w:ascii="Times New Roman" w:cs="Times New Roman" w:eastAsia="Times New Roman" w:hAnsi="Times New Roman"/>
          <w:sz w:val="16"/>
          <w:szCs w:val="16"/>
          <w:color w:val="auto"/>
        </w:rPr>
        <w:t xml:space="preserve"> at </w:t>
      </w:r>
      <w:r>
        <w:rPr>
          <w:rFonts w:ascii="Times New Roman" w:cs="Times New Roman" w:eastAsia="Times New Roman" w:hAnsi="Times New Roman"/>
          <w:sz w:val="16"/>
          <w:szCs w:val="16"/>
          <w:b w:val="1"/>
          <w:bCs w:val="1"/>
          <w:color w:val="auto"/>
        </w:rPr>
        <w:t>BCP Stand-alone</w:t>
      </w:r>
      <w:r>
        <w:rPr>
          <w:rFonts w:ascii="Times New Roman" w:cs="Times New Roman" w:eastAsia="Times New Roman" w:hAnsi="Times New Roman"/>
          <w:sz w:val="16"/>
          <w:szCs w:val="16"/>
          <w:color w:val="auto"/>
        </w:rPr>
        <w:t xml:space="preserve"> which maintains where these losses were offset by higher interest income on investments in fixed income in LC.</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YTD, </w:t>
      </w:r>
      <w:r>
        <w:rPr>
          <w:rFonts w:ascii="Times New Roman" w:cs="Times New Roman" w:eastAsia="Times New Roman" w:hAnsi="Times New Roman"/>
          <w:sz w:val="16"/>
          <w:szCs w:val="16"/>
          <w:color w:val="auto"/>
        </w:rPr>
        <w:t>these losses were partially offset by extraordinary income at</w:t>
      </w:r>
      <w:r>
        <w:rPr>
          <w:rFonts w:ascii="Times New Roman" w:cs="Times New Roman" w:eastAsia="Times New Roman" w:hAnsi="Times New Roman"/>
          <w:sz w:val="16"/>
          <w:szCs w:val="16"/>
          <w:b w:val="1"/>
          <w:bCs w:val="1"/>
          <w:color w:val="auto"/>
        </w:rPr>
        <w:t xml:space="preserve"> BCP Stand-alone</w:t>
      </w:r>
      <w:r>
        <w:rPr>
          <w:rFonts w:ascii="Times New Roman" w:cs="Times New Roman" w:eastAsia="Times New Roman" w:hAnsi="Times New Roman"/>
          <w:sz w:val="16"/>
          <w:szCs w:val="16"/>
          <w:color w:val="auto"/>
        </w:rPr>
        <w:t>, which was associated with tax refunds in 1Q22.</w:t>
      </w:r>
    </w:p>
    <w:p>
      <w:pPr>
        <w:spacing w:after="0" w:line="200" w:lineRule="exact"/>
        <w:rPr>
          <w:sz w:val="20"/>
          <w:szCs w:val="20"/>
          <w:color w:val="auto"/>
        </w:rPr>
      </w:pPr>
    </w:p>
    <w:p>
      <w:pPr>
        <w:spacing w:after="0" w:line="296"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type w:val="continuous"/>
        </w:sectPr>
      </w:pPr>
    </w:p>
    <w:bookmarkStart w:id="33" w:name="page34"/>
    <w:bookmarkEnd w:id="33"/>
    <w:p>
      <w:pPr>
        <w:ind w:left="2043"/>
        <w:spacing w:after="0"/>
        <w:tabs>
          <w:tab w:leader="none" w:pos="7922"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07 </w:t>
      </w:r>
      <w:r>
        <w:rPr>
          <w:rFonts w:ascii="Times New Roman" w:cs="Times New Roman" w:eastAsia="Times New Roman" w:hAnsi="Times New Roman"/>
          <w:sz w:val="29"/>
          <w:szCs w:val="29"/>
          <w:color w:val="E93CAC"/>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7658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5810"/>
                    </a:xfrm>
                    <a:prstGeom prst="rect">
                      <a:avLst/>
                    </a:prstGeom>
                    <a:noFill/>
                  </pic:spPr>
                </pic:pic>
              </a:graphicData>
            </a:graphic>
          </wp:anchor>
        </w:drawing>
      </w:r>
    </w:p>
    <w:p>
      <w:pPr>
        <w:spacing w:after="0" w:line="318" w:lineRule="exact"/>
        <w:rPr>
          <w:sz w:val="20"/>
          <w:szCs w:val="20"/>
          <w:color w:val="auto"/>
        </w:rPr>
      </w:pPr>
    </w:p>
    <w:p>
      <w:pPr>
        <w:ind w:left="123" w:right="120"/>
        <w:spacing w:after="0" w:line="278" w:lineRule="auto"/>
        <w:rPr>
          <w:sz w:val="20"/>
          <w:szCs w:val="20"/>
          <w:color w:val="auto"/>
        </w:rPr>
      </w:pPr>
      <w:r>
        <w:rPr>
          <w:rFonts w:ascii="Arial" w:cs="Arial" w:eastAsia="Arial" w:hAnsi="Arial"/>
          <w:sz w:val="16"/>
          <w:szCs w:val="16"/>
          <w:color w:val="FFFFFF"/>
        </w:rPr>
        <w:t>The insurance underwriting result registered a decrease of 3.2% QoQ. This result was driven by growth in claims in the life business attributable to higher cases reported and the negative effect of inflation, partially mitigated by an improvement in the results of the P&amp;C business.</w:t>
      </w:r>
    </w:p>
    <w:p>
      <w:pPr>
        <w:spacing w:after="0" w:line="61" w:lineRule="exact"/>
        <w:rPr>
          <w:sz w:val="20"/>
          <w:szCs w:val="20"/>
          <w:color w:val="auto"/>
        </w:rPr>
      </w:pPr>
    </w:p>
    <w:p>
      <w:pPr>
        <w:ind w:left="123" w:right="120"/>
        <w:spacing w:after="0" w:line="278" w:lineRule="auto"/>
        <w:rPr>
          <w:sz w:val="20"/>
          <w:szCs w:val="20"/>
          <w:color w:val="auto"/>
        </w:rPr>
      </w:pPr>
      <w:r>
        <w:rPr>
          <w:rFonts w:ascii="Arial" w:cs="Arial" w:eastAsia="Arial" w:hAnsi="Arial"/>
          <w:sz w:val="16"/>
          <w:szCs w:val="16"/>
          <w:color w:val="FFFFFF"/>
        </w:rPr>
        <w:t>In the YoY and YTD analysis, the underwriting result increased due to a drop in claims in the Life business associated with the improvement in the sanitary context. Net earned premiums also rose YoY and YTD in both the Life and P&amp;C lines, which reflected economic reactivation.</w:t>
      </w:r>
    </w:p>
    <w:p>
      <w:pPr>
        <w:spacing w:after="0" w:line="240" w:lineRule="exact"/>
        <w:rPr>
          <w:sz w:val="20"/>
          <w:szCs w:val="20"/>
          <w:color w:val="auto"/>
        </w:rPr>
      </w:pPr>
    </w:p>
    <w:tbl>
      <w:tblPr>
        <w:tblLayout w:type="fixed"/>
        <w:tblInd w:w="13" w:type="dxa"/>
        <w:tblCellMar>
          <w:top w:w="0" w:type="dxa"/>
          <w:left w:w="0" w:type="dxa"/>
          <w:bottom w:w="0" w:type="dxa"/>
          <w:right w:w="0" w:type="dxa"/>
        </w:tblCellMar>
      </w:tblPr>
      <w:tr>
        <w:trPr>
          <w:trHeight w:val="179"/>
        </w:trPr>
        <w:tc>
          <w:tcPr>
            <w:tcW w:w="3700" w:type="dxa"/>
            <w:vAlign w:val="bottom"/>
            <w:tcBorders>
              <w:top w:val="single" w:sz="8" w:color="auto"/>
              <w:left w:val="single" w:sz="8" w:color="auto"/>
              <w:right w:val="single" w:sz="8" w:color="auto"/>
            </w:tcBorders>
            <w:gridSpan w:val="2"/>
            <w:shd w:val="clear" w:color="auto" w:fill="33CCCC"/>
          </w:tcPr>
          <w:p>
            <w:pPr>
              <w:spacing w:after="0" w:line="179" w:lineRule="exact"/>
              <w:rPr>
                <w:sz w:val="20"/>
                <w:szCs w:val="20"/>
                <w:color w:val="auto"/>
              </w:rPr>
            </w:pPr>
            <w:r>
              <w:rPr>
                <w:rFonts w:ascii="Arial" w:cs="Arial" w:eastAsia="Arial" w:hAnsi="Arial"/>
                <w:sz w:val="13"/>
                <w:szCs w:val="13"/>
                <w:b w:val="1"/>
                <w:bCs w:val="1"/>
                <w:color w:val="FFFFFF"/>
              </w:rPr>
              <w:t xml:space="preserve">Insurance underwriting result </w:t>
            </w:r>
            <w:r>
              <w:rPr>
                <w:rFonts w:ascii="Arial" w:cs="Arial" w:eastAsia="Arial" w:hAnsi="Arial"/>
                <w:sz w:val="20"/>
                <w:szCs w:val="20"/>
                <w:b w:val="1"/>
                <w:bCs w:val="1"/>
                <w:color w:val="FFFFFF"/>
                <w:vertAlign w:val="superscript"/>
              </w:rPr>
              <w:t>(1)</w:t>
            </w:r>
          </w:p>
        </w:tc>
        <w:tc>
          <w:tcPr>
            <w:tcW w:w="1120" w:type="dxa"/>
            <w:vAlign w:val="bottom"/>
            <w:tcBorders>
              <w:top w:val="single" w:sz="8" w:color="auto"/>
            </w:tcBorders>
            <w:shd w:val="clear" w:color="auto" w:fill="33CCCC"/>
          </w:tcPr>
          <w:p>
            <w:pPr>
              <w:spacing w:after="0"/>
              <w:rPr>
                <w:sz w:val="15"/>
                <w:szCs w:val="15"/>
                <w:color w:val="auto"/>
              </w:rPr>
            </w:pPr>
          </w:p>
        </w:tc>
        <w:tc>
          <w:tcPr>
            <w:tcW w:w="1060" w:type="dxa"/>
            <w:vAlign w:val="bottom"/>
            <w:tcBorders>
              <w:top w:val="single" w:sz="8" w:color="auto"/>
            </w:tcBorders>
            <w:shd w:val="clear" w:color="auto" w:fill="33CCCC"/>
          </w:tcPr>
          <w:p>
            <w:pPr>
              <w:jc w:val="right"/>
              <w:ind w:right="279"/>
              <w:spacing w:after="0" w:line="179" w:lineRule="exact"/>
              <w:rPr>
                <w:sz w:val="20"/>
                <w:szCs w:val="20"/>
                <w:color w:val="auto"/>
              </w:rPr>
            </w:pPr>
            <w:r>
              <w:rPr>
                <w:rFonts w:ascii="Arial" w:cs="Arial" w:eastAsia="Arial" w:hAnsi="Arial"/>
                <w:sz w:val="16"/>
                <w:szCs w:val="16"/>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5"/>
                <w:szCs w:val="15"/>
                <w:color w:val="auto"/>
              </w:rPr>
            </w:pPr>
          </w:p>
        </w:tc>
        <w:tc>
          <w:tcPr>
            <w:tcW w:w="1600" w:type="dxa"/>
            <w:vAlign w:val="bottom"/>
            <w:tcBorders>
              <w:top w:val="single" w:sz="8" w:color="auto"/>
              <w:right w:val="single" w:sz="8" w:color="auto"/>
            </w:tcBorders>
            <w:gridSpan w:val="2"/>
            <w:shd w:val="clear" w:color="auto" w:fill="33CCCC"/>
          </w:tcPr>
          <w:p>
            <w:pPr>
              <w:ind w:left="400"/>
              <w:spacing w:after="0" w:line="179" w:lineRule="exact"/>
              <w:rPr>
                <w:sz w:val="20"/>
                <w:szCs w:val="20"/>
                <w:color w:val="auto"/>
              </w:rPr>
            </w:pPr>
            <w:r>
              <w:rPr>
                <w:rFonts w:ascii="Arial" w:cs="Arial" w:eastAsia="Arial" w:hAnsi="Arial"/>
                <w:sz w:val="16"/>
                <w:szCs w:val="16"/>
                <w:b w:val="1"/>
                <w:bCs w:val="1"/>
                <w:color w:val="FFFFFF"/>
              </w:rPr>
              <w:t>% change</w:t>
            </w:r>
          </w:p>
        </w:tc>
        <w:tc>
          <w:tcPr>
            <w:tcW w:w="2060" w:type="dxa"/>
            <w:vAlign w:val="bottom"/>
            <w:tcBorders>
              <w:top w:val="single" w:sz="8" w:color="auto"/>
              <w:right w:val="single" w:sz="8" w:color="auto"/>
            </w:tcBorders>
            <w:gridSpan w:val="2"/>
            <w:shd w:val="clear" w:color="auto" w:fill="33CCCC"/>
          </w:tcPr>
          <w:p>
            <w:pPr>
              <w:jc w:val="right"/>
              <w:ind w:right="759"/>
              <w:spacing w:after="0" w:line="179" w:lineRule="exact"/>
              <w:rPr>
                <w:sz w:val="20"/>
                <w:szCs w:val="20"/>
                <w:color w:val="auto"/>
              </w:rPr>
            </w:pPr>
            <w:r>
              <w:rPr>
                <w:rFonts w:ascii="Arial" w:cs="Arial" w:eastAsia="Arial" w:hAnsi="Arial"/>
                <w:sz w:val="16"/>
                <w:szCs w:val="16"/>
                <w:b w:val="1"/>
                <w:bCs w:val="1"/>
                <w:color w:val="FFFFFF"/>
              </w:rPr>
              <w:t>As of</w:t>
            </w:r>
          </w:p>
        </w:tc>
        <w:tc>
          <w:tcPr>
            <w:tcW w:w="820" w:type="dxa"/>
            <w:vAlign w:val="bottom"/>
            <w:tcBorders>
              <w:top w:val="single" w:sz="8" w:color="auto"/>
              <w:right w:val="single" w:sz="8" w:color="auto"/>
            </w:tcBorders>
            <w:shd w:val="clear" w:color="auto" w:fill="33CCCC"/>
          </w:tcPr>
          <w:p>
            <w:pPr>
              <w:jc w:val="center"/>
              <w:spacing w:after="0" w:line="179" w:lineRule="exact"/>
              <w:rPr>
                <w:sz w:val="20"/>
                <w:szCs w:val="20"/>
                <w:color w:val="auto"/>
              </w:rPr>
            </w:pPr>
            <w:r>
              <w:rPr>
                <w:rFonts w:ascii="Arial" w:cs="Arial" w:eastAsia="Arial" w:hAnsi="Arial"/>
                <w:sz w:val="16"/>
                <w:szCs w:val="16"/>
                <w:b w:val="1"/>
                <w:bCs w:val="1"/>
                <w:color w:val="FFFFFF"/>
                <w:w w:val="99"/>
              </w:rPr>
              <w:t>% change</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33CCCC"/>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000</w:t>
            </w:r>
          </w:p>
        </w:tc>
        <w:tc>
          <w:tcPr>
            <w:tcW w:w="2260" w:type="dxa"/>
            <w:vAlign w:val="bottom"/>
            <w:tcBorders>
              <w:right w:val="single" w:sz="8" w:color="auto"/>
            </w:tcBorders>
            <w:shd w:val="clear" w:color="auto" w:fill="33CCCC"/>
          </w:tcPr>
          <w:p>
            <w:pPr>
              <w:spacing w:after="0"/>
              <w:rPr>
                <w:sz w:val="15"/>
                <w:szCs w:val="15"/>
                <w:color w:val="auto"/>
              </w:rPr>
            </w:pPr>
          </w:p>
        </w:tc>
        <w:tc>
          <w:tcPr>
            <w:tcW w:w="1120" w:type="dxa"/>
            <w:vAlign w:val="bottom"/>
            <w:shd w:val="clear" w:color="auto" w:fill="33CCCC"/>
          </w:tcPr>
          <w:p>
            <w:pPr>
              <w:jc w:val="right"/>
              <w:ind w:right="339"/>
              <w:spacing w:after="0" w:line="183" w:lineRule="exact"/>
              <w:rPr>
                <w:sz w:val="20"/>
                <w:szCs w:val="20"/>
                <w:color w:val="auto"/>
              </w:rPr>
            </w:pPr>
            <w:r>
              <w:rPr>
                <w:rFonts w:ascii="Arial" w:cs="Arial" w:eastAsia="Arial" w:hAnsi="Arial"/>
                <w:sz w:val="16"/>
                <w:szCs w:val="16"/>
                <w:b w:val="1"/>
                <w:bCs w:val="1"/>
                <w:color w:val="FFFFFF"/>
              </w:rPr>
              <w:t>2Q21</w:t>
            </w:r>
          </w:p>
        </w:tc>
        <w:tc>
          <w:tcPr>
            <w:tcW w:w="1060" w:type="dxa"/>
            <w:vAlign w:val="bottom"/>
            <w:shd w:val="clear" w:color="auto" w:fill="33CCCC"/>
          </w:tcPr>
          <w:p>
            <w:pPr>
              <w:jc w:val="right"/>
              <w:ind w:right="379"/>
              <w:spacing w:after="0" w:line="183" w:lineRule="exact"/>
              <w:rPr>
                <w:sz w:val="20"/>
                <w:szCs w:val="20"/>
                <w:color w:val="auto"/>
              </w:rPr>
            </w:pPr>
            <w:r>
              <w:rPr>
                <w:rFonts w:ascii="Arial" w:cs="Arial" w:eastAsia="Arial" w:hAnsi="Arial"/>
                <w:sz w:val="16"/>
                <w:szCs w:val="16"/>
                <w:b w:val="1"/>
                <w:bCs w:val="1"/>
                <w:color w:val="FFFFFF"/>
              </w:rPr>
              <w:t>1Q22</w:t>
            </w:r>
          </w:p>
        </w:tc>
        <w:tc>
          <w:tcPr>
            <w:tcW w:w="900" w:type="dxa"/>
            <w:vAlign w:val="bottom"/>
            <w:tcBorders>
              <w:right w:val="single" w:sz="8" w:color="auto"/>
            </w:tcBorders>
            <w:shd w:val="clear" w:color="auto" w:fill="33CCCC"/>
          </w:tcPr>
          <w:p>
            <w:pPr>
              <w:jc w:val="right"/>
              <w:ind w:right="259"/>
              <w:spacing w:after="0" w:line="183" w:lineRule="exact"/>
              <w:rPr>
                <w:sz w:val="20"/>
                <w:szCs w:val="20"/>
                <w:color w:val="auto"/>
              </w:rPr>
            </w:pPr>
            <w:r>
              <w:rPr>
                <w:rFonts w:ascii="Arial" w:cs="Arial" w:eastAsia="Arial" w:hAnsi="Arial"/>
                <w:sz w:val="16"/>
                <w:szCs w:val="16"/>
                <w:b w:val="1"/>
                <w:bCs w:val="1"/>
                <w:color w:val="FFFFFF"/>
              </w:rPr>
              <w:t>2Q22</w:t>
            </w:r>
          </w:p>
        </w:tc>
        <w:tc>
          <w:tcPr>
            <w:tcW w:w="76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w w:val="97"/>
              </w:rPr>
              <w:t>QoQ</w:t>
            </w:r>
          </w:p>
        </w:tc>
        <w:tc>
          <w:tcPr>
            <w:tcW w:w="84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w w:val="96"/>
              </w:rPr>
              <w:t>YoY</w:t>
            </w:r>
          </w:p>
        </w:tc>
        <w:tc>
          <w:tcPr>
            <w:tcW w:w="1080" w:type="dxa"/>
            <w:vAlign w:val="bottom"/>
            <w:shd w:val="clear" w:color="auto" w:fill="33CCCC"/>
          </w:tcPr>
          <w:p>
            <w:pPr>
              <w:jc w:val="right"/>
              <w:ind w:right="159"/>
              <w:spacing w:after="0" w:line="183" w:lineRule="exact"/>
              <w:rPr>
                <w:sz w:val="20"/>
                <w:szCs w:val="20"/>
                <w:color w:val="auto"/>
              </w:rPr>
            </w:pPr>
            <w:r>
              <w:rPr>
                <w:rFonts w:ascii="Arial" w:cs="Arial" w:eastAsia="Arial" w:hAnsi="Arial"/>
                <w:sz w:val="16"/>
                <w:szCs w:val="16"/>
                <w:b w:val="1"/>
                <w:bCs w:val="1"/>
                <w:color w:val="FFFFFF"/>
              </w:rPr>
              <w:t>Jun 2021</w:t>
            </w:r>
          </w:p>
        </w:tc>
        <w:tc>
          <w:tcPr>
            <w:tcW w:w="980" w:type="dxa"/>
            <w:vAlign w:val="bottom"/>
            <w:tcBorders>
              <w:right w:val="single" w:sz="8" w:color="auto"/>
            </w:tcBorders>
            <w:shd w:val="clear" w:color="auto" w:fill="33CCCC"/>
          </w:tcPr>
          <w:p>
            <w:pPr>
              <w:jc w:val="right"/>
              <w:ind w:right="119"/>
              <w:spacing w:after="0" w:line="183" w:lineRule="exact"/>
              <w:rPr>
                <w:sz w:val="20"/>
                <w:szCs w:val="20"/>
                <w:color w:val="auto"/>
              </w:rPr>
            </w:pPr>
            <w:r>
              <w:rPr>
                <w:rFonts w:ascii="Arial" w:cs="Arial" w:eastAsia="Arial" w:hAnsi="Arial"/>
                <w:sz w:val="16"/>
                <w:szCs w:val="16"/>
                <w:b w:val="1"/>
                <w:bCs w:val="1"/>
                <w:color w:val="FFFFFF"/>
              </w:rPr>
              <w:t>Jun 2022</w:t>
            </w:r>
          </w:p>
        </w:tc>
        <w:tc>
          <w:tcPr>
            <w:tcW w:w="82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2022 /</w:t>
            </w:r>
          </w:p>
        </w:tc>
        <w:tc>
          <w:tcPr>
            <w:tcW w:w="0" w:type="dxa"/>
            <w:vAlign w:val="bottom"/>
          </w:tcPr>
          <w:p>
            <w:pPr>
              <w:spacing w:after="0"/>
              <w:rPr>
                <w:sz w:val="1"/>
                <w:szCs w:val="1"/>
                <w:color w:val="auto"/>
              </w:rPr>
            </w:pPr>
          </w:p>
        </w:tc>
      </w:tr>
      <w:tr>
        <w:trPr>
          <w:trHeight w:val="199"/>
        </w:trPr>
        <w:tc>
          <w:tcPr>
            <w:tcW w:w="1440" w:type="dxa"/>
            <w:vAlign w:val="bottom"/>
            <w:tcBorders>
              <w:left w:val="single" w:sz="8" w:color="auto"/>
              <w:bottom w:val="single" w:sz="8" w:color="auto"/>
              <w:right w:val="single" w:sz="8" w:color="33CCCC"/>
            </w:tcBorders>
            <w:shd w:val="clear" w:color="auto" w:fill="33CCCC"/>
          </w:tcPr>
          <w:p>
            <w:pPr>
              <w:spacing w:after="0"/>
              <w:rPr>
                <w:sz w:val="17"/>
                <w:szCs w:val="17"/>
                <w:color w:val="auto"/>
              </w:rPr>
            </w:pPr>
          </w:p>
        </w:tc>
        <w:tc>
          <w:tcPr>
            <w:tcW w:w="2260" w:type="dxa"/>
            <w:vAlign w:val="bottom"/>
            <w:tcBorders>
              <w:bottom w:val="single" w:sz="8" w:color="auto"/>
              <w:right w:val="single" w:sz="8" w:color="auto"/>
            </w:tcBorders>
            <w:shd w:val="clear" w:color="auto" w:fill="33CCCC"/>
          </w:tcPr>
          <w:p>
            <w:pPr>
              <w:spacing w:after="0"/>
              <w:rPr>
                <w:sz w:val="17"/>
                <w:szCs w:val="17"/>
                <w:color w:val="auto"/>
              </w:rPr>
            </w:pPr>
          </w:p>
        </w:tc>
        <w:tc>
          <w:tcPr>
            <w:tcW w:w="1120" w:type="dxa"/>
            <w:vAlign w:val="bottom"/>
            <w:tcBorders>
              <w:bottom w:val="single" w:sz="8" w:color="auto"/>
            </w:tcBorders>
            <w:shd w:val="clear" w:color="auto" w:fill="33CCCC"/>
          </w:tcPr>
          <w:p>
            <w:pPr>
              <w:spacing w:after="0"/>
              <w:rPr>
                <w:sz w:val="17"/>
                <w:szCs w:val="17"/>
                <w:color w:val="auto"/>
              </w:rPr>
            </w:pPr>
          </w:p>
        </w:tc>
        <w:tc>
          <w:tcPr>
            <w:tcW w:w="1060" w:type="dxa"/>
            <w:vAlign w:val="bottom"/>
            <w:tcBorders>
              <w:bottom w:val="single" w:sz="8" w:color="auto"/>
            </w:tcBorders>
            <w:shd w:val="clear" w:color="auto" w:fill="33CCCC"/>
          </w:tcPr>
          <w:p>
            <w:pPr>
              <w:spacing w:after="0"/>
              <w:rPr>
                <w:sz w:val="17"/>
                <w:szCs w:val="17"/>
                <w:color w:val="auto"/>
              </w:rPr>
            </w:pPr>
          </w:p>
        </w:tc>
        <w:tc>
          <w:tcPr>
            <w:tcW w:w="900" w:type="dxa"/>
            <w:vAlign w:val="bottom"/>
            <w:tcBorders>
              <w:bottom w:val="single" w:sz="8" w:color="auto"/>
              <w:right w:val="single" w:sz="8" w:color="auto"/>
            </w:tcBorders>
            <w:shd w:val="clear" w:color="auto" w:fill="33CCCC"/>
          </w:tcPr>
          <w:p>
            <w:pPr>
              <w:spacing w:after="0"/>
              <w:rPr>
                <w:sz w:val="17"/>
                <w:szCs w:val="17"/>
                <w:color w:val="auto"/>
              </w:rPr>
            </w:pPr>
          </w:p>
        </w:tc>
        <w:tc>
          <w:tcPr>
            <w:tcW w:w="760" w:type="dxa"/>
            <w:vAlign w:val="bottom"/>
            <w:tcBorders>
              <w:bottom w:val="single" w:sz="8" w:color="auto"/>
            </w:tcBorders>
            <w:shd w:val="clear" w:color="auto" w:fill="33CCCC"/>
          </w:tcPr>
          <w:p>
            <w:pPr>
              <w:spacing w:after="0"/>
              <w:rPr>
                <w:sz w:val="17"/>
                <w:szCs w:val="17"/>
                <w:color w:val="auto"/>
              </w:rPr>
            </w:pPr>
          </w:p>
        </w:tc>
        <w:tc>
          <w:tcPr>
            <w:tcW w:w="840" w:type="dxa"/>
            <w:vAlign w:val="bottom"/>
            <w:tcBorders>
              <w:bottom w:val="single" w:sz="8" w:color="auto"/>
              <w:right w:val="single" w:sz="8" w:color="auto"/>
            </w:tcBorders>
            <w:shd w:val="clear" w:color="auto" w:fill="33CCCC"/>
          </w:tcPr>
          <w:p>
            <w:pPr>
              <w:spacing w:after="0"/>
              <w:rPr>
                <w:sz w:val="17"/>
                <w:szCs w:val="17"/>
                <w:color w:val="auto"/>
              </w:rPr>
            </w:pPr>
          </w:p>
        </w:tc>
        <w:tc>
          <w:tcPr>
            <w:tcW w:w="1080" w:type="dxa"/>
            <w:vAlign w:val="bottom"/>
            <w:tcBorders>
              <w:bottom w:val="single" w:sz="8" w:color="auto"/>
            </w:tcBorders>
            <w:shd w:val="clear" w:color="auto" w:fill="33CCCC"/>
          </w:tcPr>
          <w:p>
            <w:pPr>
              <w:spacing w:after="0"/>
              <w:rPr>
                <w:sz w:val="17"/>
                <w:szCs w:val="17"/>
                <w:color w:val="auto"/>
              </w:rPr>
            </w:pPr>
          </w:p>
        </w:tc>
        <w:tc>
          <w:tcPr>
            <w:tcW w:w="980" w:type="dxa"/>
            <w:vAlign w:val="bottom"/>
            <w:tcBorders>
              <w:bottom w:val="single" w:sz="8" w:color="auto"/>
              <w:right w:val="single" w:sz="8" w:color="auto"/>
            </w:tcBorders>
            <w:shd w:val="clear" w:color="auto" w:fill="33CCCC"/>
          </w:tcPr>
          <w:p>
            <w:pPr>
              <w:spacing w:after="0"/>
              <w:rPr>
                <w:sz w:val="17"/>
                <w:szCs w:val="17"/>
                <w:color w:val="auto"/>
              </w:rPr>
            </w:pPr>
          </w:p>
        </w:tc>
        <w:tc>
          <w:tcPr>
            <w:tcW w:w="8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2021</w:t>
            </w:r>
          </w:p>
        </w:tc>
        <w:tc>
          <w:tcPr>
            <w:tcW w:w="0" w:type="dxa"/>
            <w:vAlign w:val="bottom"/>
          </w:tcPr>
          <w:p>
            <w:pPr>
              <w:spacing w:after="0"/>
              <w:rPr>
                <w:sz w:val="1"/>
                <w:szCs w:val="1"/>
                <w:color w:val="auto"/>
              </w:rPr>
            </w:pPr>
          </w:p>
        </w:tc>
      </w:tr>
      <w:tr>
        <w:trPr>
          <w:trHeight w:val="158"/>
        </w:trPr>
        <w:tc>
          <w:tcPr>
            <w:tcW w:w="1440" w:type="dxa"/>
            <w:vAlign w:val="bottom"/>
            <w:tcBorders>
              <w:left w:val="single" w:sz="8" w:color="auto"/>
              <w:right w:val="single" w:sz="8" w:color="auto"/>
            </w:tcBorders>
          </w:tcPr>
          <w:p>
            <w:pPr>
              <w:spacing w:after="0"/>
              <w:rPr>
                <w:sz w:val="13"/>
                <w:szCs w:val="13"/>
                <w:color w:val="auto"/>
              </w:rPr>
            </w:pPr>
          </w:p>
        </w:tc>
        <w:tc>
          <w:tcPr>
            <w:tcW w:w="226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color w:val="auto"/>
              </w:rPr>
              <w:t>639,944</w:t>
            </w:r>
          </w:p>
        </w:tc>
        <w:tc>
          <w:tcPr>
            <w:tcW w:w="10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690,536</w:t>
            </w:r>
          </w:p>
        </w:tc>
        <w:tc>
          <w:tcPr>
            <w:tcW w:w="90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695,547</w:t>
            </w:r>
          </w:p>
        </w:tc>
        <w:tc>
          <w:tcPr>
            <w:tcW w:w="760" w:type="dxa"/>
            <w:vAlign w:val="bottom"/>
          </w:tcPr>
          <w:p>
            <w:pPr>
              <w:jc w:val="center"/>
              <w:spacing w:after="0" w:line="158" w:lineRule="exact"/>
              <w:rPr>
                <w:sz w:val="20"/>
                <w:szCs w:val="20"/>
                <w:color w:val="auto"/>
              </w:rPr>
            </w:pPr>
            <w:r>
              <w:rPr>
                <w:rFonts w:ascii="Arial" w:cs="Arial" w:eastAsia="Arial" w:hAnsi="Arial"/>
                <w:sz w:val="16"/>
                <w:szCs w:val="16"/>
                <w:color w:val="auto"/>
              </w:rPr>
              <w:t>0.7%</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8.7%</w:t>
            </w:r>
          </w:p>
        </w:tc>
        <w:tc>
          <w:tcPr>
            <w:tcW w:w="1080" w:type="dxa"/>
            <w:vAlign w:val="bottom"/>
          </w:tcPr>
          <w:p>
            <w:pPr>
              <w:jc w:val="right"/>
              <w:spacing w:after="0" w:line="158" w:lineRule="exact"/>
              <w:rPr>
                <w:sz w:val="20"/>
                <w:szCs w:val="20"/>
                <w:color w:val="auto"/>
              </w:rPr>
            </w:pPr>
            <w:r>
              <w:rPr>
                <w:rFonts w:ascii="Arial" w:cs="Arial" w:eastAsia="Arial" w:hAnsi="Arial"/>
                <w:sz w:val="16"/>
                <w:szCs w:val="16"/>
                <w:color w:val="auto"/>
              </w:rPr>
              <w:t>1,283,872</w:t>
            </w:r>
          </w:p>
        </w:tc>
        <w:tc>
          <w:tcPr>
            <w:tcW w:w="98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1,386,083</w:t>
            </w:r>
          </w:p>
        </w:tc>
        <w:tc>
          <w:tcPr>
            <w:tcW w:w="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(691,335)</w:t>
            </w:r>
          </w:p>
        </w:tc>
        <w:tc>
          <w:tcPr>
            <w:tcW w:w="1060" w:type="dxa"/>
            <w:vAlign w:val="bottom"/>
          </w:tcPr>
          <w:p>
            <w:pPr>
              <w:jc w:val="right"/>
              <w:ind w:right="79"/>
              <w:spacing w:after="0" w:line="175" w:lineRule="exact"/>
              <w:rPr>
                <w:sz w:val="20"/>
                <w:szCs w:val="20"/>
                <w:color w:val="auto"/>
              </w:rPr>
            </w:pPr>
            <w:r>
              <w:rPr>
                <w:rFonts w:ascii="Arial" w:cs="Arial" w:eastAsia="Arial" w:hAnsi="Arial"/>
                <w:sz w:val="16"/>
                <w:szCs w:val="16"/>
                <w:color w:val="auto"/>
              </w:rPr>
              <w:t>(478,506)</w:t>
            </w:r>
          </w:p>
        </w:tc>
        <w:tc>
          <w:tcPr>
            <w:tcW w:w="9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(492,258)</w:t>
            </w:r>
          </w:p>
        </w:tc>
        <w:tc>
          <w:tcPr>
            <w:tcW w:w="760" w:type="dxa"/>
            <w:vAlign w:val="bottom"/>
          </w:tcPr>
          <w:p>
            <w:pPr>
              <w:jc w:val="center"/>
              <w:spacing w:after="0" w:line="175" w:lineRule="exact"/>
              <w:rPr>
                <w:sz w:val="20"/>
                <w:szCs w:val="20"/>
                <w:color w:val="auto"/>
              </w:rPr>
            </w:pPr>
            <w:r>
              <w:rPr>
                <w:rFonts w:ascii="Arial" w:cs="Arial" w:eastAsia="Arial" w:hAnsi="Arial"/>
                <w:sz w:val="16"/>
                <w:szCs w:val="16"/>
                <w:color w:val="auto"/>
              </w:rPr>
              <w:t>2.9%</w:t>
            </w:r>
          </w:p>
        </w:tc>
        <w:tc>
          <w:tcPr>
            <w:tcW w:w="8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-28.8%</w:t>
            </w: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(1,314,688)</w:t>
            </w:r>
          </w:p>
        </w:tc>
        <w:tc>
          <w:tcPr>
            <w:tcW w:w="9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(970,764)</w:t>
            </w:r>
          </w:p>
        </w:tc>
        <w:tc>
          <w:tcPr>
            <w:tcW w:w="8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8"/>
              </w:rPr>
              <w:t>-26.2%</w:t>
            </w: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2260" w:type="dxa"/>
            <w:vAlign w:val="bottom"/>
            <w:tcBorders>
              <w:right w:val="single" w:sz="8" w:color="auto"/>
            </w:tcBorders>
          </w:tcPr>
          <w:p>
            <w:pPr>
              <w:spacing w:after="0" w:line="190"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2"/>
                <w:szCs w:val="22"/>
                <w:color w:val="auto"/>
                <w:vertAlign w:val="superscript"/>
              </w:rPr>
              <w:t>(2)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(84,944)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(70,484)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(66,247)</w:t>
            </w:r>
          </w:p>
        </w:tc>
        <w:tc>
          <w:tcPr>
            <w:tcW w:w="760" w:type="dxa"/>
            <w:vAlign w:val="bottom"/>
          </w:tcPr>
          <w:p>
            <w:pPr>
              <w:jc w:val="center"/>
              <w:spacing w:after="0"/>
              <w:rPr>
                <w:sz w:val="20"/>
                <w:szCs w:val="20"/>
                <w:color w:val="auto"/>
              </w:rPr>
            </w:pPr>
            <w:r>
              <w:rPr>
                <w:rFonts w:ascii="Arial" w:cs="Arial" w:eastAsia="Arial" w:hAnsi="Arial"/>
                <w:sz w:val="16"/>
                <w:szCs w:val="16"/>
                <w:color w:val="auto"/>
              </w:rPr>
              <w:t>-6.0%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-22.0%</w:t>
            </w:r>
          </w:p>
        </w:tc>
        <w:tc>
          <w:tcPr>
            <w:tcW w:w="1080" w:type="dxa"/>
            <w:vAlign w:val="bottom"/>
          </w:tcPr>
          <w:p>
            <w:pPr>
              <w:jc w:val="right"/>
              <w:spacing w:after="0"/>
              <w:rPr>
                <w:sz w:val="20"/>
                <w:szCs w:val="20"/>
                <w:color w:val="auto"/>
              </w:rPr>
            </w:pPr>
            <w:r>
              <w:rPr>
                <w:rFonts w:ascii="Arial" w:cs="Arial" w:eastAsia="Arial" w:hAnsi="Arial"/>
                <w:sz w:val="16"/>
                <w:szCs w:val="16"/>
                <w:color w:val="auto"/>
              </w:rPr>
              <w:t>(170,766)</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(136,731)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-19.9%</w:t>
            </w:r>
          </w:p>
        </w:tc>
        <w:tc>
          <w:tcPr>
            <w:tcW w:w="0" w:type="dxa"/>
            <w:vAlign w:val="bottom"/>
          </w:tcPr>
          <w:p>
            <w:pPr>
              <w:spacing w:after="0"/>
              <w:rPr>
                <w:sz w:val="1"/>
                <w:szCs w:val="1"/>
                <w:color w:val="auto"/>
              </w:rPr>
            </w:pPr>
          </w:p>
        </w:tc>
      </w:tr>
      <w:tr>
        <w:trPr>
          <w:trHeight w:val="125"/>
        </w:trPr>
        <w:tc>
          <w:tcPr>
            <w:tcW w:w="1440" w:type="dxa"/>
            <w:vAlign w:val="bottom"/>
            <w:tcBorders>
              <w:left w:val="single" w:sz="8" w:color="auto"/>
              <w:right w:val="single" w:sz="8" w:color="auto"/>
            </w:tcBorders>
            <w:vMerge w:val="continue"/>
          </w:tcPr>
          <w:p>
            <w:pPr>
              <w:spacing w:after="0"/>
              <w:rPr>
                <w:sz w:val="10"/>
                <w:szCs w:val="10"/>
                <w:color w:val="auto"/>
              </w:rPr>
            </w:pPr>
          </w:p>
        </w:tc>
        <w:tc>
          <w:tcPr>
            <w:tcW w:w="2260" w:type="dxa"/>
            <w:vAlign w:val="bottom"/>
            <w:tcBorders>
              <w:right w:val="single" w:sz="8" w:color="auto"/>
            </w:tcBorders>
            <w:vMerge w:val="restart"/>
          </w:tcPr>
          <w:p>
            <w:pPr>
              <w:spacing w:after="0" w:line="183" w:lineRule="exact"/>
              <w:rPr>
                <w:sz w:val="20"/>
                <w:szCs w:val="20"/>
                <w:color w:val="auto"/>
              </w:rPr>
            </w:pPr>
            <w:r>
              <w:rPr>
                <w:rFonts w:ascii="Arial" w:cs="Arial" w:eastAsia="Arial" w:hAnsi="Arial"/>
                <w:sz w:val="16"/>
                <w:szCs w:val="16"/>
                <w:b w:val="1"/>
                <w:bCs w:val="1"/>
                <w:color w:val="auto"/>
              </w:rPr>
              <w:t>Total insurance underwriting</w:t>
            </w:r>
          </w:p>
        </w:tc>
        <w:tc>
          <w:tcPr>
            <w:tcW w:w="1120" w:type="dxa"/>
            <w:vAlign w:val="bottom"/>
            <w:vMerge w:val="restart"/>
          </w:tcPr>
          <w:p>
            <w:pPr>
              <w:jc w:val="right"/>
              <w:ind w:right="19"/>
              <w:spacing w:after="0" w:line="183" w:lineRule="exact"/>
              <w:rPr>
                <w:sz w:val="20"/>
                <w:szCs w:val="20"/>
                <w:color w:val="auto"/>
              </w:rPr>
            </w:pPr>
            <w:r>
              <w:rPr>
                <w:rFonts w:ascii="Arial" w:cs="Arial" w:eastAsia="Arial" w:hAnsi="Arial"/>
                <w:sz w:val="16"/>
                <w:szCs w:val="16"/>
                <w:b w:val="1"/>
                <w:bCs w:val="1"/>
                <w:color w:val="auto"/>
              </w:rPr>
              <w:t>(136,335)</w:t>
            </w:r>
          </w:p>
        </w:tc>
        <w:tc>
          <w:tcPr>
            <w:tcW w:w="1060" w:type="dxa"/>
            <w:vAlign w:val="bottom"/>
            <w:vMerge w:val="restart"/>
          </w:tcPr>
          <w:p>
            <w:pPr>
              <w:jc w:val="right"/>
              <w:ind w:right="79"/>
              <w:spacing w:after="0" w:line="183" w:lineRule="exact"/>
              <w:rPr>
                <w:sz w:val="20"/>
                <w:szCs w:val="20"/>
                <w:color w:val="auto"/>
              </w:rPr>
            </w:pPr>
            <w:r>
              <w:rPr>
                <w:rFonts w:ascii="Arial" w:cs="Arial" w:eastAsia="Arial" w:hAnsi="Arial"/>
                <w:sz w:val="16"/>
                <w:szCs w:val="16"/>
                <w:b w:val="1"/>
                <w:bCs w:val="1"/>
                <w:color w:val="auto"/>
              </w:rPr>
              <w:t>141,546</w:t>
            </w:r>
          </w:p>
        </w:tc>
        <w:tc>
          <w:tcPr>
            <w:tcW w:w="900" w:type="dxa"/>
            <w:vAlign w:val="bottom"/>
            <w:tcBorders>
              <w:right w:val="single" w:sz="8" w:color="auto"/>
            </w:tcBorders>
            <w:vMerge w:val="restart"/>
          </w:tcPr>
          <w:p>
            <w:pPr>
              <w:jc w:val="right"/>
              <w:spacing w:after="0" w:line="183" w:lineRule="exact"/>
              <w:rPr>
                <w:sz w:val="20"/>
                <w:szCs w:val="20"/>
                <w:color w:val="auto"/>
              </w:rPr>
            </w:pPr>
            <w:r>
              <w:rPr>
                <w:rFonts w:ascii="Arial" w:cs="Arial" w:eastAsia="Arial" w:hAnsi="Arial"/>
                <w:sz w:val="16"/>
                <w:szCs w:val="16"/>
                <w:b w:val="1"/>
                <w:bCs w:val="1"/>
                <w:color w:val="auto"/>
              </w:rPr>
              <w:t>137,042</w:t>
            </w:r>
          </w:p>
        </w:tc>
        <w:tc>
          <w:tcPr>
            <w:tcW w:w="76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-3.2%</w:t>
            </w:r>
          </w:p>
        </w:tc>
        <w:tc>
          <w:tcPr>
            <w:tcW w:w="84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6"/>
                <w:szCs w:val="16"/>
                <w:b w:val="1"/>
                <w:bCs w:val="1"/>
                <w:color w:val="auto"/>
              </w:rPr>
              <w:t>n.a.</w:t>
            </w:r>
          </w:p>
        </w:tc>
        <w:tc>
          <w:tcPr>
            <w:tcW w:w="1080" w:type="dxa"/>
            <w:vAlign w:val="bottom"/>
            <w:vMerge w:val="restart"/>
          </w:tcPr>
          <w:p>
            <w:pPr>
              <w:jc w:val="right"/>
              <w:spacing w:after="0" w:line="183" w:lineRule="exact"/>
              <w:rPr>
                <w:sz w:val="20"/>
                <w:szCs w:val="20"/>
                <w:color w:val="auto"/>
              </w:rPr>
            </w:pPr>
            <w:r>
              <w:rPr>
                <w:rFonts w:ascii="Arial" w:cs="Arial" w:eastAsia="Arial" w:hAnsi="Arial"/>
                <w:sz w:val="16"/>
                <w:szCs w:val="16"/>
                <w:b w:val="1"/>
                <w:bCs w:val="1"/>
                <w:color w:val="auto"/>
              </w:rPr>
              <w:t>(201,582)</w:t>
            </w:r>
          </w:p>
        </w:tc>
        <w:tc>
          <w:tcPr>
            <w:tcW w:w="980" w:type="dxa"/>
            <w:vAlign w:val="bottom"/>
            <w:tcBorders>
              <w:right w:val="single" w:sz="8" w:color="auto"/>
            </w:tcBorders>
            <w:vMerge w:val="restart"/>
          </w:tcPr>
          <w:p>
            <w:pPr>
              <w:jc w:val="right"/>
              <w:spacing w:after="0" w:line="183" w:lineRule="exact"/>
              <w:rPr>
                <w:sz w:val="20"/>
                <w:szCs w:val="20"/>
                <w:color w:val="auto"/>
              </w:rPr>
            </w:pPr>
            <w:r>
              <w:rPr>
                <w:rFonts w:ascii="Arial" w:cs="Arial" w:eastAsia="Arial" w:hAnsi="Arial"/>
                <w:sz w:val="16"/>
                <w:szCs w:val="16"/>
                <w:b w:val="1"/>
                <w:bCs w:val="1"/>
                <w:color w:val="auto"/>
              </w:rPr>
              <w:t>278,588</w:t>
            </w:r>
          </w:p>
        </w:tc>
        <w:tc>
          <w:tcPr>
            <w:tcW w:w="82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57"/>
        </w:trPr>
        <w:tc>
          <w:tcPr>
            <w:tcW w:w="1440" w:type="dxa"/>
            <w:vAlign w:val="bottom"/>
            <w:tcBorders>
              <w:left w:val="single" w:sz="8" w:color="auto"/>
              <w:right w:val="single" w:sz="8" w:color="auto"/>
            </w:tcBorders>
          </w:tcPr>
          <w:p>
            <w:pPr>
              <w:spacing w:after="0"/>
              <w:rPr>
                <w:sz w:val="4"/>
                <w:szCs w:val="4"/>
                <w:color w:val="auto"/>
              </w:rPr>
            </w:pPr>
          </w:p>
        </w:tc>
        <w:tc>
          <w:tcPr>
            <w:tcW w:w="2260" w:type="dxa"/>
            <w:vAlign w:val="bottom"/>
            <w:tcBorders>
              <w:right w:val="single" w:sz="8" w:color="auto"/>
            </w:tcBorders>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440" w:type="dxa"/>
            <w:vAlign w:val="bottom"/>
            <w:tcBorders>
              <w:left w:val="single" w:sz="8" w:color="auto"/>
              <w:right w:val="single" w:sz="8" w:color="auto"/>
            </w:tcBorders>
          </w:tcPr>
          <w:p>
            <w:pPr>
              <w:spacing w:after="0"/>
              <w:rPr>
                <w:sz w:val="17"/>
                <w:szCs w:val="17"/>
                <w:color w:val="auto"/>
              </w:rPr>
            </w:pPr>
          </w:p>
        </w:tc>
        <w:tc>
          <w:tcPr>
            <w:tcW w:w="226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result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108.0%</w:t>
            </w:r>
          </w:p>
        </w:tc>
        <w:tc>
          <w:tcPr>
            <w:tcW w:w="10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69.3%</w:t>
            </w:r>
          </w:p>
        </w:tc>
        <w:tc>
          <w:tcPr>
            <w:tcW w:w="900" w:type="dxa"/>
            <w:vAlign w:val="bottom"/>
            <w:tcBorders>
              <w:bottom w:val="single" w:sz="8" w:color="auto"/>
              <w:right w:val="single" w:sz="8" w:color="646464"/>
            </w:tcBorders>
          </w:tcPr>
          <w:p>
            <w:pPr>
              <w:jc w:val="right"/>
              <w:spacing w:after="0" w:line="183" w:lineRule="exact"/>
              <w:rPr>
                <w:sz w:val="20"/>
                <w:szCs w:val="20"/>
                <w:color w:val="auto"/>
              </w:rPr>
            </w:pPr>
            <w:r>
              <w:rPr>
                <w:rFonts w:ascii="Arial" w:cs="Arial" w:eastAsia="Arial" w:hAnsi="Arial"/>
                <w:sz w:val="16"/>
                <w:szCs w:val="16"/>
                <w:b w:val="1"/>
                <w:bCs w:val="1"/>
                <w:color w:val="auto"/>
              </w:rPr>
              <w:t>70.8%</w:t>
            </w:r>
          </w:p>
        </w:tc>
        <w:tc>
          <w:tcPr>
            <w:tcW w:w="7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150 pbs</w:t>
            </w:r>
          </w:p>
        </w:tc>
        <w:tc>
          <w:tcPr>
            <w:tcW w:w="8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-3720 pbs</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102.4%</w:t>
            </w:r>
          </w:p>
        </w:tc>
        <w:tc>
          <w:tcPr>
            <w:tcW w:w="980" w:type="dxa"/>
            <w:vAlign w:val="bottom"/>
            <w:tcBorders>
              <w:bottom w:val="single" w:sz="8" w:color="auto"/>
              <w:right w:val="single" w:sz="8" w:color="646464"/>
            </w:tcBorders>
          </w:tcPr>
          <w:p>
            <w:pPr>
              <w:jc w:val="right"/>
              <w:spacing w:after="0" w:line="183" w:lineRule="exact"/>
              <w:rPr>
                <w:sz w:val="20"/>
                <w:szCs w:val="20"/>
                <w:color w:val="auto"/>
              </w:rPr>
            </w:pPr>
            <w:r>
              <w:rPr>
                <w:rFonts w:ascii="Arial" w:cs="Arial" w:eastAsia="Arial" w:hAnsi="Arial"/>
                <w:sz w:val="16"/>
                <w:szCs w:val="16"/>
                <w:b w:val="1"/>
                <w:bCs w:val="1"/>
                <w:color w:val="auto"/>
              </w:rPr>
              <w:t>70.0%</w:t>
            </w:r>
          </w:p>
        </w:tc>
        <w:tc>
          <w:tcPr>
            <w:tcW w:w="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-3240 pbs</w:t>
            </w:r>
          </w:p>
        </w:tc>
        <w:tc>
          <w:tcPr>
            <w:tcW w:w="0" w:type="dxa"/>
            <w:vAlign w:val="bottom"/>
          </w:tcPr>
          <w:p>
            <w:pPr>
              <w:spacing w:after="0"/>
              <w:rPr>
                <w:sz w:val="1"/>
                <w:szCs w:val="1"/>
                <w:color w:val="auto"/>
              </w:rPr>
            </w:pPr>
          </w:p>
        </w:tc>
      </w:tr>
      <w:tr>
        <w:trPr>
          <w:trHeight w:val="158"/>
        </w:trPr>
        <w:tc>
          <w:tcPr>
            <w:tcW w:w="1440" w:type="dxa"/>
            <w:vAlign w:val="bottom"/>
            <w:tcBorders>
              <w:left w:val="single" w:sz="8" w:color="auto"/>
              <w:right w:val="single" w:sz="8" w:color="auto"/>
            </w:tcBorders>
          </w:tcPr>
          <w:p>
            <w:pPr>
              <w:spacing w:after="0"/>
              <w:rPr>
                <w:sz w:val="13"/>
                <w:szCs w:val="13"/>
                <w:color w:val="auto"/>
              </w:rPr>
            </w:pPr>
          </w:p>
        </w:tc>
        <w:tc>
          <w:tcPr>
            <w:tcW w:w="226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color w:val="auto"/>
              </w:rPr>
              <w:t>331,825</w:t>
            </w:r>
          </w:p>
        </w:tc>
        <w:tc>
          <w:tcPr>
            <w:tcW w:w="10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365,492</w:t>
            </w:r>
          </w:p>
        </w:tc>
        <w:tc>
          <w:tcPr>
            <w:tcW w:w="900" w:type="dxa"/>
            <w:vAlign w:val="bottom"/>
            <w:tcBorders>
              <w:right w:val="single" w:sz="8" w:color="646464"/>
            </w:tcBorders>
          </w:tcPr>
          <w:p>
            <w:pPr>
              <w:jc w:val="right"/>
              <w:spacing w:after="0" w:line="158" w:lineRule="exact"/>
              <w:rPr>
                <w:sz w:val="20"/>
                <w:szCs w:val="20"/>
                <w:color w:val="auto"/>
              </w:rPr>
            </w:pPr>
            <w:r>
              <w:rPr>
                <w:rFonts w:ascii="Arial" w:cs="Arial" w:eastAsia="Arial" w:hAnsi="Arial"/>
                <w:sz w:val="16"/>
                <w:szCs w:val="16"/>
                <w:color w:val="auto"/>
              </w:rPr>
              <w:t>365,452</w:t>
            </w:r>
          </w:p>
        </w:tc>
        <w:tc>
          <w:tcPr>
            <w:tcW w:w="760" w:type="dxa"/>
            <w:vAlign w:val="bottom"/>
          </w:tcPr>
          <w:p>
            <w:pPr>
              <w:jc w:val="center"/>
              <w:spacing w:after="0" w:line="158"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10.1%</w:t>
            </w:r>
          </w:p>
        </w:tc>
        <w:tc>
          <w:tcPr>
            <w:tcW w:w="1080" w:type="dxa"/>
            <w:vAlign w:val="bottom"/>
          </w:tcPr>
          <w:p>
            <w:pPr>
              <w:jc w:val="right"/>
              <w:spacing w:after="0" w:line="158" w:lineRule="exact"/>
              <w:rPr>
                <w:sz w:val="20"/>
                <w:szCs w:val="20"/>
                <w:color w:val="auto"/>
              </w:rPr>
            </w:pPr>
            <w:r>
              <w:rPr>
                <w:rFonts w:ascii="Arial" w:cs="Arial" w:eastAsia="Arial" w:hAnsi="Arial"/>
                <w:sz w:val="16"/>
                <w:szCs w:val="16"/>
                <w:color w:val="auto"/>
              </w:rPr>
              <w:t>674,983</w:t>
            </w:r>
          </w:p>
        </w:tc>
        <w:tc>
          <w:tcPr>
            <w:tcW w:w="980" w:type="dxa"/>
            <w:vAlign w:val="bottom"/>
            <w:tcBorders>
              <w:right w:val="single" w:sz="8" w:color="646464"/>
            </w:tcBorders>
          </w:tcPr>
          <w:p>
            <w:pPr>
              <w:jc w:val="right"/>
              <w:spacing w:after="0" w:line="158" w:lineRule="exact"/>
              <w:rPr>
                <w:sz w:val="20"/>
                <w:szCs w:val="20"/>
                <w:color w:val="auto"/>
              </w:rPr>
            </w:pPr>
            <w:r>
              <w:rPr>
                <w:rFonts w:ascii="Arial" w:cs="Arial" w:eastAsia="Arial" w:hAnsi="Arial"/>
                <w:sz w:val="16"/>
                <w:szCs w:val="16"/>
                <w:color w:val="auto"/>
              </w:rPr>
              <w:t>730,944</w:t>
            </w:r>
          </w:p>
        </w:tc>
        <w:tc>
          <w:tcPr>
            <w:tcW w:w="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Life</w:t>
            </w:r>
          </w:p>
        </w:tc>
        <w:tc>
          <w:tcPr>
            <w:tcW w:w="226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(546,439)</w:t>
            </w:r>
          </w:p>
        </w:tc>
        <w:tc>
          <w:tcPr>
            <w:tcW w:w="10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(315,718)</w:t>
            </w:r>
          </w:p>
        </w:tc>
        <w:tc>
          <w:tcPr>
            <w:tcW w:w="900" w:type="dxa"/>
            <w:vAlign w:val="bottom"/>
            <w:tcBorders>
              <w:right w:val="single" w:sz="8" w:color="646464"/>
            </w:tcBorders>
          </w:tcPr>
          <w:p>
            <w:pPr>
              <w:jc w:val="right"/>
              <w:spacing w:after="0" w:line="183" w:lineRule="exact"/>
              <w:rPr>
                <w:sz w:val="20"/>
                <w:szCs w:val="20"/>
                <w:color w:val="auto"/>
              </w:rPr>
            </w:pPr>
            <w:r>
              <w:rPr>
                <w:rFonts w:ascii="Arial" w:cs="Arial" w:eastAsia="Arial" w:hAnsi="Arial"/>
                <w:sz w:val="16"/>
                <w:szCs w:val="16"/>
                <w:color w:val="auto"/>
              </w:rPr>
              <w:t>(335,204)</w:t>
            </w:r>
          </w:p>
        </w:tc>
        <w:tc>
          <w:tcPr>
            <w:tcW w:w="760" w:type="dxa"/>
            <w:vAlign w:val="bottom"/>
          </w:tcPr>
          <w:p>
            <w:pPr>
              <w:jc w:val="center"/>
              <w:spacing w:after="0" w:line="183" w:lineRule="exact"/>
              <w:rPr>
                <w:sz w:val="20"/>
                <w:szCs w:val="20"/>
                <w:color w:val="auto"/>
              </w:rPr>
            </w:pPr>
            <w:r>
              <w:rPr>
                <w:rFonts w:ascii="Arial" w:cs="Arial" w:eastAsia="Arial" w:hAnsi="Arial"/>
                <w:sz w:val="16"/>
                <w:szCs w:val="16"/>
                <w:color w:val="auto"/>
              </w:rPr>
              <w:t>6.2%</w:t>
            </w:r>
          </w:p>
        </w:tc>
        <w:tc>
          <w:tcPr>
            <w:tcW w:w="8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-38.7%</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(1,048,152)</w:t>
            </w:r>
          </w:p>
        </w:tc>
        <w:tc>
          <w:tcPr>
            <w:tcW w:w="980" w:type="dxa"/>
            <w:vAlign w:val="bottom"/>
            <w:tcBorders>
              <w:right w:val="single" w:sz="8" w:color="646464"/>
            </w:tcBorders>
          </w:tcPr>
          <w:p>
            <w:pPr>
              <w:jc w:val="right"/>
              <w:spacing w:after="0" w:line="183" w:lineRule="exact"/>
              <w:rPr>
                <w:sz w:val="20"/>
                <w:szCs w:val="20"/>
                <w:color w:val="auto"/>
              </w:rPr>
            </w:pPr>
            <w:r>
              <w:rPr>
                <w:rFonts w:ascii="Arial" w:cs="Arial" w:eastAsia="Arial" w:hAnsi="Arial"/>
                <w:sz w:val="16"/>
                <w:szCs w:val="16"/>
                <w:color w:val="auto"/>
              </w:rPr>
              <w:t>(650,922)</w:t>
            </w:r>
          </w:p>
        </w:tc>
        <w:tc>
          <w:tcPr>
            <w:tcW w:w="8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-37.9%</w:t>
            </w:r>
          </w:p>
        </w:tc>
        <w:tc>
          <w:tcPr>
            <w:tcW w:w="0" w:type="dxa"/>
            <w:vAlign w:val="bottom"/>
          </w:tcPr>
          <w:p>
            <w:pPr>
              <w:spacing w:after="0"/>
              <w:rPr>
                <w:sz w:val="1"/>
                <w:szCs w:val="1"/>
                <w:color w:val="auto"/>
              </w:rPr>
            </w:pPr>
          </w:p>
        </w:tc>
      </w:tr>
      <w:tr>
        <w:trPr>
          <w:trHeight w:val="199"/>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164.7%</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86.4%</w:t>
            </w:r>
          </w:p>
        </w:tc>
        <w:tc>
          <w:tcPr>
            <w:tcW w:w="900" w:type="dxa"/>
            <w:vAlign w:val="bottom"/>
            <w:tcBorders>
              <w:bottom w:val="single" w:sz="8" w:color="auto"/>
              <w:right w:val="single" w:sz="8" w:color="646464"/>
            </w:tcBorders>
          </w:tcPr>
          <w:p>
            <w:pPr>
              <w:jc w:val="right"/>
              <w:spacing w:after="0"/>
              <w:rPr>
                <w:sz w:val="20"/>
                <w:szCs w:val="20"/>
                <w:color w:val="auto"/>
              </w:rPr>
            </w:pPr>
            <w:r>
              <w:rPr>
                <w:rFonts w:ascii="Arial" w:cs="Arial" w:eastAsia="Arial" w:hAnsi="Arial"/>
                <w:sz w:val="16"/>
                <w:szCs w:val="16"/>
                <w:b w:val="1"/>
                <w:bCs w:val="1"/>
                <w:color w:val="auto"/>
              </w:rPr>
              <w:t>91.7%</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530 pbs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-7300 pbs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155.3%</w:t>
            </w:r>
          </w:p>
        </w:tc>
        <w:tc>
          <w:tcPr>
            <w:tcW w:w="980" w:type="dxa"/>
            <w:vAlign w:val="bottom"/>
            <w:tcBorders>
              <w:bottom w:val="single" w:sz="8" w:color="auto"/>
              <w:right w:val="single" w:sz="8" w:color="646464"/>
            </w:tcBorders>
          </w:tcPr>
          <w:p>
            <w:pPr>
              <w:jc w:val="right"/>
              <w:spacing w:after="0"/>
              <w:rPr>
                <w:sz w:val="20"/>
                <w:szCs w:val="20"/>
                <w:color w:val="auto"/>
              </w:rPr>
            </w:pPr>
            <w:r>
              <w:rPr>
                <w:rFonts w:ascii="Arial" w:cs="Arial" w:eastAsia="Arial" w:hAnsi="Arial"/>
                <w:sz w:val="16"/>
                <w:szCs w:val="16"/>
                <w:b w:val="1"/>
                <w:bCs w:val="1"/>
                <w:color w:val="auto"/>
              </w:rPr>
              <w:t>89.1%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-6620 pbs</w:t>
            </w:r>
          </w:p>
        </w:tc>
        <w:tc>
          <w:tcPr>
            <w:tcW w:w="0" w:type="dxa"/>
            <w:vAlign w:val="bottom"/>
          </w:tcPr>
          <w:p>
            <w:pPr>
              <w:spacing w:after="0"/>
              <w:rPr>
                <w:sz w:val="1"/>
                <w:szCs w:val="1"/>
                <w:color w:val="auto"/>
              </w:rPr>
            </w:pPr>
          </w:p>
        </w:tc>
      </w:tr>
      <w:tr>
        <w:trPr>
          <w:trHeight w:val="158"/>
        </w:trPr>
        <w:tc>
          <w:tcPr>
            <w:tcW w:w="1440" w:type="dxa"/>
            <w:vAlign w:val="bottom"/>
            <w:tcBorders>
              <w:left w:val="single" w:sz="8" w:color="auto"/>
              <w:right w:val="single" w:sz="8" w:color="auto"/>
            </w:tcBorders>
          </w:tcPr>
          <w:p>
            <w:pPr>
              <w:spacing w:after="0"/>
              <w:rPr>
                <w:sz w:val="13"/>
                <w:szCs w:val="13"/>
                <w:color w:val="auto"/>
              </w:rPr>
            </w:pPr>
          </w:p>
        </w:tc>
        <w:tc>
          <w:tcPr>
            <w:tcW w:w="226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color w:val="auto"/>
              </w:rPr>
              <w:t>291,172</w:t>
            </w:r>
          </w:p>
        </w:tc>
        <w:tc>
          <w:tcPr>
            <w:tcW w:w="10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308,891</w:t>
            </w:r>
          </w:p>
        </w:tc>
        <w:tc>
          <w:tcPr>
            <w:tcW w:w="900" w:type="dxa"/>
            <w:vAlign w:val="bottom"/>
            <w:tcBorders>
              <w:right w:val="single" w:sz="8" w:color="646464"/>
            </w:tcBorders>
          </w:tcPr>
          <w:p>
            <w:pPr>
              <w:jc w:val="right"/>
              <w:spacing w:after="0" w:line="158" w:lineRule="exact"/>
              <w:rPr>
                <w:sz w:val="20"/>
                <w:szCs w:val="20"/>
                <w:color w:val="auto"/>
              </w:rPr>
            </w:pPr>
            <w:r>
              <w:rPr>
                <w:rFonts w:ascii="Arial" w:cs="Arial" w:eastAsia="Arial" w:hAnsi="Arial"/>
                <w:sz w:val="16"/>
                <w:szCs w:val="16"/>
                <w:color w:val="auto"/>
              </w:rPr>
              <w:t>313,518</w:t>
            </w:r>
          </w:p>
        </w:tc>
        <w:tc>
          <w:tcPr>
            <w:tcW w:w="760" w:type="dxa"/>
            <w:vAlign w:val="bottom"/>
          </w:tcPr>
          <w:p>
            <w:pPr>
              <w:jc w:val="center"/>
              <w:spacing w:after="0" w:line="158" w:lineRule="exact"/>
              <w:rPr>
                <w:sz w:val="20"/>
                <w:szCs w:val="20"/>
                <w:color w:val="auto"/>
              </w:rPr>
            </w:pPr>
            <w:r>
              <w:rPr>
                <w:rFonts w:ascii="Arial" w:cs="Arial" w:eastAsia="Arial" w:hAnsi="Arial"/>
                <w:sz w:val="16"/>
                <w:szCs w:val="16"/>
                <w:color w:val="auto"/>
              </w:rPr>
              <w:t>1.5%</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7.7%</w:t>
            </w:r>
          </w:p>
        </w:tc>
        <w:tc>
          <w:tcPr>
            <w:tcW w:w="1080" w:type="dxa"/>
            <w:vAlign w:val="bottom"/>
          </w:tcPr>
          <w:p>
            <w:pPr>
              <w:jc w:val="right"/>
              <w:spacing w:after="0" w:line="158" w:lineRule="exact"/>
              <w:rPr>
                <w:sz w:val="20"/>
                <w:szCs w:val="20"/>
                <w:color w:val="auto"/>
              </w:rPr>
            </w:pPr>
            <w:r>
              <w:rPr>
                <w:rFonts w:ascii="Arial" w:cs="Arial" w:eastAsia="Arial" w:hAnsi="Arial"/>
                <w:sz w:val="16"/>
                <w:szCs w:val="16"/>
                <w:color w:val="auto"/>
              </w:rPr>
              <w:t>575,595</w:t>
            </w:r>
          </w:p>
        </w:tc>
        <w:tc>
          <w:tcPr>
            <w:tcW w:w="980" w:type="dxa"/>
            <w:vAlign w:val="bottom"/>
            <w:tcBorders>
              <w:right w:val="single" w:sz="8" w:color="646464"/>
            </w:tcBorders>
          </w:tcPr>
          <w:p>
            <w:pPr>
              <w:jc w:val="right"/>
              <w:spacing w:after="0" w:line="158" w:lineRule="exact"/>
              <w:rPr>
                <w:sz w:val="20"/>
                <w:szCs w:val="20"/>
                <w:color w:val="auto"/>
              </w:rPr>
            </w:pPr>
            <w:r>
              <w:rPr>
                <w:rFonts w:ascii="Arial" w:cs="Arial" w:eastAsia="Arial" w:hAnsi="Arial"/>
                <w:sz w:val="16"/>
                <w:szCs w:val="16"/>
                <w:color w:val="auto"/>
              </w:rPr>
              <w:t>622,408</w:t>
            </w:r>
          </w:p>
        </w:tc>
        <w:tc>
          <w:tcPr>
            <w:tcW w:w="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P&amp;C</w:t>
            </w:r>
          </w:p>
        </w:tc>
        <w:tc>
          <w:tcPr>
            <w:tcW w:w="226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(135,982)</w:t>
            </w:r>
          </w:p>
        </w:tc>
        <w:tc>
          <w:tcPr>
            <w:tcW w:w="10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(156,851)</w:t>
            </w:r>
          </w:p>
        </w:tc>
        <w:tc>
          <w:tcPr>
            <w:tcW w:w="900" w:type="dxa"/>
            <w:vAlign w:val="bottom"/>
            <w:tcBorders>
              <w:right w:val="single" w:sz="8" w:color="646464"/>
            </w:tcBorders>
          </w:tcPr>
          <w:p>
            <w:pPr>
              <w:jc w:val="right"/>
              <w:spacing w:after="0" w:line="183" w:lineRule="exact"/>
              <w:rPr>
                <w:sz w:val="20"/>
                <w:szCs w:val="20"/>
                <w:color w:val="auto"/>
              </w:rPr>
            </w:pPr>
            <w:r>
              <w:rPr>
                <w:rFonts w:ascii="Arial" w:cs="Arial" w:eastAsia="Arial" w:hAnsi="Arial"/>
                <w:sz w:val="16"/>
                <w:szCs w:val="16"/>
                <w:color w:val="auto"/>
              </w:rPr>
              <w:t>(153,046)</w:t>
            </w:r>
          </w:p>
        </w:tc>
        <w:tc>
          <w:tcPr>
            <w:tcW w:w="760" w:type="dxa"/>
            <w:vAlign w:val="bottom"/>
          </w:tcPr>
          <w:p>
            <w:pPr>
              <w:jc w:val="center"/>
              <w:spacing w:after="0" w:line="183" w:lineRule="exact"/>
              <w:rPr>
                <w:sz w:val="20"/>
                <w:szCs w:val="20"/>
                <w:color w:val="auto"/>
              </w:rPr>
            </w:pPr>
            <w:r>
              <w:rPr>
                <w:rFonts w:ascii="Arial" w:cs="Arial" w:eastAsia="Arial" w:hAnsi="Arial"/>
                <w:sz w:val="16"/>
                <w:szCs w:val="16"/>
                <w:color w:val="auto"/>
              </w:rPr>
              <w:t>-2.4%</w:t>
            </w:r>
          </w:p>
        </w:tc>
        <w:tc>
          <w:tcPr>
            <w:tcW w:w="8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(250,114)</w:t>
            </w:r>
          </w:p>
        </w:tc>
        <w:tc>
          <w:tcPr>
            <w:tcW w:w="980" w:type="dxa"/>
            <w:vAlign w:val="bottom"/>
            <w:tcBorders>
              <w:right w:val="single" w:sz="8" w:color="646464"/>
            </w:tcBorders>
          </w:tcPr>
          <w:p>
            <w:pPr>
              <w:jc w:val="right"/>
              <w:spacing w:after="0" w:line="183" w:lineRule="exact"/>
              <w:rPr>
                <w:sz w:val="20"/>
                <w:szCs w:val="20"/>
                <w:color w:val="auto"/>
              </w:rPr>
            </w:pPr>
            <w:r>
              <w:rPr>
                <w:rFonts w:ascii="Arial" w:cs="Arial" w:eastAsia="Arial" w:hAnsi="Arial"/>
                <w:sz w:val="16"/>
                <w:szCs w:val="16"/>
                <w:color w:val="auto"/>
              </w:rPr>
              <w:t>(309,897)</w:t>
            </w:r>
          </w:p>
        </w:tc>
        <w:tc>
          <w:tcPr>
            <w:tcW w:w="8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9"/>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46.7%</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50.8%</w:t>
            </w:r>
          </w:p>
        </w:tc>
        <w:tc>
          <w:tcPr>
            <w:tcW w:w="900" w:type="dxa"/>
            <w:vAlign w:val="bottom"/>
            <w:tcBorders>
              <w:bottom w:val="single" w:sz="8" w:color="auto"/>
              <w:right w:val="single" w:sz="8" w:color="646464"/>
            </w:tcBorders>
          </w:tcPr>
          <w:p>
            <w:pPr>
              <w:jc w:val="right"/>
              <w:spacing w:after="0"/>
              <w:rPr>
                <w:sz w:val="20"/>
                <w:szCs w:val="20"/>
                <w:color w:val="auto"/>
              </w:rPr>
            </w:pPr>
            <w:r>
              <w:rPr>
                <w:rFonts w:ascii="Arial" w:cs="Arial" w:eastAsia="Arial" w:hAnsi="Arial"/>
                <w:sz w:val="16"/>
                <w:szCs w:val="16"/>
                <w:b w:val="1"/>
                <w:bCs w:val="1"/>
                <w:color w:val="auto"/>
              </w:rPr>
              <w:t>48.8%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-200 pbs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210 pbs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980" w:type="dxa"/>
            <w:vAlign w:val="bottom"/>
            <w:tcBorders>
              <w:bottom w:val="single" w:sz="8" w:color="auto"/>
              <w:right w:val="single" w:sz="8" w:color="646464"/>
            </w:tcBorders>
          </w:tcPr>
          <w:p>
            <w:pPr>
              <w:jc w:val="right"/>
              <w:spacing w:after="0"/>
              <w:rPr>
                <w:sz w:val="20"/>
                <w:szCs w:val="20"/>
                <w:color w:val="auto"/>
              </w:rPr>
            </w:pPr>
            <w:r>
              <w:rPr>
                <w:rFonts w:ascii="Arial" w:cs="Arial" w:eastAsia="Arial" w:hAnsi="Arial"/>
                <w:sz w:val="16"/>
                <w:szCs w:val="16"/>
                <w:b w:val="1"/>
                <w:bCs w:val="1"/>
                <w:color w:val="auto"/>
              </w:rPr>
              <w:t>49.8%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630 pbs</w:t>
            </w:r>
          </w:p>
        </w:tc>
        <w:tc>
          <w:tcPr>
            <w:tcW w:w="0" w:type="dxa"/>
            <w:vAlign w:val="bottom"/>
          </w:tcPr>
          <w:p>
            <w:pPr>
              <w:spacing w:after="0"/>
              <w:rPr>
                <w:sz w:val="1"/>
                <w:szCs w:val="1"/>
                <w:color w:val="auto"/>
              </w:rPr>
            </w:pPr>
          </w:p>
        </w:tc>
      </w:tr>
    </w:tbl>
    <w:p>
      <w:pPr>
        <w:ind w:left="143" w:hanging="143"/>
        <w:spacing w:after="0" w:line="237" w:lineRule="auto"/>
        <w:tabs>
          <w:tab w:leader="none" w:pos="143"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results of the Life, Property &amp; Casualty and Crediseguros business.</w:t>
      </w:r>
    </w:p>
    <w:p>
      <w:pPr>
        <w:ind w:left="143" w:hanging="143"/>
        <w:spacing w:after="0"/>
        <w:tabs>
          <w:tab w:leader="none" w:pos="143"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fees and underwriting expenses.</w:t>
      </w:r>
    </w:p>
    <w:p>
      <w:pPr>
        <w:spacing w:after="0" w:line="193"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6"/>
          <w:szCs w:val="16"/>
          <w:color w:val="auto"/>
        </w:rPr>
        <w:t xml:space="preserve">From a </w:t>
      </w:r>
      <w:r>
        <w:rPr>
          <w:rFonts w:ascii="Times New Roman" w:cs="Times New Roman" w:eastAsia="Times New Roman" w:hAnsi="Times New Roman"/>
          <w:sz w:val="16"/>
          <w:szCs w:val="16"/>
          <w:b w:val="1"/>
          <w:bCs w:val="1"/>
          <w:color w:val="auto"/>
        </w:rPr>
        <w:t>QoQ</w:t>
      </w:r>
      <w:r>
        <w:rPr>
          <w:rFonts w:ascii="Times New Roman" w:cs="Times New Roman" w:eastAsia="Times New Roman" w:hAnsi="Times New Roman"/>
          <w:sz w:val="16"/>
          <w:szCs w:val="16"/>
          <w:color w:val="auto"/>
        </w:rPr>
        <w:t xml:space="preserve"> perspective, the underwriting result decreased. This was attributable to 6.2% growth in claims in the Life business, which was primarily attributable to higher cases reported in D&amp;S and Credit Life, also the negative effect of inflation on Group Life particularly in Complementary Insurance for Occupational Risk (SCTR) product. It is important to note that this quarter, reported cases dropped and IBNR reserves for COVID-19 were released, which reflected the fact that the fourth wave of the pandemic has generated less severe impacts. This result was partially mitigated by growth in net earned premiums and a decrease in claims in P&amp;C.</w:t>
      </w:r>
    </w:p>
    <w:p>
      <w:pPr>
        <w:spacing w:after="0" w:line="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From a </w:t>
      </w:r>
      <w:r>
        <w:rPr>
          <w:rFonts w:ascii="Times New Roman" w:cs="Times New Roman" w:eastAsia="Times New Roman" w:hAnsi="Times New Roman"/>
          <w:sz w:val="16"/>
          <w:szCs w:val="16"/>
          <w:b w:val="1"/>
          <w:bCs w:val="1"/>
          <w:color w:val="auto"/>
        </w:rPr>
        <w:t>YoY</w:t>
      </w:r>
      <w:r>
        <w:rPr>
          <w:rFonts w:ascii="Times New Roman" w:cs="Times New Roman" w:eastAsia="Times New Roman" w:hAnsi="Times New Roman"/>
          <w:sz w:val="16"/>
          <w:szCs w:val="16"/>
          <w:color w:val="auto"/>
        </w:rPr>
        <w:t xml:space="preserve"> perspective, the insurance underwriting result returned to positive terrain. This evolution was drive by the following factors:</w:t>
      </w:r>
    </w:p>
    <w:p>
      <w:pPr>
        <w:spacing w:after="0" w:line="147" w:lineRule="exact"/>
        <w:rPr>
          <w:sz w:val="20"/>
          <w:szCs w:val="20"/>
          <w:color w:val="auto"/>
        </w:rPr>
      </w:pPr>
    </w:p>
    <w:p>
      <w:pPr>
        <w:jc w:val="both"/>
        <w:ind w:left="583" w:right="20" w:hanging="290"/>
        <w:spacing w:after="0" w:line="245" w:lineRule="auto"/>
        <w:tabs>
          <w:tab w:leader="none" w:pos="5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38.7% decrease in claims in the Life business. This reflected the improvement in the sanitary situation and the fact that COVID-19 reserves were released in a context marked by advances in vaccination in 2Q22 versus 2Q21, when higher levels of excess mortality were reported; this was partially mitigated by an inflationary effect;</w:t>
      </w:r>
    </w:p>
    <w:p>
      <w:pPr>
        <w:ind w:left="583" w:hanging="290"/>
        <w:spacing w:after="0" w:line="238" w:lineRule="auto"/>
        <w:tabs>
          <w:tab w:leader="none" w:pos="5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Growth of 10.1% and 7.7% in net earned premiums in the Life and P&amp;C businesses respectively associated with economic reactivation; and</w:t>
      </w:r>
    </w:p>
    <w:p>
      <w:pPr>
        <w:ind w:left="583" w:right="20" w:hanging="290"/>
        <w:spacing w:after="0" w:line="257" w:lineRule="auto"/>
        <w:tabs>
          <w:tab w:leader="none" w:pos="5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drop of 22.0% in the acquisition cost, which was driven primarily by a drop in commissions after a contract in the alliance channel expired at the end of 2021 and to a lesser extent by a decrease in underwriting expenses in the P&amp;C business.</w:t>
      </w:r>
    </w:p>
    <w:p>
      <w:pPr>
        <w:spacing w:after="0" w:line="175" w:lineRule="exact"/>
        <w:rPr>
          <w:sz w:val="20"/>
          <w:szCs w:val="20"/>
          <w:color w:val="auto"/>
        </w:rPr>
      </w:pPr>
    </w:p>
    <w:p>
      <w:pPr>
        <w:ind w:left="3" w:right="20"/>
        <w:spacing w:after="0" w:line="288" w:lineRule="auto"/>
        <w:rPr>
          <w:sz w:val="20"/>
          <w:szCs w:val="20"/>
          <w:color w:val="auto"/>
        </w:rPr>
      </w:pPr>
      <w:r>
        <w:rPr>
          <w:rFonts w:ascii="Times New Roman" w:cs="Times New Roman" w:eastAsia="Times New Roman" w:hAnsi="Times New Roman"/>
          <w:sz w:val="16"/>
          <w:szCs w:val="16"/>
          <w:color w:val="auto"/>
        </w:rPr>
        <w:t>In YTD terms, Insurance Underwriting results rose specifically in the life business due to lower excess mortality from COVID-19 given the advance in vaccination process and to a lesser extent, the improvement in net earned premiums in both businesses associate to the economic reactivation.</w:t>
      </w:r>
    </w:p>
    <w:p>
      <w:pPr>
        <w:spacing w:after="0" w:line="310"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34" w:name="page35"/>
    <w:bookmarkEnd w:id="34"/>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07. 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Earned Premiums by Business</w:t>
      </w:r>
    </w:p>
    <w:p>
      <w:pPr>
        <w:sectPr>
          <w:pgSz w:w="11900" w:h="16838" w:orient="portrait"/>
          <w:cols w:equalWidth="0" w:num="1">
            <w:col w:w="11260"/>
          </w:cols>
          <w:pgMar w:left="320" w:top="313" w:right="319" w:bottom="1440" w:gutter="0" w:footer="0" w:header="0"/>
        </w:sectPr>
      </w:pPr>
    </w:p>
    <w:p>
      <w:pPr>
        <w:spacing w:after="0" w:line="208"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 xml:space="preserve">Net earned premiums in the Life Business </w:t>
      </w:r>
      <w:r>
        <w:rPr>
          <w:rFonts w:ascii="Times New Roman" w:cs="Times New Roman" w:eastAsia="Times New Roman" w:hAnsi="Times New Roman"/>
          <w:sz w:val="10"/>
          <w:szCs w:val="10"/>
          <w:b w:val="1"/>
          <w:bCs w:val="1"/>
          <w:color w:val="auto"/>
        </w:rPr>
        <w:t>(1)</w:t>
      </w:r>
    </w:p>
    <w:p>
      <w:pPr>
        <w:spacing w:after="0" w:line="2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84455</wp:posOffset>
            </wp:positionV>
            <wp:extent cx="2675890" cy="10902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75890" cy="1090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 xml:space="preserve">Net Earned Premiums in P&amp;C </w:t>
      </w:r>
      <w:r>
        <w:rPr>
          <w:rFonts w:ascii="Times New Roman" w:cs="Times New Roman" w:eastAsia="Times New Roman" w:hAnsi="Times New Roman"/>
          <w:sz w:val="13"/>
          <w:szCs w:val="13"/>
          <w:b w:val="1"/>
          <w:bCs w:val="1"/>
          <w:color w:val="auto"/>
        </w:rPr>
        <w:t>(1)</w:t>
      </w:r>
    </w:p>
    <w:p>
      <w:pPr>
        <w:spacing w:after="0" w:line="39"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84455</wp:posOffset>
            </wp:positionV>
            <wp:extent cx="2776220" cy="1067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76220" cy="1067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860"/>
          </w:cols>
          <w:pgMar w:left="320" w:top="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the QoQ analysis, net earned premiums in the Life business remained stable. Growth in Credit Life stood out and was attributable to an uptick in sales through BCP and Mibanco. This effect was offset by a drop in Disability and Survivorship and Group Life. In P&amp;C, net earned premiums rose 1.5%, which was primarily driven by growth in Cars and Medical Assistance.</w:t>
      </w:r>
    </w:p>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the YoY and YTD analysis, net premiums in the Life Insurance business reported growth of 10.1% and 8.3% respectively in (i) Credit Life, which was primarily associated with an increase in premiums through BCP and Mibanco and (ii) Group Life, in line with price adjustments and an uptick in new sales for the Complementary Insurance for Occupational Risk Product (SCTR). Net premiums rose in P&amp;C, 7.7% YoY and 8.1% YTD, drive by: (i) Personal Lines, due to growth in sales for Card Protection products and Household Mortgages through Bancassurance channel, and (ii) Medical Assistance, which was associated with growth in sales for Oncological and Compensation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Claims by Business</w:t>
      </w:r>
    </w:p>
    <w:p>
      <w:pPr>
        <w:spacing w:after="0" w:line="26" w:lineRule="exact"/>
        <w:rPr>
          <w:sz w:val="20"/>
          <w:szCs w:val="20"/>
          <w:color w:val="auto"/>
        </w:rPr>
      </w:pPr>
    </w:p>
    <w:tbl>
      <w:tblPr>
        <w:tblLayout w:type="fixed"/>
        <w:tblInd w:w="2340" w:type="dxa"/>
        <w:tblCellMar>
          <w:top w:w="0" w:type="dxa"/>
          <w:left w:w="0" w:type="dxa"/>
          <w:bottom w:w="0" w:type="dxa"/>
          <w:right w:w="0" w:type="dxa"/>
        </w:tblCellMar>
      </w:tblPr>
      <w:tr>
        <w:trPr>
          <w:trHeight w:val="184"/>
        </w:trPr>
        <w:tc>
          <w:tcPr>
            <w:tcW w:w="2120" w:type="dxa"/>
            <w:vAlign w:val="bottom"/>
          </w:tcPr>
          <w:p>
            <w:pPr>
              <w:jc w:val="center"/>
              <w:ind w:right="1331"/>
              <w:spacing w:after="0"/>
              <w:rPr>
                <w:sz w:val="20"/>
                <w:szCs w:val="20"/>
                <w:color w:val="auto"/>
              </w:rPr>
            </w:pPr>
            <w:r>
              <w:rPr>
                <w:rFonts w:ascii="Times New Roman" w:cs="Times New Roman" w:eastAsia="Times New Roman" w:hAnsi="Times New Roman"/>
                <w:sz w:val="16"/>
                <w:szCs w:val="16"/>
                <w:b w:val="1"/>
                <w:bCs w:val="1"/>
                <w:color w:val="auto"/>
                <w:w w:val="99"/>
              </w:rPr>
              <w:t>Loss Ratio</w:t>
            </w: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The Total Loss Ratio stood at 70.8%, (+150 bps QoQ). This result was driven</w:t>
            </w:r>
          </w:p>
        </w:tc>
      </w:tr>
      <w:tr>
        <w:trPr>
          <w:trHeight w:val="195"/>
        </w:trPr>
        <w:tc>
          <w:tcPr>
            <w:tcW w:w="2120" w:type="dxa"/>
            <w:vAlign w:val="bottom"/>
          </w:tcPr>
          <w:p>
            <w:pPr>
              <w:jc w:val="right"/>
              <w:ind w:right="1611"/>
              <w:spacing w:after="0"/>
              <w:rPr>
                <w:sz w:val="20"/>
                <w:szCs w:val="20"/>
                <w:color w:val="auto"/>
              </w:rPr>
            </w:pPr>
            <w:r>
              <w:rPr>
                <w:rFonts w:ascii="Times New Roman" w:cs="Times New Roman" w:eastAsia="Times New Roman" w:hAnsi="Times New Roman"/>
                <w:sz w:val="11"/>
                <w:szCs w:val="11"/>
                <w:color w:val="auto"/>
              </w:rPr>
              <w:t>(%)</w:t>
            </w: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primarily by the Life business (+530 bps QoQ), which was in turn due to the</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evolution  of  (i)  Group  Life,  where  inflation  impacted  compensation  for</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Complementary  Insurance  for  Occupational  Risk  and  (ii)  Disability  and</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Survivorship, due to an increase in cases. It is important to note that COVID-19</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IBNR reserves were released in 2Q22, which reflected a drop in reported COVID-</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19 claims due to an improvement in the sanitary situation and the advances in the</w:t>
            </w:r>
          </w:p>
        </w:tc>
      </w:tr>
      <w:tr>
        <w:trPr>
          <w:trHeight w:val="211"/>
        </w:trPr>
        <w:tc>
          <w:tcPr>
            <w:tcW w:w="2120" w:type="dxa"/>
            <w:vAlign w:val="bottom"/>
          </w:tcPr>
          <w:p>
            <w:pPr>
              <w:spacing w:after="0"/>
              <w:rPr>
                <w:sz w:val="18"/>
                <w:szCs w:val="18"/>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vaccination process.</w:t>
            </w:r>
          </w:p>
        </w:tc>
      </w:tr>
      <w:tr>
        <w:trPr>
          <w:trHeight w:val="398"/>
        </w:trPr>
        <w:tc>
          <w:tcPr>
            <w:tcW w:w="2120" w:type="dxa"/>
            <w:vAlign w:val="bottom"/>
          </w:tcPr>
          <w:p>
            <w:pPr>
              <w:spacing w:after="0"/>
              <w:rPr>
                <w:sz w:val="24"/>
                <w:szCs w:val="24"/>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The Loss Ratio in the P&amp;C business fell 200 bps QoQ. This was primarily</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attributable to the evolution of Commercial Lines, which reported high claims</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frequency in the previous quarter, particularly in the Transportation and Machinery</w:t>
            </w:r>
          </w:p>
        </w:tc>
      </w:tr>
      <w:tr>
        <w:trPr>
          <w:trHeight w:val="195"/>
        </w:trPr>
        <w:tc>
          <w:tcPr>
            <w:tcW w:w="2120" w:type="dxa"/>
            <w:vAlign w:val="bottom"/>
          </w:tcPr>
          <w:p>
            <w:pPr>
              <w:spacing w:after="0"/>
              <w:rPr>
                <w:sz w:val="16"/>
                <w:szCs w:val="16"/>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lines and (ii) Cars, which reported a drop in claims frequency in the business</w:t>
            </w:r>
          </w:p>
        </w:tc>
      </w:tr>
      <w:tr>
        <w:trPr>
          <w:trHeight w:val="211"/>
        </w:trPr>
        <w:tc>
          <w:tcPr>
            <w:tcW w:w="2120" w:type="dxa"/>
            <w:vAlign w:val="bottom"/>
          </w:tcPr>
          <w:p>
            <w:pPr>
              <w:spacing w:after="0"/>
              <w:rPr>
                <w:sz w:val="18"/>
                <w:szCs w:val="18"/>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segment.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-1545590</wp:posOffset>
            </wp:positionV>
            <wp:extent cx="2466975" cy="1577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66975" cy="1577340"/>
                    </a:xfrm>
                    <a:prstGeom prst="rect">
                      <a:avLst/>
                    </a:prstGeom>
                    <a:noFill/>
                  </pic:spPr>
                </pic:pic>
              </a:graphicData>
            </a:graphic>
          </wp:anchor>
        </w:drawing>
      </w:r>
    </w:p>
    <w:p>
      <w:pPr>
        <w:spacing w:after="0" w:line="18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the YoY and YTD analysis, the Total Loss Ratio improved due to a 28.8% and 26.2% reduction respectively in net claims primarily in the Life business. This was associated with a decrease in reported COVID-19 cases and to the release of IBNR COVID-19 reserves, in line with the positive evolution of the vaccination process.</w:t>
      </w:r>
    </w:p>
    <w:p>
      <w:pPr>
        <w:spacing w:after="0" w:line="16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i w:val="1"/>
          <w:iCs w:val="1"/>
          <w:color w:val="auto"/>
        </w:rPr>
        <w:t>It is important to mention that the negative impact of inflation on claims and the accumulation of technical reserves adjusted for constant purchasing power are counterbalanced by a positive impact on net interest income associated with the assets that back said claims and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14846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84630" cy="762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b w:val="1"/>
          <w:bCs w:val="1"/>
          <w:color w:val="auto"/>
        </w:rPr>
        <w:t xml:space="preserve"> Total premiums less premiums ceded to reinsurance and adjustments in constitution of technical reserves</w:t>
      </w:r>
    </w:p>
    <w:p>
      <w:pPr>
        <w:spacing w:after="0" w:line="26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type w:val="continuous"/>
        </w:sectPr>
      </w:pPr>
    </w:p>
    <w:bookmarkStart w:id="35" w:name="page36"/>
    <w:bookmarkEnd w:id="35"/>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07. 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Cost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460" w:type="dxa"/>
            <w:vAlign w:val="bottom"/>
            <w:tcBorders>
              <w:top w:val="single" w:sz="8" w:color="auto"/>
              <w:left w:val="single" w:sz="8" w:color="646464"/>
              <w:right w:val="single" w:sz="8" w:color="auto"/>
            </w:tcBorders>
            <w:shd w:val="clear" w:color="auto" w:fill="33CCCC"/>
          </w:tcPr>
          <w:p>
            <w:pPr>
              <w:ind w:left="20"/>
              <w:spacing w:after="0" w:line="178" w:lineRule="exact"/>
              <w:rPr>
                <w:sz w:val="20"/>
                <w:szCs w:val="20"/>
                <w:color w:val="auto"/>
              </w:rPr>
            </w:pPr>
            <w:r>
              <w:rPr>
                <w:rFonts w:ascii="Arial" w:cs="Arial" w:eastAsia="Arial" w:hAnsi="Arial"/>
                <w:sz w:val="16"/>
                <w:szCs w:val="16"/>
                <w:b w:val="1"/>
                <w:bCs w:val="1"/>
                <w:color w:val="FFFFFF"/>
              </w:rPr>
              <w:t>Acquisition cost</w:t>
            </w:r>
          </w:p>
        </w:tc>
        <w:tc>
          <w:tcPr>
            <w:tcW w:w="1200" w:type="dxa"/>
            <w:vAlign w:val="bottom"/>
            <w:tcBorders>
              <w:top w:val="single" w:sz="8" w:color="auto"/>
            </w:tcBorders>
            <w:shd w:val="clear" w:color="auto" w:fill="33CCCC"/>
          </w:tcPr>
          <w:p>
            <w:pPr>
              <w:spacing w:after="0"/>
              <w:rPr>
                <w:sz w:val="15"/>
                <w:szCs w:val="15"/>
                <w:color w:val="auto"/>
              </w:rPr>
            </w:pPr>
          </w:p>
        </w:tc>
        <w:tc>
          <w:tcPr>
            <w:tcW w:w="1140" w:type="dxa"/>
            <w:vAlign w:val="bottom"/>
            <w:tcBorders>
              <w:top w:val="single" w:sz="8" w:color="auto"/>
            </w:tcBorders>
            <w:shd w:val="clear" w:color="auto" w:fill="33CCCC"/>
          </w:tcPr>
          <w:p>
            <w:pPr>
              <w:jc w:val="right"/>
              <w:ind w:right="339"/>
              <w:spacing w:after="0" w:line="178" w:lineRule="exact"/>
              <w:rPr>
                <w:sz w:val="20"/>
                <w:szCs w:val="20"/>
                <w:color w:val="auto"/>
              </w:rPr>
            </w:pPr>
            <w:r>
              <w:rPr>
                <w:rFonts w:ascii="Arial" w:cs="Arial" w:eastAsia="Arial" w:hAnsi="Arial"/>
                <w:sz w:val="16"/>
                <w:szCs w:val="16"/>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5"/>
                <w:szCs w:val="15"/>
                <w:color w:val="auto"/>
              </w:rPr>
            </w:pPr>
          </w:p>
        </w:tc>
        <w:tc>
          <w:tcPr>
            <w:tcW w:w="2200" w:type="dxa"/>
            <w:vAlign w:val="bottom"/>
            <w:tcBorders>
              <w:top w:val="single" w:sz="8" w:color="auto"/>
              <w:right w:val="single" w:sz="8" w:color="auto"/>
            </w:tcBorders>
            <w:gridSpan w:val="2"/>
            <w:shd w:val="clear" w:color="auto" w:fill="33CCCC"/>
          </w:tcPr>
          <w:p>
            <w:pPr>
              <w:ind w:left="700"/>
              <w:spacing w:after="0" w:line="178" w:lineRule="exact"/>
              <w:rPr>
                <w:sz w:val="20"/>
                <w:szCs w:val="20"/>
                <w:color w:val="auto"/>
              </w:rPr>
            </w:pPr>
            <w:r>
              <w:rPr>
                <w:rFonts w:ascii="Arial" w:cs="Arial" w:eastAsia="Arial" w:hAnsi="Arial"/>
                <w:sz w:val="16"/>
                <w:szCs w:val="16"/>
                <w:b w:val="1"/>
                <w:bCs w:val="1"/>
                <w:color w:val="FFFFFF"/>
              </w:rPr>
              <w:t>% change</w:t>
            </w:r>
          </w:p>
        </w:tc>
        <w:tc>
          <w:tcPr>
            <w:tcW w:w="2220" w:type="dxa"/>
            <w:vAlign w:val="bottom"/>
            <w:tcBorders>
              <w:top w:val="single" w:sz="8" w:color="auto"/>
              <w:right w:val="single" w:sz="8" w:color="auto"/>
            </w:tcBorders>
            <w:gridSpan w:val="2"/>
            <w:shd w:val="clear" w:color="auto" w:fill="33CCCC"/>
          </w:tcPr>
          <w:p>
            <w:pPr>
              <w:jc w:val="right"/>
              <w:ind w:right="839"/>
              <w:spacing w:after="0" w:line="178" w:lineRule="exact"/>
              <w:rPr>
                <w:sz w:val="20"/>
                <w:szCs w:val="20"/>
                <w:color w:val="auto"/>
              </w:rPr>
            </w:pPr>
            <w:r>
              <w:rPr>
                <w:rFonts w:ascii="Arial" w:cs="Arial" w:eastAsia="Arial" w:hAnsi="Arial"/>
                <w:sz w:val="16"/>
                <w:szCs w:val="16"/>
                <w:b w:val="1"/>
                <w:bCs w:val="1"/>
                <w:color w:val="FFFFFF"/>
              </w:rPr>
              <w:t>As of</w:t>
            </w:r>
          </w:p>
        </w:tc>
        <w:tc>
          <w:tcPr>
            <w:tcW w:w="1100" w:type="dxa"/>
            <w:vAlign w:val="bottom"/>
            <w:tcBorders>
              <w:top w:val="single" w:sz="8" w:color="auto"/>
              <w:right w:val="single" w:sz="8" w:color="auto"/>
            </w:tcBorders>
            <w:shd w:val="clear" w:color="auto" w:fill="33CCCC"/>
          </w:tcPr>
          <w:p>
            <w:pPr>
              <w:ind w:left="160"/>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2460" w:type="dxa"/>
            <w:vAlign w:val="bottom"/>
            <w:tcBorders>
              <w:left w:val="single" w:sz="8" w:color="646464"/>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1200" w:type="dxa"/>
            <w:vAlign w:val="bottom"/>
            <w:tcBorders>
              <w:bottom w:val="single" w:sz="8" w:color="auto"/>
            </w:tcBorders>
            <w:shd w:val="clear" w:color="auto" w:fill="33CCCC"/>
          </w:tcPr>
          <w:p>
            <w:pPr>
              <w:jc w:val="right"/>
              <w:ind w:right="399"/>
              <w:spacing w:after="0"/>
              <w:rPr>
                <w:sz w:val="20"/>
                <w:szCs w:val="20"/>
                <w:color w:val="auto"/>
              </w:rPr>
            </w:pPr>
            <w:r>
              <w:rPr>
                <w:rFonts w:ascii="Arial" w:cs="Arial" w:eastAsia="Arial" w:hAnsi="Arial"/>
                <w:sz w:val="16"/>
                <w:szCs w:val="16"/>
                <w:b w:val="1"/>
                <w:bCs w:val="1"/>
                <w:color w:val="FFFFFF"/>
              </w:rPr>
              <w:t>2Q21</w:t>
            </w:r>
          </w:p>
        </w:tc>
        <w:tc>
          <w:tcPr>
            <w:tcW w:w="1140" w:type="dxa"/>
            <w:vAlign w:val="bottom"/>
            <w:tcBorders>
              <w:bottom w:val="single" w:sz="8" w:color="auto"/>
            </w:tcBorders>
            <w:shd w:val="clear" w:color="auto" w:fill="33CCCC"/>
          </w:tcPr>
          <w:p>
            <w:pPr>
              <w:jc w:val="right"/>
              <w:ind w:right="439"/>
              <w:spacing w:after="0"/>
              <w:rPr>
                <w:sz w:val="20"/>
                <w:szCs w:val="20"/>
                <w:color w:val="auto"/>
              </w:rPr>
            </w:pPr>
            <w:r>
              <w:rPr>
                <w:rFonts w:ascii="Arial" w:cs="Arial" w:eastAsia="Arial" w:hAnsi="Arial"/>
                <w:sz w:val="16"/>
                <w:szCs w:val="16"/>
                <w:b w:val="1"/>
                <w:bCs w:val="1"/>
                <w:color w:val="FFFFFF"/>
              </w:rPr>
              <w:t>1Q22</w:t>
            </w:r>
          </w:p>
        </w:tc>
        <w:tc>
          <w:tcPr>
            <w:tcW w:w="940" w:type="dxa"/>
            <w:vAlign w:val="bottom"/>
            <w:tcBorders>
              <w:bottom w:val="single" w:sz="8" w:color="auto"/>
              <w:right w:val="single" w:sz="8" w:color="auto"/>
            </w:tcBorders>
            <w:shd w:val="clear" w:color="auto" w:fill="33CCCC"/>
          </w:tcPr>
          <w:p>
            <w:pPr>
              <w:jc w:val="right"/>
              <w:ind w:right="279"/>
              <w:spacing w:after="0"/>
              <w:rPr>
                <w:sz w:val="20"/>
                <w:szCs w:val="20"/>
                <w:color w:val="auto"/>
              </w:rPr>
            </w:pPr>
            <w:r>
              <w:rPr>
                <w:rFonts w:ascii="Arial" w:cs="Arial" w:eastAsia="Arial" w:hAnsi="Arial"/>
                <w:sz w:val="16"/>
                <w:szCs w:val="16"/>
                <w:b w:val="1"/>
                <w:bCs w:val="1"/>
                <w:color w:val="FFFFFF"/>
              </w:rPr>
              <w:t>2Q22</w:t>
            </w:r>
          </w:p>
        </w:tc>
        <w:tc>
          <w:tcPr>
            <w:tcW w:w="108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6"/>
                <w:szCs w:val="16"/>
                <w:b w:val="1"/>
                <w:bCs w:val="1"/>
                <w:color w:val="FFFFFF"/>
              </w:rPr>
              <w:t>QoQ</w:t>
            </w:r>
          </w:p>
        </w:tc>
        <w:tc>
          <w:tcPr>
            <w:tcW w:w="1120" w:type="dxa"/>
            <w:vAlign w:val="bottom"/>
            <w:tcBorders>
              <w:bottom w:val="single" w:sz="8" w:color="auto"/>
              <w:right w:val="single" w:sz="8" w:color="auto"/>
            </w:tcBorders>
            <w:shd w:val="clear" w:color="auto" w:fill="33CCCC"/>
          </w:tcPr>
          <w:p>
            <w:pPr>
              <w:ind w:left="400"/>
              <w:spacing w:after="0"/>
              <w:rPr>
                <w:sz w:val="20"/>
                <w:szCs w:val="20"/>
                <w:color w:val="auto"/>
              </w:rPr>
            </w:pPr>
            <w:r>
              <w:rPr>
                <w:rFonts w:ascii="Arial" w:cs="Arial" w:eastAsia="Arial" w:hAnsi="Arial"/>
                <w:sz w:val="16"/>
                <w:szCs w:val="16"/>
                <w:b w:val="1"/>
                <w:bCs w:val="1"/>
                <w:color w:val="FFFFFF"/>
              </w:rPr>
              <w:t>YoY</w:t>
            </w:r>
          </w:p>
        </w:tc>
        <w:tc>
          <w:tcPr>
            <w:tcW w:w="1160" w:type="dxa"/>
            <w:vAlign w:val="bottom"/>
            <w:tcBorders>
              <w:bottom w:val="single" w:sz="8" w:color="auto"/>
            </w:tcBorders>
            <w:shd w:val="clear" w:color="auto" w:fill="33CCCC"/>
          </w:tcPr>
          <w:p>
            <w:pPr>
              <w:jc w:val="right"/>
              <w:ind w:right="199"/>
              <w:spacing w:after="0"/>
              <w:rPr>
                <w:sz w:val="20"/>
                <w:szCs w:val="20"/>
                <w:color w:val="auto"/>
              </w:rPr>
            </w:pPr>
            <w:r>
              <w:rPr>
                <w:rFonts w:ascii="Arial" w:cs="Arial" w:eastAsia="Arial" w:hAnsi="Arial"/>
                <w:sz w:val="16"/>
                <w:szCs w:val="16"/>
                <w:b w:val="1"/>
                <w:bCs w:val="1"/>
                <w:color w:val="FFFFFF"/>
              </w:rPr>
              <w:t>Jun 2021</w:t>
            </w:r>
          </w:p>
        </w:tc>
        <w:tc>
          <w:tcPr>
            <w:tcW w:w="1060" w:type="dxa"/>
            <w:vAlign w:val="bottom"/>
            <w:tcBorders>
              <w:bottom w:val="single" w:sz="8" w:color="auto"/>
              <w:right w:val="single" w:sz="8" w:color="auto"/>
            </w:tcBorders>
            <w:shd w:val="clear" w:color="auto" w:fill="33CCCC"/>
          </w:tcPr>
          <w:p>
            <w:pPr>
              <w:jc w:val="right"/>
              <w:ind w:right="159"/>
              <w:spacing w:after="0"/>
              <w:rPr>
                <w:sz w:val="20"/>
                <w:szCs w:val="20"/>
                <w:color w:val="auto"/>
              </w:rPr>
            </w:pPr>
            <w:r>
              <w:rPr>
                <w:rFonts w:ascii="Arial" w:cs="Arial" w:eastAsia="Arial" w:hAnsi="Arial"/>
                <w:sz w:val="16"/>
                <w:szCs w:val="16"/>
                <w:b w:val="1"/>
                <w:bCs w:val="1"/>
                <w:color w:val="FFFFFF"/>
              </w:rPr>
              <w:t>Jun 2022</w:t>
            </w:r>
          </w:p>
        </w:tc>
        <w:tc>
          <w:tcPr>
            <w:tcW w:w="11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2022 / 2021</w:t>
            </w:r>
          </w:p>
        </w:tc>
      </w:tr>
      <w:tr>
        <w:trPr>
          <w:trHeight w:val="158"/>
        </w:trPr>
        <w:tc>
          <w:tcPr>
            <w:tcW w:w="2460" w:type="dxa"/>
            <w:vAlign w:val="bottom"/>
            <w:tcBorders>
              <w:left w:val="single" w:sz="8" w:color="646464"/>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Net fees</w:t>
            </w: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color w:val="auto"/>
              </w:rPr>
              <w:t>(53,808)</w:t>
            </w:r>
          </w:p>
        </w:tc>
        <w:tc>
          <w:tcPr>
            <w:tcW w:w="1140" w:type="dxa"/>
            <w:vAlign w:val="bottom"/>
          </w:tcPr>
          <w:p>
            <w:pPr>
              <w:jc w:val="right"/>
              <w:ind w:right="99"/>
              <w:spacing w:after="0" w:line="158" w:lineRule="exact"/>
              <w:rPr>
                <w:sz w:val="20"/>
                <w:szCs w:val="20"/>
                <w:color w:val="auto"/>
              </w:rPr>
            </w:pPr>
            <w:r>
              <w:rPr>
                <w:rFonts w:ascii="Arial" w:cs="Arial" w:eastAsia="Arial" w:hAnsi="Arial"/>
                <w:sz w:val="16"/>
                <w:szCs w:val="16"/>
                <w:color w:val="auto"/>
              </w:rPr>
              <w:t>(39,875)</w:t>
            </w:r>
          </w:p>
        </w:tc>
        <w:tc>
          <w:tcPr>
            <w:tcW w:w="94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(39,352)</w:t>
            </w:r>
          </w:p>
        </w:tc>
        <w:tc>
          <w:tcPr>
            <w:tcW w:w="1080" w:type="dxa"/>
            <w:vAlign w:val="bottom"/>
          </w:tcPr>
          <w:p>
            <w:pPr>
              <w:jc w:val="center"/>
              <w:spacing w:after="0" w:line="158" w:lineRule="exact"/>
              <w:rPr>
                <w:sz w:val="20"/>
                <w:szCs w:val="20"/>
                <w:color w:val="auto"/>
              </w:rPr>
            </w:pPr>
            <w:r>
              <w:rPr>
                <w:rFonts w:ascii="Arial" w:cs="Arial" w:eastAsia="Arial" w:hAnsi="Arial"/>
                <w:sz w:val="16"/>
                <w:szCs w:val="16"/>
                <w:color w:val="auto"/>
              </w:rPr>
              <w:t>-1.3%</w:t>
            </w:r>
          </w:p>
        </w:tc>
        <w:tc>
          <w:tcPr>
            <w:tcW w:w="11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-26.9%</w:t>
            </w:r>
          </w:p>
        </w:tc>
        <w:tc>
          <w:tcPr>
            <w:tcW w:w="1160" w:type="dxa"/>
            <w:vAlign w:val="bottom"/>
          </w:tcPr>
          <w:p>
            <w:pPr>
              <w:jc w:val="right"/>
              <w:ind w:right="39"/>
              <w:spacing w:after="0" w:line="158" w:lineRule="exact"/>
              <w:rPr>
                <w:sz w:val="20"/>
                <w:szCs w:val="20"/>
                <w:color w:val="auto"/>
              </w:rPr>
            </w:pPr>
            <w:r>
              <w:rPr>
                <w:rFonts w:ascii="Arial" w:cs="Arial" w:eastAsia="Arial" w:hAnsi="Arial"/>
                <w:sz w:val="16"/>
                <w:szCs w:val="16"/>
                <w:color w:val="auto"/>
              </w:rPr>
              <w:t>(109,413)</w:t>
            </w:r>
          </w:p>
        </w:tc>
        <w:tc>
          <w:tcPr>
            <w:tcW w:w="10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(79,227)</w:t>
            </w:r>
          </w:p>
        </w:tc>
        <w:tc>
          <w:tcPr>
            <w:tcW w:w="11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-27.6%</w:t>
            </w:r>
          </w:p>
        </w:tc>
      </w:tr>
      <w:tr>
        <w:trPr>
          <w:trHeight w:val="183"/>
        </w:trPr>
        <w:tc>
          <w:tcPr>
            <w:tcW w:w="246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Underwriting expenses</w:t>
            </w:r>
          </w:p>
        </w:tc>
        <w:tc>
          <w:tcPr>
            <w:tcW w:w="12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(31,842)</w:t>
            </w:r>
          </w:p>
        </w:tc>
        <w:tc>
          <w:tcPr>
            <w:tcW w:w="114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(31,286)</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(27,943)</w:t>
            </w:r>
          </w:p>
        </w:tc>
        <w:tc>
          <w:tcPr>
            <w:tcW w:w="1080" w:type="dxa"/>
            <w:vAlign w:val="bottom"/>
          </w:tcPr>
          <w:p>
            <w:pPr>
              <w:jc w:val="center"/>
              <w:spacing w:after="0" w:line="183" w:lineRule="exact"/>
              <w:rPr>
                <w:sz w:val="20"/>
                <w:szCs w:val="20"/>
                <w:color w:val="auto"/>
              </w:rPr>
            </w:pPr>
            <w:r>
              <w:rPr>
                <w:rFonts w:ascii="Arial" w:cs="Arial" w:eastAsia="Arial" w:hAnsi="Arial"/>
                <w:sz w:val="16"/>
                <w:szCs w:val="16"/>
                <w:color w:val="auto"/>
              </w:rPr>
              <w:t>-10.7%</w:t>
            </w:r>
          </w:p>
        </w:tc>
        <w:tc>
          <w:tcPr>
            <w:tcW w:w="11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-12.2%</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(63,399)</w:t>
            </w:r>
          </w:p>
        </w:tc>
        <w:tc>
          <w:tcPr>
            <w:tcW w:w="10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(59,230)</w:t>
            </w:r>
          </w:p>
        </w:tc>
        <w:tc>
          <w:tcPr>
            <w:tcW w:w="11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-6.6%</w:t>
            </w:r>
          </w:p>
        </w:tc>
      </w:tr>
      <w:tr>
        <w:trPr>
          <w:trHeight w:val="199"/>
        </w:trPr>
        <w:tc>
          <w:tcPr>
            <w:tcW w:w="2460" w:type="dxa"/>
            <w:vAlign w:val="bottom"/>
            <w:tcBorders>
              <w:left w:val="single" w:sz="8" w:color="646464"/>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Underwriting income</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706</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678</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54.5%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48.5%</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2,045</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1,725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-15.6%</w:t>
            </w:r>
          </w:p>
        </w:tc>
      </w:tr>
      <w:tr>
        <w:trPr>
          <w:trHeight w:val="175"/>
        </w:trPr>
        <w:tc>
          <w:tcPr>
            <w:tcW w:w="2460" w:type="dxa"/>
            <w:vAlign w:val="bottom"/>
            <w:tcBorders>
              <w:left w:val="single" w:sz="8" w:color="646464"/>
              <w:bottom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rPr>
              <w:t>Acquisition cost</w:t>
            </w:r>
          </w:p>
        </w:tc>
        <w:tc>
          <w:tcPr>
            <w:tcW w:w="120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(84,944)</w:t>
            </w:r>
          </w:p>
        </w:tc>
        <w:tc>
          <w:tcPr>
            <w:tcW w:w="114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rPr>
              <w:t>(70,484)</w:t>
            </w:r>
          </w:p>
        </w:tc>
        <w:tc>
          <w:tcPr>
            <w:tcW w:w="94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(66,248)</w:t>
            </w:r>
          </w:p>
        </w:tc>
        <w:tc>
          <w:tcPr>
            <w:tcW w:w="10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-6.0%</w:t>
            </w:r>
          </w:p>
        </w:tc>
        <w:tc>
          <w:tcPr>
            <w:tcW w:w="112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-22.0%</w:t>
            </w:r>
          </w:p>
        </w:tc>
        <w:tc>
          <w:tcPr>
            <w:tcW w:w="116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b w:val="1"/>
                <w:bCs w:val="1"/>
                <w:color w:val="auto"/>
              </w:rPr>
              <w:t>(170,767)</w:t>
            </w:r>
          </w:p>
        </w:tc>
        <w:tc>
          <w:tcPr>
            <w:tcW w:w="10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(136,732)</w:t>
            </w:r>
          </w:p>
        </w:tc>
        <w:tc>
          <w:tcPr>
            <w:tcW w:w="11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-19.9%</w:t>
            </w:r>
          </w:p>
        </w:tc>
      </w:tr>
    </w:tbl>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Finally, the acquisition cost fell 6.0% QoQ, 22.0% YoY and 19.9% YTD. In the QoQ analysis, the decline is due primarily to a drop in underwriting expenses in the P &amp; C business, mainly in Cars due to a decrease in sales expenses for promotions. The aforementioned was partially attenuated by an increase in underwriting expenses in Life, and in Individual Life in particular. In the YoY and YTD analysis, the acquisition cost fell after a contract in the Alliance channel expired at thde end of 2021.</w:t>
      </w:r>
    </w:p>
    <w:p>
      <w:pPr>
        <w:spacing w:after="0" w:line="323"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6" w:name="page37"/>
    <w:bookmarkEnd w:id="3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08 </w:t>
      </w:r>
      <w:r>
        <w:rPr>
          <w:rFonts w:ascii="Times New Roman" w:cs="Times New Roman" w:eastAsia="Times New Roman" w:hAnsi="Times New Roman"/>
          <w:sz w:val="29"/>
          <w:szCs w:val="29"/>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564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655" cy="564515"/>
                    </a:xfrm>
                    <a:prstGeom prst="rect">
                      <a:avLst/>
                    </a:prstGeom>
                    <a:noFill/>
                  </pic:spPr>
                </pic:pic>
              </a:graphicData>
            </a:graphic>
          </wp:anchor>
        </w:drawing>
      </w:r>
    </w:p>
    <w:p>
      <w:pPr>
        <w:spacing w:after="0" w:line="318" w:lineRule="exact"/>
        <w:rPr>
          <w:sz w:val="20"/>
          <w:szCs w:val="20"/>
          <w:color w:val="auto"/>
        </w:rPr>
      </w:pPr>
    </w:p>
    <w:p>
      <w:pPr>
        <w:jc w:val="both"/>
        <w:ind w:left="123" w:right="120"/>
        <w:spacing w:after="0" w:line="258" w:lineRule="auto"/>
        <w:rPr>
          <w:sz w:val="20"/>
          <w:szCs w:val="20"/>
          <w:color w:val="auto"/>
        </w:rPr>
      </w:pPr>
      <w:r>
        <w:rPr>
          <w:rFonts w:ascii="Arial" w:cs="Arial" w:eastAsia="Arial" w:hAnsi="Arial"/>
          <w:sz w:val="16"/>
          <w:szCs w:val="16"/>
          <w:color w:val="FFFFFF"/>
        </w:rPr>
        <w:t>Operating expenses increased in core businesses as due to an uptick in administrative expenses, which was primarily associated with IT development and secondarily to un uptick in expenses for customer loyalty program due to higher transactionality. Growth in variable compensation reflects the fact that commercial targets were exceed this quarter. Finally, expenses related to disruptive initiatives continue to grow.</w:t>
      </w:r>
    </w:p>
    <w:p>
      <w:pPr>
        <w:spacing w:after="0" w:line="244"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3360" w:type="dxa"/>
            <w:vAlign w:val="bottom"/>
            <w:tcBorders>
              <w:top w:val="single" w:sz="8" w:color="auto"/>
              <w:left w:val="single" w:sz="8" w:color="646464"/>
              <w:right w:val="single" w:sz="8" w:color="auto"/>
            </w:tcBorders>
            <w:shd w:val="clear" w:color="auto" w:fill="33CCCC"/>
          </w:tcPr>
          <w:p>
            <w:pPr>
              <w:ind w:left="20"/>
              <w:spacing w:after="0" w:line="178" w:lineRule="exact"/>
              <w:rPr>
                <w:sz w:val="20"/>
                <w:szCs w:val="20"/>
                <w:color w:val="auto"/>
              </w:rPr>
            </w:pPr>
            <w:r>
              <w:rPr>
                <w:rFonts w:ascii="Arial" w:cs="Arial" w:eastAsia="Arial" w:hAnsi="Arial"/>
                <w:sz w:val="16"/>
                <w:szCs w:val="16"/>
                <w:b w:val="1"/>
                <w:bCs w:val="1"/>
                <w:color w:val="FFFFFF"/>
              </w:rPr>
              <w:t>Operating expenses</w:t>
            </w:r>
          </w:p>
        </w:tc>
        <w:tc>
          <w:tcPr>
            <w:tcW w:w="1080" w:type="dxa"/>
            <w:vAlign w:val="bottom"/>
            <w:tcBorders>
              <w:top w:val="single" w:sz="8" w:color="auto"/>
            </w:tcBorders>
            <w:shd w:val="clear" w:color="auto" w:fill="33CCCC"/>
          </w:tcPr>
          <w:p>
            <w:pPr>
              <w:spacing w:after="0"/>
              <w:rPr>
                <w:sz w:val="15"/>
                <w:szCs w:val="15"/>
                <w:color w:val="auto"/>
              </w:rPr>
            </w:pPr>
          </w:p>
        </w:tc>
        <w:tc>
          <w:tcPr>
            <w:tcW w:w="1040" w:type="dxa"/>
            <w:vAlign w:val="bottom"/>
            <w:tcBorders>
              <w:top w:val="single" w:sz="8" w:color="auto"/>
            </w:tcBorders>
            <w:shd w:val="clear" w:color="auto" w:fill="33CCCC"/>
          </w:tcPr>
          <w:p>
            <w:pPr>
              <w:jc w:val="right"/>
              <w:ind w:right="259"/>
              <w:spacing w:after="0" w:line="178"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shd w:val="clear" w:color="auto" w:fill="33CCCC"/>
          </w:tcPr>
          <w:p>
            <w:pPr>
              <w:spacing w:after="0"/>
              <w:rPr>
                <w:sz w:val="15"/>
                <w:szCs w:val="15"/>
                <w:color w:val="auto"/>
              </w:rPr>
            </w:pPr>
          </w:p>
        </w:tc>
        <w:tc>
          <w:tcPr>
            <w:tcW w:w="1700" w:type="dxa"/>
            <w:vAlign w:val="bottom"/>
            <w:tcBorders>
              <w:top w:val="single" w:sz="8" w:color="auto"/>
              <w:right w:val="single" w:sz="8" w:color="auto"/>
            </w:tcBorders>
            <w:gridSpan w:val="2"/>
            <w:shd w:val="clear" w:color="auto" w:fill="33CCCC"/>
          </w:tcPr>
          <w:p>
            <w:pPr>
              <w:ind w:left="460"/>
              <w:spacing w:after="0" w:line="178" w:lineRule="exact"/>
              <w:rPr>
                <w:sz w:val="20"/>
                <w:szCs w:val="20"/>
                <w:color w:val="auto"/>
              </w:rPr>
            </w:pPr>
            <w:r>
              <w:rPr>
                <w:rFonts w:ascii="Arial" w:cs="Arial" w:eastAsia="Arial" w:hAnsi="Arial"/>
                <w:sz w:val="16"/>
                <w:szCs w:val="16"/>
                <w:b w:val="1"/>
                <w:bCs w:val="1"/>
                <w:color w:val="FFFFFF"/>
              </w:rPr>
              <w:t>% change</w:t>
            </w:r>
          </w:p>
        </w:tc>
        <w:tc>
          <w:tcPr>
            <w:tcW w:w="1220" w:type="dxa"/>
            <w:vAlign w:val="bottom"/>
            <w:tcBorders>
              <w:top w:val="single" w:sz="8" w:color="auto"/>
            </w:tcBorders>
            <w:shd w:val="clear" w:color="auto" w:fill="33CCCC"/>
          </w:tcPr>
          <w:p>
            <w:pPr>
              <w:jc w:val="right"/>
              <w:spacing w:after="0" w:line="178" w:lineRule="exact"/>
              <w:rPr>
                <w:sz w:val="20"/>
                <w:szCs w:val="20"/>
                <w:color w:val="auto"/>
              </w:rPr>
            </w:pPr>
            <w:r>
              <w:rPr>
                <w:rFonts w:ascii="Arial" w:cs="Arial" w:eastAsia="Arial" w:hAnsi="Arial"/>
                <w:sz w:val="16"/>
                <w:szCs w:val="16"/>
                <w:b w:val="1"/>
                <w:bCs w:val="1"/>
                <w:color w:val="FFFFFF"/>
              </w:rPr>
              <w:t>As of</w:t>
            </w:r>
          </w:p>
        </w:tc>
        <w:tc>
          <w:tcPr>
            <w:tcW w:w="800" w:type="dxa"/>
            <w:vAlign w:val="bottom"/>
            <w:tcBorders>
              <w:top w:val="single" w:sz="8" w:color="auto"/>
              <w:right w:val="single" w:sz="8" w:color="auto"/>
            </w:tcBorders>
            <w:shd w:val="clear" w:color="auto" w:fill="33CCCC"/>
          </w:tcPr>
          <w:p>
            <w:pPr>
              <w:spacing w:after="0"/>
              <w:rPr>
                <w:sz w:val="15"/>
                <w:szCs w:val="15"/>
                <w:color w:val="auto"/>
              </w:rPr>
            </w:pPr>
          </w:p>
        </w:tc>
        <w:tc>
          <w:tcPr>
            <w:tcW w:w="118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3360" w:type="dxa"/>
            <w:vAlign w:val="bottom"/>
            <w:tcBorders>
              <w:left w:val="single" w:sz="8" w:color="646464"/>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1080" w:type="dxa"/>
            <w:vAlign w:val="bottom"/>
            <w:tcBorders>
              <w:bottom w:val="single" w:sz="8" w:color="auto"/>
            </w:tcBorders>
            <w:shd w:val="clear" w:color="auto" w:fill="33CCCC"/>
          </w:tcPr>
          <w:p>
            <w:pPr>
              <w:jc w:val="right"/>
              <w:ind w:right="319"/>
              <w:spacing w:after="0"/>
              <w:rPr>
                <w:sz w:val="20"/>
                <w:szCs w:val="20"/>
                <w:color w:val="auto"/>
              </w:rPr>
            </w:pPr>
            <w:r>
              <w:rPr>
                <w:rFonts w:ascii="Arial" w:cs="Arial" w:eastAsia="Arial" w:hAnsi="Arial"/>
                <w:sz w:val="16"/>
                <w:szCs w:val="16"/>
                <w:b w:val="1"/>
                <w:bCs w:val="1"/>
                <w:color w:val="FFFFFF"/>
              </w:rPr>
              <w:t>2Q21</w:t>
            </w:r>
          </w:p>
        </w:tc>
        <w:tc>
          <w:tcPr>
            <w:tcW w:w="1040" w:type="dxa"/>
            <w:vAlign w:val="bottom"/>
            <w:tcBorders>
              <w:bottom w:val="single" w:sz="8" w:color="auto"/>
            </w:tcBorders>
            <w:shd w:val="clear" w:color="auto" w:fill="33CCCC"/>
          </w:tcPr>
          <w:p>
            <w:pPr>
              <w:jc w:val="right"/>
              <w:ind w:right="359"/>
              <w:spacing w:after="0"/>
              <w:rPr>
                <w:sz w:val="20"/>
                <w:szCs w:val="20"/>
                <w:color w:val="auto"/>
              </w:rPr>
            </w:pPr>
            <w:r>
              <w:rPr>
                <w:rFonts w:ascii="Arial" w:cs="Arial" w:eastAsia="Arial" w:hAnsi="Arial"/>
                <w:sz w:val="16"/>
                <w:szCs w:val="16"/>
                <w:b w:val="1"/>
                <w:bCs w:val="1"/>
                <w:color w:val="FFFFFF"/>
              </w:rPr>
              <w:t>1Q22</w:t>
            </w:r>
          </w:p>
        </w:tc>
        <w:tc>
          <w:tcPr>
            <w:tcW w:w="880" w:type="dxa"/>
            <w:vAlign w:val="bottom"/>
            <w:tcBorders>
              <w:bottom w:val="single" w:sz="8" w:color="auto"/>
              <w:right w:val="single" w:sz="8" w:color="auto"/>
            </w:tcBorders>
            <w:shd w:val="clear" w:color="auto" w:fill="33CCCC"/>
          </w:tcPr>
          <w:p>
            <w:pPr>
              <w:jc w:val="right"/>
              <w:ind w:right="239"/>
              <w:spacing w:after="0"/>
              <w:rPr>
                <w:sz w:val="20"/>
                <w:szCs w:val="20"/>
                <w:color w:val="auto"/>
              </w:rPr>
            </w:pPr>
            <w:r>
              <w:rPr>
                <w:rFonts w:ascii="Arial" w:cs="Arial" w:eastAsia="Arial" w:hAnsi="Arial"/>
                <w:sz w:val="16"/>
                <w:szCs w:val="16"/>
                <w:b w:val="1"/>
                <w:bCs w:val="1"/>
                <w:color w:val="FFFFFF"/>
              </w:rPr>
              <w:t>2Q22</w:t>
            </w:r>
          </w:p>
        </w:tc>
        <w:tc>
          <w:tcPr>
            <w:tcW w:w="8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6"/>
                <w:szCs w:val="16"/>
                <w:b w:val="1"/>
                <w:bCs w:val="1"/>
                <w:color w:val="FFFFFF"/>
              </w:rPr>
              <w:t>QoQ</w:t>
            </w:r>
          </w:p>
        </w:tc>
        <w:tc>
          <w:tcPr>
            <w:tcW w:w="88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6"/>
                <w:szCs w:val="16"/>
                <w:b w:val="1"/>
                <w:bCs w:val="1"/>
                <w:color w:val="FFFFFF"/>
              </w:rPr>
              <w:t>YoY</w:t>
            </w:r>
          </w:p>
        </w:tc>
        <w:tc>
          <w:tcPr>
            <w:tcW w:w="1220" w:type="dxa"/>
            <w:vAlign w:val="bottom"/>
            <w:tcBorders>
              <w:bottom w:val="single" w:sz="8" w:color="auto"/>
            </w:tcBorders>
            <w:shd w:val="clear" w:color="auto" w:fill="33CCCC"/>
          </w:tcPr>
          <w:p>
            <w:pPr>
              <w:jc w:val="right"/>
              <w:ind w:right="379"/>
              <w:spacing w:after="0"/>
              <w:rPr>
                <w:sz w:val="20"/>
                <w:szCs w:val="20"/>
                <w:color w:val="auto"/>
              </w:rPr>
            </w:pPr>
            <w:r>
              <w:rPr>
                <w:rFonts w:ascii="Arial" w:cs="Arial" w:eastAsia="Arial" w:hAnsi="Arial"/>
                <w:sz w:val="16"/>
                <w:szCs w:val="16"/>
                <w:b w:val="1"/>
                <w:bCs w:val="1"/>
                <w:color w:val="FFFFFF"/>
              </w:rPr>
              <w:t>Jun 21</w:t>
            </w:r>
          </w:p>
        </w:tc>
        <w:tc>
          <w:tcPr>
            <w:tcW w:w="800" w:type="dxa"/>
            <w:vAlign w:val="bottom"/>
            <w:tcBorders>
              <w:bottom w:val="single" w:sz="8" w:color="auto"/>
              <w:right w:val="single" w:sz="8" w:color="auto"/>
            </w:tcBorders>
            <w:shd w:val="clear" w:color="auto" w:fill="33CCCC"/>
          </w:tcPr>
          <w:p>
            <w:pPr>
              <w:jc w:val="right"/>
              <w:ind w:right="179"/>
              <w:spacing w:after="0"/>
              <w:rPr>
                <w:sz w:val="20"/>
                <w:szCs w:val="20"/>
                <w:color w:val="auto"/>
              </w:rPr>
            </w:pPr>
            <w:r>
              <w:rPr>
                <w:rFonts w:ascii="Arial" w:cs="Arial" w:eastAsia="Arial" w:hAnsi="Arial"/>
                <w:sz w:val="16"/>
                <w:szCs w:val="16"/>
                <w:b w:val="1"/>
                <w:bCs w:val="1"/>
                <w:color w:val="FFFFFF"/>
              </w:rPr>
              <w:t>Jun 22</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58"/>
        </w:trPr>
        <w:tc>
          <w:tcPr>
            <w:tcW w:w="3360" w:type="dxa"/>
            <w:vAlign w:val="bottom"/>
            <w:tcBorders>
              <w:left w:val="single" w:sz="8" w:color="646464"/>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Salaries and employees benefits</w:t>
            </w:r>
          </w:p>
        </w:tc>
        <w:tc>
          <w:tcPr>
            <w:tcW w:w="1080" w:type="dxa"/>
            <w:vAlign w:val="bottom"/>
          </w:tcPr>
          <w:p>
            <w:pPr>
              <w:jc w:val="right"/>
              <w:ind w:right="19"/>
              <w:spacing w:after="0" w:line="158" w:lineRule="exact"/>
              <w:rPr>
                <w:sz w:val="20"/>
                <w:szCs w:val="20"/>
                <w:color w:val="auto"/>
              </w:rPr>
            </w:pPr>
            <w:r>
              <w:rPr>
                <w:rFonts w:ascii="Arial" w:cs="Arial" w:eastAsia="Arial" w:hAnsi="Arial"/>
                <w:sz w:val="16"/>
                <w:szCs w:val="16"/>
                <w:color w:val="auto"/>
              </w:rPr>
              <w:t>882,177</w:t>
            </w:r>
          </w:p>
        </w:tc>
        <w:tc>
          <w:tcPr>
            <w:tcW w:w="1040" w:type="dxa"/>
            <w:vAlign w:val="bottom"/>
          </w:tcPr>
          <w:p>
            <w:pPr>
              <w:jc w:val="right"/>
              <w:ind w:right="59"/>
              <w:spacing w:after="0" w:line="158" w:lineRule="exact"/>
              <w:rPr>
                <w:sz w:val="20"/>
                <w:szCs w:val="20"/>
                <w:color w:val="auto"/>
              </w:rPr>
            </w:pPr>
            <w:r>
              <w:rPr>
                <w:rFonts w:ascii="Arial" w:cs="Arial" w:eastAsia="Arial" w:hAnsi="Arial"/>
                <w:sz w:val="16"/>
                <w:szCs w:val="16"/>
                <w:color w:val="auto"/>
              </w:rPr>
              <w:t>977,953</w:t>
            </w:r>
          </w:p>
        </w:tc>
        <w:tc>
          <w:tcPr>
            <w:tcW w:w="88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975,420</w:t>
            </w:r>
          </w:p>
        </w:tc>
        <w:tc>
          <w:tcPr>
            <w:tcW w:w="820" w:type="dxa"/>
            <w:vAlign w:val="bottom"/>
          </w:tcPr>
          <w:p>
            <w:pPr>
              <w:jc w:val="center"/>
              <w:spacing w:after="0" w:line="158" w:lineRule="exact"/>
              <w:rPr>
                <w:sz w:val="20"/>
                <w:szCs w:val="20"/>
                <w:color w:val="auto"/>
              </w:rPr>
            </w:pPr>
            <w:r>
              <w:rPr>
                <w:rFonts w:ascii="Arial" w:cs="Arial" w:eastAsia="Arial" w:hAnsi="Arial"/>
                <w:sz w:val="16"/>
                <w:szCs w:val="16"/>
                <w:color w:val="auto"/>
              </w:rPr>
              <w:t>-0.3%</w:t>
            </w:r>
          </w:p>
        </w:tc>
        <w:tc>
          <w:tcPr>
            <w:tcW w:w="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10.6%</w:t>
            </w:r>
          </w:p>
        </w:tc>
        <w:tc>
          <w:tcPr>
            <w:tcW w:w="1220" w:type="dxa"/>
            <w:vAlign w:val="bottom"/>
          </w:tcPr>
          <w:p>
            <w:pPr>
              <w:jc w:val="right"/>
              <w:ind w:right="159"/>
              <w:spacing w:after="0" w:line="158" w:lineRule="exact"/>
              <w:rPr>
                <w:sz w:val="20"/>
                <w:szCs w:val="20"/>
                <w:color w:val="auto"/>
              </w:rPr>
            </w:pPr>
            <w:r>
              <w:rPr>
                <w:rFonts w:ascii="Arial" w:cs="Arial" w:eastAsia="Arial" w:hAnsi="Arial"/>
                <w:sz w:val="16"/>
                <w:szCs w:val="16"/>
                <w:color w:val="auto"/>
              </w:rPr>
              <w:t>1,739,736</w:t>
            </w:r>
          </w:p>
        </w:tc>
        <w:tc>
          <w:tcPr>
            <w:tcW w:w="80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1,953,373</w:t>
            </w:r>
          </w:p>
        </w:tc>
        <w:tc>
          <w:tcPr>
            <w:tcW w:w="11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12.3%</w:t>
            </w:r>
          </w:p>
        </w:tc>
      </w:tr>
      <w:tr>
        <w:trPr>
          <w:trHeight w:val="183"/>
        </w:trPr>
        <w:tc>
          <w:tcPr>
            <w:tcW w:w="336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Administrative, general and tax expenses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672,805</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725,539</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850,972</w:t>
            </w:r>
          </w:p>
        </w:tc>
        <w:tc>
          <w:tcPr>
            <w:tcW w:w="820" w:type="dxa"/>
            <w:vAlign w:val="bottom"/>
          </w:tcPr>
          <w:p>
            <w:pPr>
              <w:jc w:val="center"/>
              <w:spacing w:after="0" w:line="183" w:lineRule="exact"/>
              <w:rPr>
                <w:sz w:val="20"/>
                <w:szCs w:val="20"/>
                <w:color w:val="auto"/>
              </w:rPr>
            </w:pPr>
            <w:r>
              <w:rPr>
                <w:rFonts w:ascii="Arial" w:cs="Arial" w:eastAsia="Arial" w:hAnsi="Arial"/>
                <w:sz w:val="16"/>
                <w:szCs w:val="16"/>
                <w:color w:val="auto"/>
              </w:rPr>
              <w:t>17.3%</w:t>
            </w:r>
          </w:p>
        </w:tc>
        <w:tc>
          <w:tcPr>
            <w:tcW w:w="8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26.5%</w:t>
            </w:r>
          </w:p>
        </w:tc>
        <w:tc>
          <w:tcPr>
            <w:tcW w:w="12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1,253,647</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1,576,511</w:t>
            </w:r>
          </w:p>
        </w:tc>
        <w:tc>
          <w:tcPr>
            <w:tcW w:w="11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25.8%</w:t>
            </w:r>
          </w:p>
        </w:tc>
      </w:tr>
      <w:tr>
        <w:trPr>
          <w:trHeight w:val="183"/>
        </w:trPr>
        <w:tc>
          <w:tcPr>
            <w:tcW w:w="336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Depreciation and amortization</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163,869</w:t>
            </w:r>
          </w:p>
        </w:tc>
        <w:tc>
          <w:tcPr>
            <w:tcW w:w="10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164,514</w:t>
            </w:r>
          </w:p>
        </w:tc>
        <w:tc>
          <w:tcPr>
            <w:tcW w:w="8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168,845</w:t>
            </w:r>
          </w:p>
        </w:tc>
        <w:tc>
          <w:tcPr>
            <w:tcW w:w="820" w:type="dxa"/>
            <w:vAlign w:val="bottom"/>
          </w:tcPr>
          <w:p>
            <w:pPr>
              <w:jc w:val="center"/>
              <w:spacing w:after="0" w:line="183" w:lineRule="exact"/>
              <w:rPr>
                <w:sz w:val="20"/>
                <w:szCs w:val="20"/>
                <w:color w:val="auto"/>
              </w:rPr>
            </w:pPr>
            <w:r>
              <w:rPr>
                <w:rFonts w:ascii="Arial" w:cs="Arial" w:eastAsia="Arial" w:hAnsi="Arial"/>
                <w:sz w:val="16"/>
                <w:szCs w:val="16"/>
                <w:color w:val="auto"/>
                <w:w w:val="98"/>
              </w:rPr>
              <w:t>2.6%</w:t>
            </w:r>
          </w:p>
        </w:tc>
        <w:tc>
          <w:tcPr>
            <w:tcW w:w="8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3.0%</w:t>
            </w:r>
          </w:p>
        </w:tc>
        <w:tc>
          <w:tcPr>
            <w:tcW w:w="12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330,634</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333,359</w:t>
            </w:r>
          </w:p>
        </w:tc>
        <w:tc>
          <w:tcPr>
            <w:tcW w:w="11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0.8%</w:t>
            </w:r>
          </w:p>
        </w:tc>
      </w:tr>
      <w:tr>
        <w:trPr>
          <w:trHeight w:val="175"/>
        </w:trPr>
        <w:tc>
          <w:tcPr>
            <w:tcW w:w="3360" w:type="dxa"/>
            <w:vAlign w:val="bottom"/>
            <w:tcBorders>
              <w:left w:val="single" w:sz="8" w:color="646464"/>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Association in participation</w:t>
            </w:r>
          </w:p>
        </w:tc>
        <w:tc>
          <w:tcPr>
            <w:tcW w:w="1080" w:type="dxa"/>
            <w:vAlign w:val="bottom"/>
          </w:tcPr>
          <w:p>
            <w:pPr>
              <w:jc w:val="right"/>
              <w:ind w:right="19"/>
              <w:spacing w:after="0" w:line="175" w:lineRule="exact"/>
              <w:rPr>
                <w:sz w:val="20"/>
                <w:szCs w:val="20"/>
                <w:color w:val="auto"/>
              </w:rPr>
            </w:pPr>
            <w:r>
              <w:rPr>
                <w:rFonts w:ascii="Arial" w:cs="Arial" w:eastAsia="Arial" w:hAnsi="Arial"/>
                <w:sz w:val="16"/>
                <w:szCs w:val="16"/>
                <w:color w:val="auto"/>
              </w:rPr>
              <w:t>8,879</w:t>
            </w:r>
          </w:p>
        </w:tc>
        <w:tc>
          <w:tcPr>
            <w:tcW w:w="1040" w:type="dxa"/>
            <w:vAlign w:val="bottom"/>
          </w:tcPr>
          <w:p>
            <w:pPr>
              <w:jc w:val="right"/>
              <w:ind w:right="59"/>
              <w:spacing w:after="0" w:line="175" w:lineRule="exact"/>
              <w:rPr>
                <w:sz w:val="20"/>
                <w:szCs w:val="20"/>
                <w:color w:val="auto"/>
              </w:rPr>
            </w:pPr>
            <w:r>
              <w:rPr>
                <w:rFonts w:ascii="Arial" w:cs="Arial" w:eastAsia="Arial" w:hAnsi="Arial"/>
                <w:sz w:val="16"/>
                <w:szCs w:val="16"/>
                <w:color w:val="auto"/>
              </w:rPr>
              <w:t>7,691</w:t>
            </w:r>
          </w:p>
        </w:tc>
        <w:tc>
          <w:tcPr>
            <w:tcW w:w="8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10,329</w:t>
            </w:r>
          </w:p>
        </w:tc>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rPr>
              <w:t>34.3%</w:t>
            </w:r>
          </w:p>
        </w:tc>
        <w:tc>
          <w:tcPr>
            <w:tcW w:w="8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16.3%</w:t>
            </w:r>
          </w:p>
        </w:tc>
        <w:tc>
          <w:tcPr>
            <w:tcW w:w="122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22,785</w:t>
            </w:r>
          </w:p>
        </w:tc>
        <w:tc>
          <w:tcPr>
            <w:tcW w:w="8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18,020</w:t>
            </w:r>
          </w:p>
        </w:tc>
        <w:tc>
          <w:tcPr>
            <w:tcW w:w="11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-20.9%</w:t>
            </w:r>
          </w:p>
        </w:tc>
      </w:tr>
      <w:tr>
        <w:trPr>
          <w:trHeight w:val="208"/>
        </w:trPr>
        <w:tc>
          <w:tcPr>
            <w:tcW w:w="3360" w:type="dxa"/>
            <w:vAlign w:val="bottom"/>
            <w:tcBorders>
              <w:left w:val="single" w:sz="8" w:color="646464"/>
              <w:bottom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Acquisition cost </w:t>
            </w:r>
            <w:r>
              <w:rPr>
                <w:rFonts w:ascii="Arial" w:cs="Arial" w:eastAsia="Arial" w:hAnsi="Arial"/>
                <w:sz w:val="24"/>
                <w:szCs w:val="24"/>
                <w:color w:val="auto"/>
                <w:vertAlign w:val="superscript"/>
              </w:rPr>
              <w:t>(1)</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84,944</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70,484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66,247</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-22.0%</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170,766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136,731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-19.9%</w:t>
            </w:r>
          </w:p>
        </w:tc>
      </w:tr>
      <w:tr>
        <w:trPr>
          <w:trHeight w:val="175"/>
        </w:trPr>
        <w:tc>
          <w:tcPr>
            <w:tcW w:w="3360" w:type="dxa"/>
            <w:vAlign w:val="bottom"/>
            <w:tcBorders>
              <w:left w:val="single" w:sz="8" w:color="646464"/>
              <w:bottom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1,812,674</w:t>
            </w:r>
          </w:p>
        </w:tc>
        <w:tc>
          <w:tcPr>
            <w:tcW w:w="104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color w:val="auto"/>
              </w:rPr>
              <w:t>1,946,181</w:t>
            </w:r>
          </w:p>
        </w:tc>
        <w:tc>
          <w:tcPr>
            <w:tcW w:w="88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2,071,813</w:t>
            </w:r>
          </w:p>
        </w:tc>
        <w:tc>
          <w:tcPr>
            <w:tcW w:w="8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w w:val="98"/>
              </w:rPr>
              <w:t>6.5%</w:t>
            </w:r>
          </w:p>
        </w:tc>
        <w:tc>
          <w:tcPr>
            <w:tcW w:w="8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14.3%</w:t>
            </w:r>
          </w:p>
        </w:tc>
        <w:tc>
          <w:tcPr>
            <w:tcW w:w="1220" w:type="dxa"/>
            <w:vAlign w:val="bottom"/>
            <w:tcBorders>
              <w:bottom w:val="single" w:sz="8" w:color="auto"/>
            </w:tcBorders>
          </w:tcPr>
          <w:p>
            <w:pPr>
              <w:jc w:val="right"/>
              <w:ind w:right="159"/>
              <w:spacing w:after="0" w:line="175" w:lineRule="exact"/>
              <w:rPr>
                <w:sz w:val="20"/>
                <w:szCs w:val="20"/>
                <w:color w:val="auto"/>
              </w:rPr>
            </w:pPr>
            <w:r>
              <w:rPr>
                <w:rFonts w:ascii="Arial" w:cs="Arial" w:eastAsia="Arial" w:hAnsi="Arial"/>
                <w:sz w:val="16"/>
                <w:szCs w:val="16"/>
                <w:color w:val="auto"/>
              </w:rPr>
              <w:t>3,517,568</w:t>
            </w:r>
          </w:p>
        </w:tc>
        <w:tc>
          <w:tcPr>
            <w:tcW w:w="80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4,017,994</w:t>
            </w:r>
          </w:p>
        </w:tc>
        <w:tc>
          <w:tcPr>
            <w:tcW w:w="11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14.2%</w:t>
            </w:r>
          </w:p>
        </w:tc>
      </w:tr>
    </w:tbl>
    <w:p>
      <w:pPr>
        <w:spacing w:after="0" w:line="212" w:lineRule="exact"/>
        <w:rPr>
          <w:sz w:val="20"/>
          <w:szCs w:val="20"/>
          <w:color w:val="auto"/>
        </w:rPr>
      </w:pPr>
    </w:p>
    <w:p>
      <w:pPr>
        <w:ind w:left="343" w:hanging="343"/>
        <w:spacing w:after="0"/>
        <w:tabs>
          <w:tab w:leader="none" w:pos="343"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acquisition cost of Pacifico includes net fees and underwriting expenses.</w:t>
      </w:r>
    </w:p>
    <w:p>
      <w:pPr>
        <w:spacing w:after="0" w:line="2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For the expenses analysis, YoY and YTD movements will be taken into account in order to eliminate seasonal effects between quarters.</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Operating expenses continue to rise due to:</w:t>
      </w:r>
    </w:p>
    <w:p>
      <w:pPr>
        <w:spacing w:after="0" w:line="230" w:lineRule="exact"/>
        <w:rPr>
          <w:sz w:val="20"/>
          <w:szCs w:val="20"/>
          <w:color w:val="auto"/>
        </w:rPr>
      </w:pPr>
    </w:p>
    <w:p>
      <w:pPr>
        <w:ind w:left="583" w:right="20" w:hanging="290"/>
        <w:spacing w:after="0" w:line="248" w:lineRule="auto"/>
        <w:tabs>
          <w:tab w:leader="none" w:pos="5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Growth in </w:t>
      </w:r>
      <w:r>
        <w:rPr>
          <w:rFonts w:ascii="Arial" w:cs="Arial" w:eastAsia="Arial" w:hAnsi="Arial"/>
          <w:sz w:val="16"/>
          <w:szCs w:val="16"/>
          <w:b w:val="1"/>
          <w:bCs w:val="1"/>
          <w:color w:val="auto"/>
        </w:rPr>
        <w:t>Administrative and general expenses and taxes,</w:t>
      </w:r>
      <w:r>
        <w:rPr>
          <w:rFonts w:ascii="Arial" w:cs="Arial" w:eastAsia="Arial" w:hAnsi="Arial"/>
          <w:sz w:val="16"/>
          <w:szCs w:val="16"/>
          <w:color w:val="auto"/>
        </w:rPr>
        <w:t xml:space="preserve"> which was attributable to growth in IT expenses related to the digital transformation strategy, and to an increase in transactional expenses in a context marked by economic reactivation and an uptick in consumption; and</w:t>
      </w:r>
    </w:p>
    <w:p>
      <w:pPr>
        <w:spacing w:after="0" w:line="1" w:lineRule="exact"/>
        <w:rPr>
          <w:rFonts w:ascii="Arial" w:cs="Arial" w:eastAsia="Arial" w:hAnsi="Arial"/>
          <w:sz w:val="16"/>
          <w:szCs w:val="16"/>
          <w:color w:val="auto"/>
        </w:rPr>
      </w:pPr>
    </w:p>
    <w:p>
      <w:pPr>
        <w:ind w:left="583" w:right="20" w:hanging="290"/>
        <w:spacing w:after="0" w:line="257" w:lineRule="auto"/>
        <w:tabs>
          <w:tab w:leader="none" w:pos="5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Increase in </w:t>
      </w:r>
      <w:r>
        <w:rPr>
          <w:rFonts w:ascii="Arial" w:cs="Arial" w:eastAsia="Arial" w:hAnsi="Arial"/>
          <w:sz w:val="16"/>
          <w:szCs w:val="16"/>
          <w:b w:val="1"/>
          <w:bCs w:val="1"/>
          <w:color w:val="auto"/>
        </w:rPr>
        <w:t>Salaries and Employee benefits</w:t>
      </w:r>
      <w:r>
        <w:rPr>
          <w:rFonts w:ascii="Arial" w:cs="Arial" w:eastAsia="Arial" w:hAnsi="Arial"/>
          <w:sz w:val="16"/>
          <w:szCs w:val="16"/>
          <w:color w:val="auto"/>
        </w:rPr>
        <w:t>, after more provisions were set aside for earnings this quarter. Variable compensation rose after commercial targets for the quarter were exceeded.</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Administrative and general expenses and taxes</w:t>
      </w:r>
    </w:p>
    <w:p>
      <w:pPr>
        <w:spacing w:after="0" w:line="25" w:lineRule="exact"/>
        <w:rPr>
          <w:sz w:val="20"/>
          <w:szCs w:val="20"/>
          <w:color w:val="auto"/>
        </w:rPr>
      </w:pPr>
    </w:p>
    <w:tbl>
      <w:tblPr>
        <w:tblLayout w:type="fixed"/>
        <w:tblInd w:w="13" w:type="dxa"/>
        <w:tblCellMar>
          <w:top w:w="0" w:type="dxa"/>
          <w:left w:w="0" w:type="dxa"/>
          <w:bottom w:w="0" w:type="dxa"/>
          <w:right w:w="0" w:type="dxa"/>
        </w:tblCellMar>
      </w:tblPr>
      <w:tr>
        <w:trPr>
          <w:trHeight w:val="158"/>
        </w:trPr>
        <w:tc>
          <w:tcPr>
            <w:tcW w:w="3740" w:type="dxa"/>
            <w:vAlign w:val="bottom"/>
            <w:tcBorders>
              <w:top w:val="single" w:sz="8" w:color="auto"/>
              <w:left w:val="single" w:sz="8" w:color="auto"/>
              <w:right w:val="single" w:sz="8" w:color="auto"/>
            </w:tcBorders>
            <w:shd w:val="clear" w:color="auto" w:fill="33CCCC"/>
          </w:tcPr>
          <w:p>
            <w:pPr>
              <w:spacing w:after="0" w:line="158" w:lineRule="exact"/>
              <w:rPr>
                <w:sz w:val="20"/>
                <w:szCs w:val="20"/>
                <w:color w:val="auto"/>
              </w:rPr>
            </w:pPr>
            <w:r>
              <w:rPr>
                <w:rFonts w:ascii="Arial" w:cs="Arial" w:eastAsia="Arial" w:hAnsi="Arial"/>
                <w:sz w:val="16"/>
                <w:szCs w:val="16"/>
                <w:b w:val="1"/>
                <w:bCs w:val="1"/>
                <w:color w:val="FFFFFF"/>
              </w:rPr>
              <w:t>Administrative and general expenses</w:t>
            </w:r>
          </w:p>
        </w:tc>
        <w:tc>
          <w:tcPr>
            <w:tcW w:w="880" w:type="dxa"/>
            <w:vAlign w:val="bottom"/>
            <w:tcBorders>
              <w:top w:val="single" w:sz="8" w:color="auto"/>
            </w:tcBorders>
            <w:shd w:val="clear" w:color="auto" w:fill="33CCCC"/>
          </w:tcPr>
          <w:p>
            <w:pPr>
              <w:spacing w:after="0"/>
              <w:rPr>
                <w:sz w:val="13"/>
                <w:szCs w:val="13"/>
                <w:color w:val="auto"/>
              </w:rPr>
            </w:pPr>
          </w:p>
        </w:tc>
        <w:tc>
          <w:tcPr>
            <w:tcW w:w="920" w:type="dxa"/>
            <w:vAlign w:val="bottom"/>
            <w:tcBorders>
              <w:top w:val="single" w:sz="8" w:color="auto"/>
            </w:tcBorders>
            <w:shd w:val="clear" w:color="auto" w:fill="33CCCC"/>
          </w:tcPr>
          <w:p>
            <w:pPr>
              <w:ind w:left="180"/>
              <w:spacing w:after="0" w:line="158" w:lineRule="exact"/>
              <w:rPr>
                <w:sz w:val="20"/>
                <w:szCs w:val="20"/>
                <w:color w:val="auto"/>
              </w:rPr>
            </w:pPr>
            <w:r>
              <w:rPr>
                <w:rFonts w:ascii="Arial" w:cs="Arial" w:eastAsia="Arial" w:hAnsi="Arial"/>
                <w:sz w:val="16"/>
                <w:szCs w:val="16"/>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3"/>
                <w:szCs w:val="13"/>
                <w:color w:val="auto"/>
              </w:rPr>
            </w:pPr>
          </w:p>
        </w:tc>
        <w:tc>
          <w:tcPr>
            <w:tcW w:w="1820" w:type="dxa"/>
            <w:vAlign w:val="bottom"/>
            <w:tcBorders>
              <w:top w:val="single" w:sz="8" w:color="auto"/>
              <w:right w:val="single" w:sz="8" w:color="auto"/>
            </w:tcBorders>
            <w:gridSpan w:val="2"/>
            <w:shd w:val="clear" w:color="auto" w:fill="33CCCC"/>
          </w:tcPr>
          <w:p>
            <w:pPr>
              <w:ind w:left="500"/>
              <w:spacing w:after="0" w:line="158" w:lineRule="exact"/>
              <w:rPr>
                <w:sz w:val="20"/>
                <w:szCs w:val="20"/>
                <w:color w:val="auto"/>
              </w:rPr>
            </w:pPr>
            <w:r>
              <w:rPr>
                <w:rFonts w:ascii="Arial" w:cs="Arial" w:eastAsia="Arial" w:hAnsi="Arial"/>
                <w:sz w:val="16"/>
                <w:szCs w:val="16"/>
                <w:b w:val="1"/>
                <w:bCs w:val="1"/>
                <w:color w:val="FFFFFF"/>
              </w:rPr>
              <w:t>% Change</w:t>
            </w:r>
          </w:p>
        </w:tc>
        <w:tc>
          <w:tcPr>
            <w:tcW w:w="1820" w:type="dxa"/>
            <w:vAlign w:val="bottom"/>
            <w:tcBorders>
              <w:top w:val="single" w:sz="8" w:color="auto"/>
              <w:right w:val="single" w:sz="8" w:color="auto"/>
            </w:tcBorders>
            <w:gridSpan w:val="2"/>
            <w:shd w:val="clear" w:color="auto" w:fill="33CCCC"/>
          </w:tcPr>
          <w:p>
            <w:pPr>
              <w:jc w:val="right"/>
              <w:ind w:right="639"/>
              <w:spacing w:after="0" w:line="158" w:lineRule="exact"/>
              <w:rPr>
                <w:sz w:val="20"/>
                <w:szCs w:val="20"/>
                <w:color w:val="auto"/>
              </w:rPr>
            </w:pPr>
            <w:r>
              <w:rPr>
                <w:rFonts w:ascii="Arial" w:cs="Arial" w:eastAsia="Arial" w:hAnsi="Arial"/>
                <w:sz w:val="16"/>
                <w:szCs w:val="16"/>
                <w:b w:val="1"/>
                <w:bCs w:val="1"/>
                <w:color w:val="FFFFFF"/>
              </w:rPr>
              <w:t>As of</w:t>
            </w:r>
          </w:p>
        </w:tc>
        <w:tc>
          <w:tcPr>
            <w:tcW w:w="1140" w:type="dxa"/>
            <w:vAlign w:val="bottom"/>
            <w:tcBorders>
              <w:top w:val="single" w:sz="8" w:color="auto"/>
              <w:right w:val="single" w:sz="8" w:color="auto"/>
            </w:tcBorders>
            <w:shd w:val="clear" w:color="auto" w:fill="33CCCC"/>
          </w:tcPr>
          <w:p>
            <w:pPr>
              <w:jc w:val="center"/>
              <w:spacing w:after="0" w:line="158" w:lineRule="exact"/>
              <w:rPr>
                <w:sz w:val="20"/>
                <w:szCs w:val="20"/>
                <w:color w:val="auto"/>
              </w:rPr>
            </w:pPr>
            <w:r>
              <w:rPr>
                <w:rFonts w:ascii="Arial" w:cs="Arial" w:eastAsia="Arial" w:hAnsi="Arial"/>
                <w:sz w:val="16"/>
                <w:szCs w:val="16"/>
                <w:b w:val="1"/>
                <w:bCs w:val="1"/>
                <w:color w:val="FFFFFF"/>
              </w:rPr>
              <w:t>% change</w:t>
            </w:r>
          </w:p>
        </w:tc>
      </w:tr>
      <w:tr>
        <w:trPr>
          <w:trHeight w:val="183"/>
        </w:trPr>
        <w:tc>
          <w:tcPr>
            <w:tcW w:w="3740" w:type="dxa"/>
            <w:vAlign w:val="bottom"/>
            <w:tcBorders>
              <w:left w:val="single" w:sz="8" w:color="auto"/>
              <w:right w:val="single" w:sz="8" w:color="auto"/>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S/ 000</w:t>
            </w:r>
          </w:p>
        </w:tc>
        <w:tc>
          <w:tcPr>
            <w:tcW w:w="88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2Q21</w:t>
            </w:r>
          </w:p>
        </w:tc>
        <w:tc>
          <w:tcPr>
            <w:tcW w:w="92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1Q22</w:t>
            </w:r>
          </w:p>
        </w:tc>
        <w:tc>
          <w:tcPr>
            <w:tcW w:w="94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2Q22</w:t>
            </w:r>
          </w:p>
        </w:tc>
        <w:tc>
          <w:tcPr>
            <w:tcW w:w="880" w:type="dxa"/>
            <w:vAlign w:val="bottom"/>
            <w:shd w:val="clear" w:color="auto" w:fill="33CCCC"/>
          </w:tcPr>
          <w:p>
            <w:pPr>
              <w:ind w:left="260"/>
              <w:spacing w:after="0" w:line="183" w:lineRule="exact"/>
              <w:rPr>
                <w:sz w:val="20"/>
                <w:szCs w:val="20"/>
                <w:color w:val="auto"/>
              </w:rPr>
            </w:pPr>
            <w:r>
              <w:rPr>
                <w:rFonts w:ascii="Arial" w:cs="Arial" w:eastAsia="Arial" w:hAnsi="Arial"/>
                <w:sz w:val="16"/>
                <w:szCs w:val="16"/>
                <w:b w:val="1"/>
                <w:bCs w:val="1"/>
                <w:color w:val="FFFFFF"/>
              </w:rPr>
              <w:t>QoQ</w:t>
            </w:r>
          </w:p>
        </w:tc>
        <w:tc>
          <w:tcPr>
            <w:tcW w:w="940" w:type="dxa"/>
            <w:vAlign w:val="bottom"/>
            <w:tcBorders>
              <w:right w:val="single" w:sz="8" w:color="auto"/>
            </w:tcBorders>
            <w:shd w:val="clear" w:color="auto" w:fill="33CCCC"/>
          </w:tcPr>
          <w:p>
            <w:pPr>
              <w:ind w:left="320"/>
              <w:spacing w:after="0" w:line="183" w:lineRule="exact"/>
              <w:rPr>
                <w:sz w:val="20"/>
                <w:szCs w:val="20"/>
                <w:color w:val="auto"/>
              </w:rPr>
            </w:pPr>
            <w:r>
              <w:rPr>
                <w:rFonts w:ascii="Arial" w:cs="Arial" w:eastAsia="Arial" w:hAnsi="Arial"/>
                <w:sz w:val="16"/>
                <w:szCs w:val="16"/>
                <w:b w:val="1"/>
                <w:bCs w:val="1"/>
                <w:color w:val="FFFFFF"/>
              </w:rPr>
              <w:t>YoY</w:t>
            </w:r>
          </w:p>
        </w:tc>
        <w:tc>
          <w:tcPr>
            <w:tcW w:w="960" w:type="dxa"/>
            <w:vAlign w:val="bottom"/>
            <w:shd w:val="clear" w:color="auto" w:fill="33CCCC"/>
          </w:tcPr>
          <w:p>
            <w:pPr>
              <w:jc w:val="right"/>
              <w:ind w:right="139"/>
              <w:spacing w:after="0" w:line="183" w:lineRule="exact"/>
              <w:rPr>
                <w:sz w:val="20"/>
                <w:szCs w:val="20"/>
                <w:color w:val="auto"/>
              </w:rPr>
            </w:pPr>
            <w:r>
              <w:rPr>
                <w:rFonts w:ascii="Arial" w:cs="Arial" w:eastAsia="Arial" w:hAnsi="Arial"/>
                <w:sz w:val="16"/>
                <w:szCs w:val="16"/>
                <w:b w:val="1"/>
                <w:bCs w:val="1"/>
                <w:color w:val="FFFFFF"/>
              </w:rPr>
              <w:t>Jun - 21</w:t>
            </w:r>
          </w:p>
        </w:tc>
        <w:tc>
          <w:tcPr>
            <w:tcW w:w="860" w:type="dxa"/>
            <w:vAlign w:val="bottom"/>
            <w:tcBorders>
              <w:right w:val="single" w:sz="8" w:color="auto"/>
            </w:tcBorders>
            <w:shd w:val="clear" w:color="auto" w:fill="33CCCC"/>
          </w:tcPr>
          <w:p>
            <w:pPr>
              <w:jc w:val="right"/>
              <w:ind w:right="99"/>
              <w:spacing w:after="0" w:line="183" w:lineRule="exact"/>
              <w:rPr>
                <w:sz w:val="20"/>
                <w:szCs w:val="20"/>
                <w:color w:val="auto"/>
              </w:rPr>
            </w:pPr>
            <w:r>
              <w:rPr>
                <w:rFonts w:ascii="Arial" w:cs="Arial" w:eastAsia="Arial" w:hAnsi="Arial"/>
                <w:sz w:val="16"/>
                <w:szCs w:val="16"/>
                <w:b w:val="1"/>
                <w:bCs w:val="1"/>
                <w:color w:val="FFFFFF"/>
              </w:rPr>
              <w:t>Jun - 22</w:t>
            </w:r>
          </w:p>
        </w:tc>
        <w:tc>
          <w:tcPr>
            <w:tcW w:w="114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Jun - 22 / Jun</w:t>
            </w:r>
          </w:p>
        </w:tc>
      </w:tr>
      <w:tr>
        <w:trPr>
          <w:trHeight w:val="199"/>
        </w:trPr>
        <w:tc>
          <w:tcPr>
            <w:tcW w:w="3740" w:type="dxa"/>
            <w:vAlign w:val="bottom"/>
            <w:tcBorders>
              <w:left w:val="single" w:sz="8" w:color="auto"/>
              <w:bottom w:val="single" w:sz="8" w:color="auto"/>
              <w:right w:val="single" w:sz="8" w:color="auto"/>
            </w:tcBorders>
            <w:shd w:val="clear" w:color="auto" w:fill="33CCCC"/>
          </w:tcPr>
          <w:p>
            <w:pPr>
              <w:spacing w:after="0"/>
              <w:rPr>
                <w:sz w:val="17"/>
                <w:szCs w:val="17"/>
                <w:color w:val="auto"/>
              </w:rPr>
            </w:pPr>
          </w:p>
        </w:tc>
        <w:tc>
          <w:tcPr>
            <w:tcW w:w="880" w:type="dxa"/>
            <w:vAlign w:val="bottom"/>
            <w:tcBorders>
              <w:bottom w:val="single" w:sz="8" w:color="auto"/>
            </w:tcBorders>
            <w:shd w:val="clear" w:color="auto" w:fill="33CCCC"/>
          </w:tcPr>
          <w:p>
            <w:pPr>
              <w:spacing w:after="0"/>
              <w:rPr>
                <w:sz w:val="17"/>
                <w:szCs w:val="17"/>
                <w:color w:val="auto"/>
              </w:rPr>
            </w:pPr>
          </w:p>
        </w:tc>
        <w:tc>
          <w:tcPr>
            <w:tcW w:w="920" w:type="dxa"/>
            <w:vAlign w:val="bottom"/>
            <w:tcBorders>
              <w:bottom w:val="single" w:sz="8" w:color="auto"/>
            </w:tcBorders>
            <w:shd w:val="clear" w:color="auto" w:fill="33CCCC"/>
          </w:tcPr>
          <w:p>
            <w:pPr>
              <w:spacing w:after="0"/>
              <w:rPr>
                <w:sz w:val="17"/>
                <w:szCs w:val="17"/>
                <w:color w:val="auto"/>
              </w:rPr>
            </w:pPr>
          </w:p>
        </w:tc>
        <w:tc>
          <w:tcPr>
            <w:tcW w:w="940" w:type="dxa"/>
            <w:vAlign w:val="bottom"/>
            <w:tcBorders>
              <w:bottom w:val="single" w:sz="8" w:color="auto"/>
              <w:right w:val="single" w:sz="8" w:color="auto"/>
            </w:tcBorders>
            <w:shd w:val="clear" w:color="auto" w:fill="33CCCC"/>
          </w:tcPr>
          <w:p>
            <w:pPr>
              <w:spacing w:after="0"/>
              <w:rPr>
                <w:sz w:val="17"/>
                <w:szCs w:val="17"/>
                <w:color w:val="auto"/>
              </w:rPr>
            </w:pPr>
          </w:p>
        </w:tc>
        <w:tc>
          <w:tcPr>
            <w:tcW w:w="880" w:type="dxa"/>
            <w:vAlign w:val="bottom"/>
            <w:tcBorders>
              <w:bottom w:val="single" w:sz="8" w:color="auto"/>
            </w:tcBorders>
            <w:shd w:val="clear" w:color="auto" w:fill="33CCCC"/>
          </w:tcPr>
          <w:p>
            <w:pPr>
              <w:spacing w:after="0"/>
              <w:rPr>
                <w:sz w:val="17"/>
                <w:szCs w:val="17"/>
                <w:color w:val="auto"/>
              </w:rPr>
            </w:pPr>
          </w:p>
        </w:tc>
        <w:tc>
          <w:tcPr>
            <w:tcW w:w="940" w:type="dxa"/>
            <w:vAlign w:val="bottom"/>
            <w:tcBorders>
              <w:bottom w:val="single" w:sz="8" w:color="auto"/>
              <w:right w:val="single" w:sz="8" w:color="auto"/>
            </w:tcBorders>
            <w:shd w:val="clear" w:color="auto" w:fill="33CCCC"/>
          </w:tcPr>
          <w:p>
            <w:pPr>
              <w:spacing w:after="0"/>
              <w:rPr>
                <w:sz w:val="17"/>
                <w:szCs w:val="17"/>
                <w:color w:val="auto"/>
              </w:rPr>
            </w:pPr>
          </w:p>
        </w:tc>
        <w:tc>
          <w:tcPr>
            <w:tcW w:w="960" w:type="dxa"/>
            <w:vAlign w:val="bottom"/>
            <w:tcBorders>
              <w:bottom w:val="single" w:sz="8" w:color="auto"/>
            </w:tcBorders>
            <w:shd w:val="clear" w:color="auto" w:fill="33CCCC"/>
          </w:tcPr>
          <w:p>
            <w:pPr>
              <w:spacing w:after="0"/>
              <w:rPr>
                <w:sz w:val="17"/>
                <w:szCs w:val="17"/>
                <w:color w:val="auto"/>
              </w:rPr>
            </w:pPr>
          </w:p>
        </w:tc>
        <w:tc>
          <w:tcPr>
            <w:tcW w:w="860" w:type="dxa"/>
            <w:vAlign w:val="bottom"/>
            <w:tcBorders>
              <w:bottom w:val="single" w:sz="8" w:color="auto"/>
              <w:right w:val="single" w:sz="8" w:color="auto"/>
            </w:tcBorders>
            <w:shd w:val="clear" w:color="auto" w:fill="33CCCC"/>
          </w:tcPr>
          <w:p>
            <w:pPr>
              <w:spacing w:after="0"/>
              <w:rPr>
                <w:sz w:val="17"/>
                <w:szCs w:val="17"/>
                <w:color w:val="auto"/>
              </w:rPr>
            </w:pPr>
          </w:p>
        </w:tc>
        <w:tc>
          <w:tcPr>
            <w:tcW w:w="11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- 21</w:t>
            </w:r>
          </w:p>
        </w:tc>
      </w:tr>
      <w:tr>
        <w:trPr>
          <w:trHeight w:val="158"/>
        </w:trPr>
        <w:tc>
          <w:tcPr>
            <w:tcW w:w="3740" w:type="dxa"/>
            <w:vAlign w:val="bottom"/>
            <w:tcBorders>
              <w:left w:val="single" w:sz="8" w:color="auto"/>
              <w:right w:val="single" w:sz="8" w:color="auto"/>
            </w:tcBorders>
          </w:tcPr>
          <w:p>
            <w:pPr>
              <w:spacing w:after="0" w:line="158" w:lineRule="exact"/>
              <w:rPr>
                <w:sz w:val="20"/>
                <w:szCs w:val="20"/>
                <w:color w:val="auto"/>
              </w:rPr>
            </w:pPr>
            <w:r>
              <w:rPr>
                <w:rFonts w:ascii="Arial" w:cs="Arial" w:eastAsia="Arial" w:hAnsi="Arial"/>
                <w:sz w:val="16"/>
                <w:szCs w:val="16"/>
                <w:color w:val="auto"/>
              </w:rPr>
              <w:t>IT expenses and IT third-party services</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155,615</w:t>
            </w:r>
          </w:p>
        </w:tc>
        <w:tc>
          <w:tcPr>
            <w:tcW w:w="920" w:type="dxa"/>
            <w:vAlign w:val="bottom"/>
          </w:tcPr>
          <w:p>
            <w:pPr>
              <w:jc w:val="center"/>
              <w:spacing w:after="0" w:line="158" w:lineRule="exact"/>
              <w:rPr>
                <w:sz w:val="20"/>
                <w:szCs w:val="20"/>
                <w:color w:val="auto"/>
              </w:rPr>
            </w:pPr>
            <w:r>
              <w:rPr>
                <w:rFonts w:ascii="Arial" w:cs="Arial" w:eastAsia="Arial" w:hAnsi="Arial"/>
                <w:sz w:val="16"/>
                <w:szCs w:val="16"/>
                <w:color w:val="auto"/>
              </w:rPr>
              <w:t>200,757</w:t>
            </w:r>
          </w:p>
        </w:tc>
        <w:tc>
          <w:tcPr>
            <w:tcW w:w="9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218,788</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w w:val="98"/>
              </w:rPr>
              <w:t>9.0%</w:t>
            </w:r>
          </w:p>
        </w:tc>
        <w:tc>
          <w:tcPr>
            <w:tcW w:w="9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40.6%</w:t>
            </w:r>
          </w:p>
        </w:tc>
        <w:tc>
          <w:tcPr>
            <w:tcW w:w="960" w:type="dxa"/>
            <w:vAlign w:val="bottom"/>
          </w:tcPr>
          <w:p>
            <w:pPr>
              <w:jc w:val="right"/>
              <w:spacing w:after="0" w:line="158" w:lineRule="exact"/>
              <w:rPr>
                <w:sz w:val="20"/>
                <w:szCs w:val="20"/>
                <w:color w:val="auto"/>
              </w:rPr>
            </w:pPr>
            <w:r>
              <w:rPr>
                <w:rFonts w:ascii="Arial" w:cs="Arial" w:eastAsia="Arial" w:hAnsi="Arial"/>
                <w:sz w:val="16"/>
                <w:szCs w:val="16"/>
                <w:color w:val="auto"/>
              </w:rPr>
              <w:t>292,648</w:t>
            </w:r>
          </w:p>
        </w:tc>
        <w:tc>
          <w:tcPr>
            <w:tcW w:w="8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419,545</w:t>
            </w:r>
          </w:p>
        </w:tc>
        <w:tc>
          <w:tcPr>
            <w:tcW w:w="11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43.4%</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Advertising and customer loyalty programs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105,060</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w w:val="96"/>
              </w:rPr>
              <w:t>110,497</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156,285</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41.4%</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48.8%</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177,386</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266,782</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50.4%</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Taxes and contributions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77,406</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74,063</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78,510</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6.0%</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146,214</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152,573</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4.3%</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Audit Services, Consulting and professional fees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60,317</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52,518</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70,586</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34.4%</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102,042</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123,104</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20.6%</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Transport and communications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47,341</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40,164</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49,771</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23.9%</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87,723</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89,935</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Repair and maintenance</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29,325</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29,939</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39,913</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33.3%</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36.1%</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56,768</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69,852</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23.0%</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Agents' Fees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25,218</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27,018</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26,091</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-3.4%</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3.5%</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50,254</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53,109</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5.7%</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Services by third-party</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23,002</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w w:val="98"/>
              </w:rPr>
              <w:t>18,411</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25,922</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40.8%</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42,047</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44,333</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Leases of low value and short-term</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20,145</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20,931</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22,610</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8.0%</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12.2%</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41,047</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43,541</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6.1%</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Miscellaneous supplies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14,171</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19,077</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20,657</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8.3%</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45.8%</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28,990</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39,734</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37.1%</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Security and protection</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15,692</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15,476</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15,798</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2.1%</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0.7%</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31,651</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31,274</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Subscriptions and quotes</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13,462</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13,437</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15,664</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16.6%</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16.4%</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26,645</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29,101</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Electricity and water</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12,709</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10,677</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13,567</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27.1%</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6.8%</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23,400</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24,244</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3.6%</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Electronic processing</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11,123</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w w:val="99"/>
              </w:rPr>
              <w:t>7,693</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8,208</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6.7%</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-26.2%</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21,091</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15,901</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-24.6%</w:t>
            </w:r>
          </w:p>
        </w:tc>
      </w:tr>
      <w:tr>
        <w:trPr>
          <w:trHeight w:val="183"/>
        </w:trPr>
        <w:tc>
          <w:tcPr>
            <w:tcW w:w="3740" w:type="dxa"/>
            <w:vAlign w:val="bottom"/>
            <w:tcBorders>
              <w:left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Insurance</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9"/>
              </w:rPr>
              <w:t>5,320</w:t>
            </w:r>
          </w:p>
        </w:tc>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w w:val="99"/>
              </w:rPr>
              <w:t>8,916</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5,925</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-33.5%</w:t>
            </w:r>
          </w:p>
        </w:tc>
        <w:tc>
          <w:tcPr>
            <w:tcW w:w="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11.4%</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13,594</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14,841</w:t>
            </w:r>
          </w:p>
        </w:tc>
        <w:tc>
          <w:tcPr>
            <w:tcW w:w="11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w:t>
            </w:r>
          </w:p>
        </w:tc>
      </w:tr>
      <w:tr>
        <w:trPr>
          <w:trHeight w:val="175"/>
        </w:trPr>
        <w:tc>
          <w:tcPr>
            <w:tcW w:w="3740" w:type="dxa"/>
            <w:vAlign w:val="bottom"/>
            <w:tcBorders>
              <w:left w:val="single" w:sz="8" w:color="auto"/>
              <w:right w:val="single" w:sz="8" w:color="auto"/>
            </w:tcBorders>
          </w:tcPr>
          <w:p>
            <w:pPr>
              <w:spacing w:after="0" w:line="175" w:lineRule="exact"/>
              <w:rPr>
                <w:sz w:val="20"/>
                <w:szCs w:val="20"/>
                <w:color w:val="auto"/>
              </w:rPr>
            </w:pPr>
            <w:r>
              <w:rPr>
                <w:rFonts w:ascii="Arial" w:cs="Arial" w:eastAsia="Arial" w:hAnsi="Arial"/>
                <w:sz w:val="16"/>
                <w:szCs w:val="16"/>
                <w:color w:val="auto"/>
              </w:rPr>
              <w:t>Cleaning</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99"/>
              </w:rPr>
              <w:t>5,206</w:t>
            </w:r>
          </w:p>
        </w:tc>
        <w:tc>
          <w:tcPr>
            <w:tcW w:w="920" w:type="dxa"/>
            <w:vAlign w:val="bottom"/>
          </w:tcPr>
          <w:p>
            <w:pPr>
              <w:jc w:val="center"/>
              <w:spacing w:after="0" w:line="175" w:lineRule="exact"/>
              <w:rPr>
                <w:sz w:val="20"/>
                <w:szCs w:val="20"/>
                <w:color w:val="auto"/>
              </w:rPr>
            </w:pPr>
            <w:r>
              <w:rPr>
                <w:rFonts w:ascii="Arial" w:cs="Arial" w:eastAsia="Arial" w:hAnsi="Arial"/>
                <w:sz w:val="16"/>
                <w:szCs w:val="16"/>
                <w:color w:val="auto"/>
                <w:w w:val="99"/>
              </w:rPr>
              <w:t>4,506</w:t>
            </w:r>
          </w:p>
        </w:tc>
        <w:tc>
          <w:tcPr>
            <w:tcW w:w="9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5,203</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rPr>
              <w:t>15.5%</w:t>
            </w:r>
          </w:p>
        </w:tc>
        <w:tc>
          <w:tcPr>
            <w:tcW w:w="9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-0.1%</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10,488</w:t>
            </w:r>
          </w:p>
        </w:tc>
        <w:tc>
          <w:tcPr>
            <w:tcW w:w="8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9,709</w:t>
            </w:r>
          </w:p>
        </w:tc>
        <w:tc>
          <w:tcPr>
            <w:tcW w:w="11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-7.4%</w:t>
            </w:r>
          </w:p>
        </w:tc>
      </w:tr>
      <w:tr>
        <w:trPr>
          <w:trHeight w:val="208"/>
        </w:trPr>
        <w:tc>
          <w:tcPr>
            <w:tcW w:w="3740" w:type="dxa"/>
            <w:vAlign w:val="bottom"/>
            <w:tcBorders>
              <w:left w:val="single" w:sz="8" w:color="auto"/>
              <w:bottom w:val="single" w:sz="8" w:color="auto"/>
              <w:right w:val="single" w:sz="8" w:color="auto"/>
            </w:tcBorders>
          </w:tcPr>
          <w:p>
            <w:pPr>
              <w:spacing w:after="0" w:line="207" w:lineRule="exact"/>
              <w:rPr>
                <w:sz w:val="20"/>
                <w:szCs w:val="20"/>
                <w:color w:val="auto"/>
              </w:rPr>
            </w:pPr>
            <w:r>
              <w:rPr>
                <w:rFonts w:ascii="Arial" w:cs="Arial" w:eastAsia="Arial" w:hAnsi="Arial"/>
                <w:sz w:val="15"/>
                <w:szCs w:val="15"/>
                <w:color w:val="auto"/>
              </w:rPr>
              <w:t xml:space="preserve">Others </w:t>
            </w:r>
            <w:r>
              <w:rPr>
                <w:rFonts w:ascii="Arial" w:cs="Arial" w:eastAsia="Arial" w:hAnsi="Arial"/>
                <w:sz w:val="24"/>
                <w:szCs w:val="24"/>
                <w:color w:val="auto"/>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51,693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71,459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77,474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8.4%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101,659</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148,933</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46.5%</w:t>
            </w:r>
          </w:p>
        </w:tc>
      </w:tr>
      <w:tr>
        <w:trPr>
          <w:trHeight w:val="175"/>
        </w:trPr>
        <w:tc>
          <w:tcPr>
            <w:tcW w:w="374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672,805</w:t>
            </w:r>
          </w:p>
        </w:tc>
        <w:tc>
          <w:tcPr>
            <w:tcW w:w="9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725,539</w:t>
            </w:r>
          </w:p>
        </w:tc>
        <w:tc>
          <w:tcPr>
            <w:tcW w:w="9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850,972</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17.3%</w:t>
            </w:r>
          </w:p>
        </w:tc>
        <w:tc>
          <w:tcPr>
            <w:tcW w:w="9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26.5%</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1,253,647</w:t>
            </w:r>
          </w:p>
        </w:tc>
        <w:tc>
          <w:tcPr>
            <w:tcW w:w="86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1,576,511</w:t>
            </w:r>
          </w:p>
        </w:tc>
        <w:tc>
          <w:tcPr>
            <w:tcW w:w="11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25.8%</w:t>
            </w:r>
          </w:p>
        </w:tc>
      </w:tr>
    </w:tbl>
    <w:p>
      <w:pPr>
        <w:spacing w:after="0" w:line="2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1"/>
          <w:szCs w:val="11"/>
          <w:color w:val="auto"/>
        </w:rPr>
        <w:t>(1) Others consists mainly of security and protection services, cleaning service, representation expenses, electricity and water utilities, insurance policy expenses, subscription expenses and commission expenses.</w:t>
      </w:r>
    </w:p>
    <w:p>
      <w:pPr>
        <w:spacing w:after="0" w:line="349"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37" w:name="page38"/>
    <w:bookmarkEnd w:id="37"/>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08.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and general expenses and taxes rose due to:</w:t>
      </w:r>
    </w:p>
    <w:p>
      <w:pPr>
        <w:spacing w:after="0" w:line="230" w:lineRule="exact"/>
        <w:rPr>
          <w:sz w:val="20"/>
          <w:szCs w:val="20"/>
          <w:color w:val="auto"/>
        </w:rPr>
      </w:pPr>
    </w:p>
    <w:p>
      <w:pPr>
        <w:ind w:left="580" w:right="20" w:hanging="290"/>
        <w:spacing w:after="0" w:line="24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Growth in </w:t>
      </w:r>
      <w:r>
        <w:rPr>
          <w:rFonts w:ascii="Arial" w:cs="Arial" w:eastAsia="Arial" w:hAnsi="Arial"/>
          <w:sz w:val="16"/>
          <w:szCs w:val="16"/>
          <w:b w:val="1"/>
          <w:bCs w:val="1"/>
          <w:color w:val="auto"/>
        </w:rPr>
        <w:t>IT expenses and systems outsourcing</w:t>
      </w:r>
      <w:r>
        <w:rPr>
          <w:rFonts w:ascii="Arial" w:cs="Arial" w:eastAsia="Arial" w:hAnsi="Arial"/>
          <w:sz w:val="16"/>
          <w:szCs w:val="16"/>
          <w:color w:val="auto"/>
        </w:rPr>
        <w:t>, which was related to cybersecurity, infrastructure upgrades, development of new applications, renewal and improvement of software; and</w:t>
      </w:r>
    </w:p>
    <w:p>
      <w:pPr>
        <w:spacing w:after="0" w:line="1" w:lineRule="exact"/>
        <w:rPr>
          <w:rFonts w:ascii="Arial" w:cs="Arial" w:eastAsia="Arial" w:hAnsi="Arial"/>
          <w:sz w:val="16"/>
          <w:szCs w:val="16"/>
          <w:color w:val="auto"/>
        </w:rPr>
      </w:pPr>
    </w:p>
    <w:p>
      <w:pPr>
        <w:ind w:left="580" w:right="20" w:hanging="290"/>
        <w:spacing w:after="0" w:line="23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 62% increase in </w:t>
      </w:r>
      <w:r>
        <w:rPr>
          <w:rFonts w:ascii="Arial" w:cs="Arial" w:eastAsia="Arial" w:hAnsi="Arial"/>
          <w:sz w:val="16"/>
          <w:szCs w:val="16"/>
          <w:b w:val="1"/>
          <w:bCs w:val="1"/>
          <w:color w:val="auto"/>
        </w:rPr>
        <w:t>Advertising</w:t>
      </w:r>
      <w:r>
        <w:rPr>
          <w:rFonts w:ascii="Arial" w:cs="Arial" w:eastAsia="Arial" w:hAnsi="Arial"/>
          <w:sz w:val="16"/>
          <w:szCs w:val="16"/>
          <w:color w:val="auto"/>
        </w:rPr>
        <w:t xml:space="preserve"> expenses, which was primarily associated with disruptive initiatives. If we exclude disruptive expenses, expenses for advertising register a 15% increase.</w:t>
      </w:r>
    </w:p>
    <w:p>
      <w:pPr>
        <w:ind w:left="580" w:right="20" w:hanging="290"/>
        <w:spacing w:after="0" w:line="257" w:lineRule="auto"/>
        <w:tabs>
          <w:tab w:leader="none" w:pos="5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 xml:space="preserve">The 38% increase in expenses for the </w:t>
      </w:r>
      <w:r>
        <w:rPr>
          <w:rFonts w:ascii="Arial" w:cs="Arial" w:eastAsia="Arial" w:hAnsi="Arial"/>
          <w:sz w:val="16"/>
          <w:szCs w:val="16"/>
          <w:b w:val="1"/>
          <w:bCs w:val="1"/>
          <w:color w:val="auto"/>
        </w:rPr>
        <w:t>Loyalty Program</w:t>
      </w:r>
      <w:r>
        <w:rPr>
          <w:rFonts w:ascii="Arial" w:cs="Arial" w:eastAsia="Arial" w:hAnsi="Arial"/>
          <w:sz w:val="16"/>
          <w:szCs w:val="16"/>
          <w:color w:val="auto"/>
        </w:rPr>
        <w:t>. This was related to an increase of consumption of LATAM miles, which reflected growth in consumption with credit and debit cards at establishments (related fees up 44%).</w:t>
      </w:r>
    </w:p>
    <w:p>
      <w:pPr>
        <w:spacing w:after="0" w:line="31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8" w:name="page39"/>
    <w:bookmarkEnd w:id="38"/>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09 </w:t>
      </w:r>
      <w:r>
        <w:rPr>
          <w:rFonts w:ascii="Times New Roman" w:cs="Times New Roman" w:eastAsia="Times New Roman" w:hAnsi="Times New Roman"/>
          <w:sz w:val="29"/>
          <w:szCs w:val="29"/>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649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649605"/>
                    </a:xfrm>
                    <a:prstGeom prst="rect">
                      <a:avLst/>
                    </a:prstGeom>
                    <a:noFill/>
                  </pic:spPr>
                </pic:pic>
              </a:graphicData>
            </a:graphic>
          </wp:anchor>
        </w:drawing>
      </w:r>
    </w:p>
    <w:p>
      <w:pPr>
        <w:spacing w:after="0" w:line="318" w:lineRule="exact"/>
        <w:rPr>
          <w:sz w:val="20"/>
          <w:szCs w:val="20"/>
          <w:color w:val="auto"/>
        </w:rPr>
      </w:pPr>
    </w:p>
    <w:p>
      <w:pPr>
        <w:ind w:left="123" w:right="120"/>
        <w:spacing w:after="0" w:line="264" w:lineRule="auto"/>
        <w:rPr>
          <w:sz w:val="20"/>
          <w:szCs w:val="20"/>
          <w:color w:val="auto"/>
        </w:rPr>
      </w:pPr>
      <w:r>
        <w:rPr>
          <w:rFonts w:ascii="Arial" w:cs="Arial" w:eastAsia="Arial" w:hAnsi="Arial"/>
          <w:sz w:val="16"/>
          <w:szCs w:val="16"/>
          <w:color w:val="FFFFFF"/>
        </w:rPr>
        <w:t>The efficiency ratio deteriorated 60bps YTD after growth in expenses outpaced the expansion in. If we exclude expenses related to disruptive initiatives (Yape + Krealo) from both 1S22 and 1S21, the efficiency ratio improves 34bps YTD. .</w:t>
      </w:r>
    </w:p>
    <w:p>
      <w:pPr>
        <w:spacing w:after="0" w:line="200" w:lineRule="exact"/>
        <w:rPr>
          <w:sz w:val="20"/>
          <w:szCs w:val="20"/>
          <w:color w:val="auto"/>
        </w:rPr>
      </w:pPr>
    </w:p>
    <w:p>
      <w:pPr>
        <w:spacing w:after="0" w:line="366" w:lineRule="exact"/>
        <w:rPr>
          <w:sz w:val="20"/>
          <w:szCs w:val="20"/>
          <w:color w:val="auto"/>
        </w:rPr>
      </w:pPr>
    </w:p>
    <w:tbl>
      <w:tblPr>
        <w:tblLayout w:type="fixed"/>
        <w:tblInd w:w="13" w:type="dxa"/>
        <w:tblCellMar>
          <w:top w:w="0" w:type="dxa"/>
          <w:left w:w="0" w:type="dxa"/>
          <w:bottom w:w="0" w:type="dxa"/>
          <w:right w:w="0" w:type="dxa"/>
        </w:tblCellMar>
      </w:tblPr>
      <w:tr>
        <w:trPr>
          <w:trHeight w:val="178"/>
        </w:trPr>
        <w:tc>
          <w:tcPr>
            <w:tcW w:w="2860" w:type="dxa"/>
            <w:vAlign w:val="bottom"/>
            <w:tcBorders>
              <w:top w:val="single" w:sz="8" w:color="auto"/>
              <w:left w:val="single" w:sz="8" w:color="646464"/>
              <w:right w:val="single" w:sz="8" w:color="auto"/>
            </w:tcBorders>
            <w:shd w:val="clear" w:color="auto" w:fill="33CCCC"/>
          </w:tcPr>
          <w:p>
            <w:pPr>
              <w:ind w:left="20"/>
              <w:spacing w:after="0" w:line="178" w:lineRule="exact"/>
              <w:rPr>
                <w:sz w:val="20"/>
                <w:szCs w:val="20"/>
                <w:color w:val="auto"/>
              </w:rPr>
            </w:pPr>
            <w:r>
              <w:rPr>
                <w:rFonts w:ascii="Arial" w:cs="Arial" w:eastAsia="Arial" w:hAnsi="Arial"/>
                <w:sz w:val="16"/>
                <w:szCs w:val="16"/>
                <w:b w:val="1"/>
                <w:bCs w:val="1"/>
                <w:color w:val="FFFFFF"/>
              </w:rPr>
              <w:t>Operating Efficiency</w:t>
            </w:r>
          </w:p>
        </w:tc>
        <w:tc>
          <w:tcPr>
            <w:tcW w:w="1120" w:type="dxa"/>
            <w:vAlign w:val="bottom"/>
            <w:tcBorders>
              <w:top w:val="single" w:sz="8" w:color="auto"/>
            </w:tcBorders>
            <w:shd w:val="clear" w:color="auto" w:fill="33CCCC"/>
          </w:tcPr>
          <w:p>
            <w:pPr>
              <w:spacing w:after="0"/>
              <w:rPr>
                <w:sz w:val="15"/>
                <w:szCs w:val="15"/>
                <w:color w:val="auto"/>
              </w:rPr>
            </w:pPr>
          </w:p>
        </w:tc>
        <w:tc>
          <w:tcPr>
            <w:tcW w:w="1060" w:type="dxa"/>
            <w:vAlign w:val="bottom"/>
            <w:tcBorders>
              <w:top w:val="single" w:sz="8" w:color="auto"/>
            </w:tcBorders>
            <w:shd w:val="clear" w:color="auto" w:fill="33CCCC"/>
          </w:tcPr>
          <w:p>
            <w:pPr>
              <w:jc w:val="right"/>
              <w:ind w:right="279"/>
              <w:spacing w:after="0" w:line="178" w:lineRule="exact"/>
              <w:rPr>
                <w:sz w:val="20"/>
                <w:szCs w:val="20"/>
                <w:color w:val="auto"/>
              </w:rPr>
            </w:pPr>
            <w:r>
              <w:rPr>
                <w:rFonts w:ascii="Arial" w:cs="Arial" w:eastAsia="Arial" w:hAnsi="Arial"/>
                <w:sz w:val="16"/>
                <w:szCs w:val="16"/>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5"/>
                <w:szCs w:val="15"/>
                <w:color w:val="auto"/>
              </w:rPr>
            </w:pPr>
          </w:p>
        </w:tc>
        <w:tc>
          <w:tcPr>
            <w:tcW w:w="1900" w:type="dxa"/>
            <w:vAlign w:val="bottom"/>
            <w:tcBorders>
              <w:top w:val="single" w:sz="8" w:color="auto"/>
              <w:right w:val="single" w:sz="8" w:color="auto"/>
            </w:tcBorders>
            <w:gridSpan w:val="2"/>
            <w:shd w:val="clear" w:color="auto" w:fill="33CCCC"/>
          </w:tcPr>
          <w:p>
            <w:pPr>
              <w:ind w:left="560"/>
              <w:spacing w:after="0" w:line="178" w:lineRule="exact"/>
              <w:rPr>
                <w:sz w:val="20"/>
                <w:szCs w:val="20"/>
                <w:color w:val="auto"/>
              </w:rPr>
            </w:pPr>
            <w:r>
              <w:rPr>
                <w:rFonts w:ascii="Arial" w:cs="Arial" w:eastAsia="Arial" w:hAnsi="Arial"/>
                <w:sz w:val="16"/>
                <w:szCs w:val="16"/>
                <w:b w:val="1"/>
                <w:bCs w:val="1"/>
                <w:color w:val="FFFFFF"/>
              </w:rPr>
              <w:t>% change</w:t>
            </w:r>
          </w:p>
        </w:tc>
        <w:tc>
          <w:tcPr>
            <w:tcW w:w="1200" w:type="dxa"/>
            <w:vAlign w:val="bottom"/>
            <w:tcBorders>
              <w:top w:val="single" w:sz="8" w:color="auto"/>
            </w:tcBorders>
            <w:shd w:val="clear" w:color="auto" w:fill="33CCCC"/>
          </w:tcPr>
          <w:p>
            <w:pPr>
              <w:jc w:val="right"/>
              <w:spacing w:after="0" w:line="178" w:lineRule="exact"/>
              <w:rPr>
                <w:sz w:val="20"/>
                <w:szCs w:val="20"/>
                <w:color w:val="auto"/>
              </w:rPr>
            </w:pPr>
            <w:r>
              <w:rPr>
                <w:rFonts w:ascii="Arial" w:cs="Arial" w:eastAsia="Arial" w:hAnsi="Arial"/>
                <w:sz w:val="16"/>
                <w:szCs w:val="16"/>
                <w:b w:val="1"/>
                <w:bCs w:val="1"/>
                <w:color w:val="FFFFFF"/>
              </w:rPr>
              <w:t>Year</w:t>
            </w:r>
          </w:p>
        </w:tc>
        <w:tc>
          <w:tcPr>
            <w:tcW w:w="840" w:type="dxa"/>
            <w:vAlign w:val="bottom"/>
            <w:tcBorders>
              <w:top w:val="single" w:sz="8" w:color="auto"/>
              <w:right w:val="single" w:sz="8" w:color="auto"/>
            </w:tcBorders>
            <w:shd w:val="clear" w:color="auto" w:fill="33CCCC"/>
          </w:tcPr>
          <w:p>
            <w:pPr>
              <w:spacing w:after="0"/>
              <w:rPr>
                <w:sz w:val="15"/>
                <w:szCs w:val="15"/>
                <w:color w:val="auto"/>
              </w:rPr>
            </w:pPr>
          </w:p>
        </w:tc>
        <w:tc>
          <w:tcPr>
            <w:tcW w:w="138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 change</w:t>
            </w:r>
          </w:p>
        </w:tc>
      </w:tr>
      <w:tr>
        <w:trPr>
          <w:trHeight w:val="199"/>
        </w:trPr>
        <w:tc>
          <w:tcPr>
            <w:tcW w:w="2860" w:type="dxa"/>
            <w:vAlign w:val="bottom"/>
            <w:tcBorders>
              <w:left w:val="single" w:sz="8" w:color="646464"/>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1120" w:type="dxa"/>
            <w:vAlign w:val="bottom"/>
            <w:tcBorders>
              <w:bottom w:val="single" w:sz="8" w:color="auto"/>
            </w:tcBorders>
            <w:shd w:val="clear" w:color="auto" w:fill="33CCCC"/>
          </w:tcPr>
          <w:p>
            <w:pPr>
              <w:jc w:val="right"/>
              <w:ind w:right="339"/>
              <w:spacing w:after="0"/>
              <w:rPr>
                <w:sz w:val="20"/>
                <w:szCs w:val="20"/>
                <w:color w:val="auto"/>
              </w:rPr>
            </w:pPr>
            <w:r>
              <w:rPr>
                <w:rFonts w:ascii="Arial" w:cs="Arial" w:eastAsia="Arial" w:hAnsi="Arial"/>
                <w:sz w:val="16"/>
                <w:szCs w:val="16"/>
                <w:b w:val="1"/>
                <w:bCs w:val="1"/>
                <w:color w:val="FFFFFF"/>
              </w:rPr>
              <w:t>2Q21</w:t>
            </w:r>
          </w:p>
        </w:tc>
        <w:tc>
          <w:tcPr>
            <w:tcW w:w="1060" w:type="dxa"/>
            <w:vAlign w:val="bottom"/>
            <w:tcBorders>
              <w:bottom w:val="single" w:sz="8" w:color="auto"/>
            </w:tcBorders>
            <w:shd w:val="clear" w:color="auto" w:fill="33CCCC"/>
          </w:tcPr>
          <w:p>
            <w:pPr>
              <w:jc w:val="right"/>
              <w:ind w:right="379"/>
              <w:spacing w:after="0"/>
              <w:rPr>
                <w:sz w:val="20"/>
                <w:szCs w:val="20"/>
                <w:color w:val="auto"/>
              </w:rPr>
            </w:pPr>
            <w:r>
              <w:rPr>
                <w:rFonts w:ascii="Arial" w:cs="Arial" w:eastAsia="Arial" w:hAnsi="Arial"/>
                <w:sz w:val="16"/>
                <w:szCs w:val="16"/>
                <w:b w:val="1"/>
                <w:bCs w:val="1"/>
                <w:color w:val="FFFFFF"/>
              </w:rPr>
              <w:t>1Q22</w:t>
            </w:r>
          </w:p>
        </w:tc>
        <w:tc>
          <w:tcPr>
            <w:tcW w:w="900" w:type="dxa"/>
            <w:vAlign w:val="bottom"/>
            <w:tcBorders>
              <w:bottom w:val="single" w:sz="8" w:color="auto"/>
              <w:right w:val="single" w:sz="8" w:color="auto"/>
            </w:tcBorders>
            <w:shd w:val="clear" w:color="auto" w:fill="33CCCC"/>
          </w:tcPr>
          <w:p>
            <w:pPr>
              <w:jc w:val="right"/>
              <w:ind w:right="259"/>
              <w:spacing w:after="0"/>
              <w:rPr>
                <w:sz w:val="20"/>
                <w:szCs w:val="20"/>
                <w:color w:val="auto"/>
              </w:rPr>
            </w:pPr>
            <w:r>
              <w:rPr>
                <w:rFonts w:ascii="Arial" w:cs="Arial" w:eastAsia="Arial" w:hAnsi="Arial"/>
                <w:sz w:val="16"/>
                <w:szCs w:val="16"/>
                <w:b w:val="1"/>
                <w:bCs w:val="1"/>
                <w:color w:val="FFFFFF"/>
              </w:rPr>
              <w:t>2Q22</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c>
          <w:tcPr>
            <w:tcW w:w="1200" w:type="dxa"/>
            <w:vAlign w:val="bottom"/>
            <w:tcBorders>
              <w:bottom w:val="single" w:sz="8" w:color="auto"/>
            </w:tcBorders>
            <w:shd w:val="clear" w:color="auto" w:fill="33CCCC"/>
          </w:tcPr>
          <w:p>
            <w:pPr>
              <w:jc w:val="right"/>
              <w:ind w:right="299"/>
              <w:spacing w:after="0"/>
              <w:rPr>
                <w:sz w:val="20"/>
                <w:szCs w:val="20"/>
                <w:color w:val="auto"/>
              </w:rPr>
            </w:pPr>
            <w:r>
              <w:rPr>
                <w:rFonts w:ascii="Arial" w:cs="Arial" w:eastAsia="Arial" w:hAnsi="Arial"/>
                <w:sz w:val="16"/>
                <w:szCs w:val="16"/>
                <w:b w:val="1"/>
                <w:bCs w:val="1"/>
                <w:color w:val="FFFFFF"/>
              </w:rPr>
              <w:t>Jun - 21</w:t>
            </w:r>
          </w:p>
        </w:tc>
        <w:tc>
          <w:tcPr>
            <w:tcW w:w="840" w:type="dxa"/>
            <w:vAlign w:val="bottom"/>
            <w:tcBorders>
              <w:bottom w:val="single" w:sz="8" w:color="auto"/>
              <w:right w:val="single" w:sz="8" w:color="auto"/>
            </w:tcBorders>
            <w:shd w:val="clear" w:color="auto" w:fill="33CCCC"/>
          </w:tcPr>
          <w:p>
            <w:pPr>
              <w:jc w:val="right"/>
              <w:ind w:right="139"/>
              <w:spacing w:after="0"/>
              <w:rPr>
                <w:sz w:val="20"/>
                <w:szCs w:val="20"/>
                <w:color w:val="auto"/>
              </w:rPr>
            </w:pPr>
            <w:r>
              <w:rPr>
                <w:rFonts w:ascii="Arial" w:cs="Arial" w:eastAsia="Arial" w:hAnsi="Arial"/>
                <w:sz w:val="16"/>
                <w:szCs w:val="16"/>
                <w:b w:val="1"/>
                <w:bCs w:val="1"/>
                <w:color w:val="FFFFFF"/>
                <w:w w:val="99"/>
              </w:rPr>
              <w:t>Jun - 22</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- 22 / Jun - 21</w:t>
            </w:r>
          </w:p>
        </w:tc>
      </w:tr>
      <w:tr>
        <w:trPr>
          <w:trHeight w:val="158"/>
        </w:trPr>
        <w:tc>
          <w:tcPr>
            <w:tcW w:w="2860" w:type="dxa"/>
            <w:vAlign w:val="bottom"/>
            <w:tcBorders>
              <w:left w:val="single" w:sz="8" w:color="646464"/>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Operating expenses (1)</w:t>
            </w: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1,812,674</w:t>
            </w:r>
          </w:p>
        </w:tc>
        <w:tc>
          <w:tcPr>
            <w:tcW w:w="1060" w:type="dxa"/>
            <w:vAlign w:val="bottom"/>
          </w:tcPr>
          <w:p>
            <w:pPr>
              <w:jc w:val="right"/>
              <w:ind w:right="59"/>
              <w:spacing w:after="0" w:line="158" w:lineRule="exact"/>
              <w:rPr>
                <w:sz w:val="20"/>
                <w:szCs w:val="20"/>
                <w:color w:val="auto"/>
              </w:rPr>
            </w:pPr>
            <w:r>
              <w:rPr>
                <w:rFonts w:ascii="Arial" w:cs="Arial" w:eastAsia="Arial" w:hAnsi="Arial"/>
                <w:sz w:val="16"/>
                <w:szCs w:val="16"/>
                <w:color w:val="auto"/>
              </w:rPr>
              <w:t>1,946,181</w:t>
            </w:r>
          </w:p>
        </w:tc>
        <w:tc>
          <w:tcPr>
            <w:tcW w:w="90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2,071,813</w:t>
            </w:r>
          </w:p>
        </w:tc>
        <w:tc>
          <w:tcPr>
            <w:tcW w:w="940" w:type="dxa"/>
            <w:vAlign w:val="bottom"/>
          </w:tcPr>
          <w:p>
            <w:pPr>
              <w:jc w:val="center"/>
              <w:spacing w:after="0" w:line="158" w:lineRule="exact"/>
              <w:rPr>
                <w:sz w:val="20"/>
                <w:szCs w:val="20"/>
                <w:color w:val="auto"/>
              </w:rPr>
            </w:pPr>
            <w:r>
              <w:rPr>
                <w:rFonts w:ascii="Arial" w:cs="Arial" w:eastAsia="Arial" w:hAnsi="Arial"/>
                <w:sz w:val="16"/>
                <w:szCs w:val="16"/>
                <w:color w:val="auto"/>
                <w:w w:val="98"/>
              </w:rPr>
              <w:t>6.5%</w:t>
            </w:r>
          </w:p>
        </w:tc>
        <w:tc>
          <w:tcPr>
            <w:tcW w:w="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14.3%</w:t>
            </w:r>
          </w:p>
        </w:tc>
        <w:tc>
          <w:tcPr>
            <w:tcW w:w="1200" w:type="dxa"/>
            <w:vAlign w:val="bottom"/>
          </w:tcPr>
          <w:p>
            <w:pPr>
              <w:jc w:val="right"/>
              <w:ind w:right="159"/>
              <w:spacing w:after="0" w:line="158" w:lineRule="exact"/>
              <w:rPr>
                <w:sz w:val="20"/>
                <w:szCs w:val="20"/>
                <w:color w:val="auto"/>
              </w:rPr>
            </w:pPr>
            <w:r>
              <w:rPr>
                <w:rFonts w:ascii="Arial" w:cs="Arial" w:eastAsia="Arial" w:hAnsi="Arial"/>
                <w:sz w:val="16"/>
                <w:szCs w:val="16"/>
                <w:color w:val="auto"/>
              </w:rPr>
              <w:t>3,517,568</w:t>
            </w:r>
          </w:p>
        </w:tc>
        <w:tc>
          <w:tcPr>
            <w:tcW w:w="84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4,017,994</w:t>
            </w:r>
          </w:p>
        </w:tc>
        <w:tc>
          <w:tcPr>
            <w:tcW w:w="13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14.2%</w:t>
            </w:r>
          </w:p>
        </w:tc>
      </w:tr>
      <w:tr>
        <w:trPr>
          <w:trHeight w:val="183"/>
        </w:trPr>
        <w:tc>
          <w:tcPr>
            <w:tcW w:w="2860" w:type="dxa"/>
            <w:vAlign w:val="bottom"/>
            <w:tcBorders>
              <w:left w:val="single" w:sz="8" w:color="646464"/>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Operating income (2)</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4,147,704</w:t>
            </w:r>
          </w:p>
        </w:tc>
        <w:tc>
          <w:tcPr>
            <w:tcW w:w="10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4,376,339</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4,649,995</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8"/>
              </w:rPr>
              <w:t>6.3%</w:t>
            </w:r>
          </w:p>
        </w:tc>
        <w:tc>
          <w:tcPr>
            <w:tcW w:w="9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12.1%</w:t>
            </w:r>
          </w:p>
        </w:tc>
        <w:tc>
          <w:tcPr>
            <w:tcW w:w="120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8,019,267</w:t>
            </w:r>
          </w:p>
        </w:tc>
        <w:tc>
          <w:tcPr>
            <w:tcW w:w="84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9,026,334</w:t>
            </w:r>
          </w:p>
        </w:tc>
        <w:tc>
          <w:tcPr>
            <w:tcW w:w="13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12.6%</w:t>
            </w:r>
          </w:p>
        </w:tc>
      </w:tr>
      <w:tr>
        <w:trPr>
          <w:trHeight w:val="199"/>
        </w:trPr>
        <w:tc>
          <w:tcPr>
            <w:tcW w:w="2860" w:type="dxa"/>
            <w:vAlign w:val="bottom"/>
            <w:tcBorders>
              <w:left w:val="single" w:sz="8" w:color="646464"/>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Efficiency ratio (3)</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 bps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90 bps</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43.9%</w:t>
            </w:r>
          </w:p>
        </w:tc>
        <w:tc>
          <w:tcPr>
            <w:tcW w:w="8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44.5%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60 bps</w:t>
            </w:r>
          </w:p>
        </w:tc>
      </w:tr>
    </w:tbl>
    <w:p>
      <w:pPr>
        <w:ind w:left="223" w:hanging="223"/>
        <w:spacing w:after="0" w:line="234" w:lineRule="auto"/>
        <w:tabs>
          <w:tab w:leader="none" w:pos="223" w:val="left"/>
        </w:tabs>
        <w:numPr>
          <w:ilvl w:val="0"/>
          <w:numId w:val="37"/>
        </w:numPr>
        <w:rPr>
          <w:rFonts w:ascii="Arial" w:cs="Arial" w:eastAsia="Arial" w:hAnsi="Arial"/>
          <w:sz w:val="11"/>
          <w:szCs w:val="11"/>
          <w:color w:val="auto"/>
        </w:rPr>
      </w:pPr>
      <w:r>
        <w:rPr>
          <w:rFonts w:ascii="Arial" w:cs="Arial" w:eastAsia="Arial" w:hAnsi="Arial"/>
          <w:sz w:val="11"/>
          <w:szCs w:val="11"/>
          <w:color w:val="auto"/>
        </w:rPr>
        <w:t>Operating expenses = Salaries and employee’s benefits + Administrative expenses + Depreciation and amortization + Association in participation + Acquisition cost.</w:t>
      </w:r>
    </w:p>
    <w:p>
      <w:pPr>
        <w:ind w:left="223" w:right="20" w:hanging="223"/>
        <w:spacing w:after="0" w:line="231" w:lineRule="auto"/>
        <w:tabs>
          <w:tab w:leader="none" w:pos="223" w:val="left"/>
        </w:tabs>
        <w:numPr>
          <w:ilvl w:val="0"/>
          <w:numId w:val="37"/>
        </w:numPr>
        <w:rPr>
          <w:rFonts w:ascii="Arial" w:cs="Arial" w:eastAsia="Arial" w:hAnsi="Arial"/>
          <w:sz w:val="11"/>
          <w:szCs w:val="11"/>
          <w:color w:val="auto"/>
        </w:rPr>
      </w:pPr>
      <w:r>
        <w:rPr>
          <w:rFonts w:ascii="Arial" w:cs="Arial" w:eastAsia="Arial" w:hAnsi="Arial"/>
          <w:sz w:val="11"/>
          <w:szCs w:val="11"/>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223" w:hanging="223"/>
        <w:spacing w:after="0"/>
        <w:tabs>
          <w:tab w:leader="none" w:pos="223" w:val="left"/>
        </w:tabs>
        <w:numPr>
          <w:ilvl w:val="0"/>
          <w:numId w:val="37"/>
        </w:numPr>
        <w:rPr>
          <w:rFonts w:ascii="Arial" w:cs="Arial" w:eastAsia="Arial" w:hAnsi="Arial"/>
          <w:sz w:val="11"/>
          <w:szCs w:val="11"/>
          <w:color w:val="auto"/>
        </w:rPr>
      </w:pPr>
      <w:r>
        <w:rPr>
          <w:rFonts w:ascii="Arial" w:cs="Arial" w:eastAsia="Arial" w:hAnsi="Arial"/>
          <w:sz w:val="11"/>
          <w:szCs w:val="11"/>
          <w:color w:val="auto"/>
        </w:rPr>
        <w:t>Operating expenses / Operating income.</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Efficiency Ratio by Subsidiary</w:t>
      </w:r>
    </w:p>
    <w:p>
      <w:pPr>
        <w:spacing w:after="0" w:line="200" w:lineRule="exact"/>
        <w:rPr>
          <w:sz w:val="20"/>
          <w:szCs w:val="20"/>
          <w:color w:val="auto"/>
        </w:rPr>
      </w:pPr>
    </w:p>
    <w:tbl>
      <w:tblPr>
        <w:tblLayout w:type="fixed"/>
        <w:tblInd w:w="1153" w:type="dxa"/>
        <w:tblCellMar>
          <w:top w:w="0" w:type="dxa"/>
          <w:left w:w="0" w:type="dxa"/>
          <w:bottom w:w="0" w:type="dxa"/>
          <w:right w:w="0" w:type="dxa"/>
        </w:tblCellMar>
      </w:tblPr>
      <w:tr>
        <w:trPr>
          <w:trHeight w:val="178"/>
        </w:trPr>
        <w:tc>
          <w:tcPr>
            <w:tcW w:w="2680" w:type="dxa"/>
            <w:vAlign w:val="bottom"/>
            <w:tcBorders>
              <w:right w:val="single" w:sz="8" w:color="auto"/>
            </w:tcBorders>
          </w:tcPr>
          <w:p>
            <w:pPr>
              <w:spacing w:after="0"/>
              <w:rPr>
                <w:sz w:val="15"/>
                <w:szCs w:val="15"/>
                <w:color w:val="auto"/>
              </w:rPr>
            </w:pPr>
          </w:p>
        </w:tc>
        <w:tc>
          <w:tcPr>
            <w:tcW w:w="900" w:type="dxa"/>
            <w:vAlign w:val="bottom"/>
            <w:tcBorders>
              <w:top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BCP</w:t>
            </w:r>
          </w:p>
        </w:tc>
        <w:tc>
          <w:tcPr>
            <w:tcW w:w="900" w:type="dxa"/>
            <w:vAlign w:val="bottom"/>
            <w:tcBorders>
              <w:top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BCP</w:t>
            </w:r>
          </w:p>
        </w:tc>
        <w:tc>
          <w:tcPr>
            <w:tcW w:w="880" w:type="dxa"/>
            <w:vAlign w:val="bottom"/>
            <w:tcBorders>
              <w:top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Mibanco</w:t>
            </w:r>
          </w:p>
        </w:tc>
        <w:tc>
          <w:tcPr>
            <w:tcW w:w="940" w:type="dxa"/>
            <w:vAlign w:val="bottom"/>
            <w:tcBorders>
              <w:top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Mibanco</w:t>
            </w:r>
          </w:p>
        </w:tc>
        <w:tc>
          <w:tcPr>
            <w:tcW w:w="900" w:type="dxa"/>
            <w:vAlign w:val="bottom"/>
            <w:tcBorders>
              <w:top w:val="single" w:sz="8" w:color="auto"/>
            </w:tcBorders>
            <w:shd w:val="clear" w:color="auto" w:fill="33CCCC"/>
          </w:tcPr>
          <w:p>
            <w:pPr>
              <w:ind w:left="100"/>
              <w:spacing w:after="0" w:line="178" w:lineRule="exact"/>
              <w:rPr>
                <w:sz w:val="20"/>
                <w:szCs w:val="20"/>
                <w:color w:val="auto"/>
              </w:rPr>
            </w:pPr>
            <w:r>
              <w:rPr>
                <w:rFonts w:ascii="Arial" w:cs="Arial" w:eastAsia="Arial" w:hAnsi="Arial"/>
                <w:sz w:val="16"/>
                <w:szCs w:val="16"/>
                <w:b w:val="1"/>
                <w:bCs w:val="1"/>
                <w:color w:val="FFFFFF"/>
              </w:rPr>
              <w:t>Pacifico</w:t>
            </w:r>
          </w:p>
        </w:tc>
        <w:tc>
          <w:tcPr>
            <w:tcW w:w="90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w w:val="98"/>
              </w:rPr>
              <w:t>Prima</w:t>
            </w:r>
          </w:p>
        </w:tc>
        <w:tc>
          <w:tcPr>
            <w:tcW w:w="900" w:type="dxa"/>
            <w:vAlign w:val="bottom"/>
            <w:tcBorders>
              <w:top w:val="single" w:sz="8" w:color="auto"/>
              <w:right w:val="single" w:sz="8" w:color="auto"/>
            </w:tcBorders>
            <w:shd w:val="clear" w:color="auto" w:fill="33CCCC"/>
          </w:tcPr>
          <w:p>
            <w:pPr>
              <w:jc w:val="center"/>
              <w:spacing w:after="0" w:line="178" w:lineRule="exact"/>
              <w:rPr>
                <w:sz w:val="20"/>
                <w:szCs w:val="20"/>
                <w:color w:val="auto"/>
              </w:rPr>
            </w:pPr>
            <w:r>
              <w:rPr>
                <w:rFonts w:ascii="Arial" w:cs="Arial" w:eastAsia="Arial" w:hAnsi="Arial"/>
                <w:sz w:val="16"/>
                <w:szCs w:val="16"/>
                <w:b w:val="1"/>
                <w:bCs w:val="1"/>
                <w:color w:val="FFFFFF"/>
              </w:rPr>
              <w:t>Credicorp</w:t>
            </w:r>
          </w:p>
        </w:tc>
      </w:tr>
      <w:tr>
        <w:trPr>
          <w:trHeight w:val="183"/>
        </w:trPr>
        <w:tc>
          <w:tcPr>
            <w:tcW w:w="2680" w:type="dxa"/>
            <w:vAlign w:val="bottom"/>
            <w:tcBorders>
              <w:right w:val="single" w:sz="8" w:color="auto"/>
            </w:tcBorders>
          </w:tcPr>
          <w:p>
            <w:pPr>
              <w:spacing w:after="0"/>
              <w:rPr>
                <w:sz w:val="15"/>
                <w:szCs w:val="15"/>
                <w:color w:val="auto"/>
              </w:rPr>
            </w:pPr>
          </w:p>
        </w:tc>
        <w:tc>
          <w:tcPr>
            <w:tcW w:w="90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Stand-</w:t>
            </w:r>
          </w:p>
        </w:tc>
        <w:tc>
          <w:tcPr>
            <w:tcW w:w="90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Bolivia</w:t>
            </w:r>
          </w:p>
        </w:tc>
        <w:tc>
          <w:tcPr>
            <w:tcW w:w="88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Peru</w:t>
            </w:r>
          </w:p>
        </w:tc>
        <w:tc>
          <w:tcPr>
            <w:tcW w:w="940" w:type="dxa"/>
            <w:vAlign w:val="bottom"/>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rPr>
              <w:t>Colombia</w:t>
            </w:r>
          </w:p>
        </w:tc>
        <w:tc>
          <w:tcPr>
            <w:tcW w:w="900" w:type="dxa"/>
            <w:vAlign w:val="bottom"/>
            <w:shd w:val="clear" w:color="auto" w:fill="33CCCC"/>
          </w:tcPr>
          <w:p>
            <w:pPr>
              <w:spacing w:after="0"/>
              <w:rPr>
                <w:sz w:val="15"/>
                <w:szCs w:val="15"/>
                <w:color w:val="auto"/>
              </w:rPr>
            </w:pPr>
          </w:p>
        </w:tc>
        <w:tc>
          <w:tcPr>
            <w:tcW w:w="900" w:type="dxa"/>
            <w:vAlign w:val="bottom"/>
            <w:tcBorders>
              <w:right w:val="single" w:sz="8" w:color="auto"/>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w w:val="99"/>
              </w:rPr>
              <w:t>AFP</w:t>
            </w:r>
          </w:p>
        </w:tc>
        <w:tc>
          <w:tcPr>
            <w:tcW w:w="900" w:type="dxa"/>
            <w:vAlign w:val="bottom"/>
            <w:tcBorders>
              <w:right w:val="single" w:sz="8" w:color="auto"/>
            </w:tcBorders>
            <w:shd w:val="clear" w:color="auto" w:fill="33CCCC"/>
          </w:tcPr>
          <w:p>
            <w:pPr>
              <w:spacing w:after="0"/>
              <w:rPr>
                <w:sz w:val="15"/>
                <w:szCs w:val="15"/>
                <w:color w:val="auto"/>
              </w:rPr>
            </w:pPr>
          </w:p>
        </w:tc>
      </w:tr>
      <w:tr>
        <w:trPr>
          <w:trHeight w:val="199"/>
        </w:trPr>
        <w:tc>
          <w:tcPr>
            <w:tcW w:w="26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alone</w:t>
            </w:r>
          </w:p>
        </w:tc>
        <w:tc>
          <w:tcPr>
            <w:tcW w:w="900" w:type="dxa"/>
            <w:vAlign w:val="bottom"/>
            <w:tcBorders>
              <w:bottom w:val="single" w:sz="8" w:color="auto"/>
            </w:tcBorders>
            <w:shd w:val="clear" w:color="auto" w:fill="33CCCC"/>
          </w:tcPr>
          <w:p>
            <w:pPr>
              <w:spacing w:after="0"/>
              <w:rPr>
                <w:sz w:val="17"/>
                <w:szCs w:val="17"/>
                <w:color w:val="auto"/>
              </w:rPr>
            </w:pPr>
          </w:p>
        </w:tc>
        <w:tc>
          <w:tcPr>
            <w:tcW w:w="880" w:type="dxa"/>
            <w:vAlign w:val="bottom"/>
            <w:tcBorders>
              <w:bottom w:val="single" w:sz="8" w:color="auto"/>
            </w:tcBorders>
            <w:shd w:val="clear" w:color="auto" w:fill="33CCCC"/>
          </w:tcPr>
          <w:p>
            <w:pPr>
              <w:spacing w:after="0"/>
              <w:rPr>
                <w:sz w:val="17"/>
                <w:szCs w:val="17"/>
                <w:color w:val="auto"/>
              </w:rPr>
            </w:pPr>
          </w:p>
        </w:tc>
        <w:tc>
          <w:tcPr>
            <w:tcW w:w="940" w:type="dxa"/>
            <w:vAlign w:val="bottom"/>
            <w:tcBorders>
              <w:bottom w:val="single" w:sz="8" w:color="auto"/>
            </w:tcBorders>
            <w:shd w:val="clear" w:color="auto" w:fill="33CCCC"/>
          </w:tcPr>
          <w:p>
            <w:pPr>
              <w:spacing w:after="0"/>
              <w:rPr>
                <w:sz w:val="17"/>
                <w:szCs w:val="17"/>
                <w:color w:val="auto"/>
              </w:rPr>
            </w:pPr>
          </w:p>
        </w:tc>
        <w:tc>
          <w:tcPr>
            <w:tcW w:w="900" w:type="dxa"/>
            <w:vAlign w:val="bottom"/>
            <w:tcBorders>
              <w:bottom w:val="single" w:sz="8" w:color="auto"/>
            </w:tcBorders>
            <w:shd w:val="clear" w:color="auto" w:fill="33CCCC"/>
          </w:tcPr>
          <w:p>
            <w:pPr>
              <w:spacing w:after="0"/>
              <w:rPr>
                <w:sz w:val="17"/>
                <w:szCs w:val="17"/>
                <w:color w:val="auto"/>
              </w:rPr>
            </w:pPr>
          </w:p>
        </w:tc>
        <w:tc>
          <w:tcPr>
            <w:tcW w:w="900" w:type="dxa"/>
            <w:vAlign w:val="bottom"/>
            <w:tcBorders>
              <w:bottom w:val="single" w:sz="8" w:color="auto"/>
              <w:right w:val="single" w:sz="8" w:color="auto"/>
            </w:tcBorders>
            <w:shd w:val="clear" w:color="auto" w:fill="33CCCC"/>
          </w:tcPr>
          <w:p>
            <w:pPr>
              <w:spacing w:after="0"/>
              <w:rPr>
                <w:sz w:val="17"/>
                <w:szCs w:val="17"/>
                <w:color w:val="auto"/>
              </w:rPr>
            </w:pPr>
          </w:p>
        </w:tc>
        <w:tc>
          <w:tcPr>
            <w:tcW w:w="900" w:type="dxa"/>
            <w:vAlign w:val="bottom"/>
            <w:tcBorders>
              <w:bottom w:val="single" w:sz="8" w:color="auto"/>
              <w:right w:val="single" w:sz="8" w:color="auto"/>
            </w:tcBorders>
            <w:shd w:val="clear" w:color="auto" w:fill="33CCCC"/>
          </w:tcPr>
          <w:p>
            <w:pPr>
              <w:spacing w:after="0"/>
              <w:rPr>
                <w:sz w:val="17"/>
                <w:szCs w:val="17"/>
                <w:color w:val="auto"/>
              </w:rPr>
            </w:pPr>
          </w:p>
        </w:tc>
      </w:tr>
      <w:tr>
        <w:trPr>
          <w:trHeight w:val="158"/>
        </w:trPr>
        <w:tc>
          <w:tcPr>
            <w:tcW w:w="268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2Q21</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40.3%</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58.9%</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55.6%</w:t>
            </w:r>
          </w:p>
        </w:tc>
        <w:tc>
          <w:tcPr>
            <w:tcW w:w="940" w:type="dxa"/>
            <w:vAlign w:val="bottom"/>
          </w:tcPr>
          <w:p>
            <w:pPr>
              <w:jc w:val="center"/>
              <w:spacing w:after="0" w:line="158" w:lineRule="exact"/>
              <w:rPr>
                <w:sz w:val="20"/>
                <w:szCs w:val="20"/>
                <w:color w:val="auto"/>
              </w:rPr>
            </w:pPr>
            <w:r>
              <w:rPr>
                <w:rFonts w:ascii="Arial" w:cs="Arial" w:eastAsia="Arial" w:hAnsi="Arial"/>
                <w:sz w:val="16"/>
                <w:szCs w:val="16"/>
                <w:color w:val="auto"/>
              </w:rPr>
              <w:t>74.1%</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36.6%</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44.9%</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rPr>
              <w:t>43.7%</w:t>
            </w:r>
          </w:p>
        </w:tc>
      </w:tr>
      <w:tr>
        <w:trPr>
          <w:trHeight w:val="183"/>
        </w:trPr>
        <w:tc>
          <w:tcPr>
            <w:tcW w:w="268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1Q22</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40.6%</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59.9%</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53.0%</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rPr>
              <w:t>79.2%</w:t>
            </w: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36.1%</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54.5%</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44.5%</w:t>
            </w:r>
          </w:p>
        </w:tc>
      </w:tr>
      <w:tr>
        <w:trPr>
          <w:trHeight w:val="199"/>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2Q22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41.5%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58.0%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50.4%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75.6%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34.6%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52.6%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44.6%</w:t>
            </w:r>
          </w:p>
        </w:tc>
      </w:tr>
      <w:tr>
        <w:trPr>
          <w:trHeight w:val="175"/>
        </w:trPr>
        <w:tc>
          <w:tcPr>
            <w:tcW w:w="2680" w:type="dxa"/>
            <w:vAlign w:val="bottom"/>
            <w:tcBorders>
              <w:left w:val="single" w:sz="8" w:color="auto"/>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7"/>
              </w:rPr>
              <w:t>Var. QoQ</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90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-190 bps</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-260 bps</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-360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-150 bps</w:t>
            </w:r>
          </w:p>
        </w:tc>
        <w:tc>
          <w:tcPr>
            <w:tcW w:w="9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-190 bps</w:t>
            </w:r>
          </w:p>
        </w:tc>
        <w:tc>
          <w:tcPr>
            <w:tcW w:w="9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10 bps</w:t>
            </w:r>
          </w:p>
        </w:tc>
      </w:tr>
      <w:tr>
        <w:trPr>
          <w:trHeight w:val="175"/>
        </w:trPr>
        <w:tc>
          <w:tcPr>
            <w:tcW w:w="2680" w:type="dxa"/>
            <w:vAlign w:val="bottom"/>
            <w:tcBorders>
              <w:left w:val="single" w:sz="8" w:color="auto"/>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7"/>
              </w:rPr>
              <w:t>Var. YoY</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120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9"/>
              </w:rPr>
              <w:t>-90 bps</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-520 bps</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150 bps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-200 bps</w:t>
            </w:r>
          </w:p>
        </w:tc>
        <w:tc>
          <w:tcPr>
            <w:tcW w:w="9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770 bps</w:t>
            </w:r>
          </w:p>
        </w:tc>
        <w:tc>
          <w:tcPr>
            <w:tcW w:w="9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90 bps</w:t>
            </w:r>
          </w:p>
        </w:tc>
      </w:tr>
      <w:tr>
        <w:trPr>
          <w:trHeight w:val="163"/>
        </w:trPr>
        <w:tc>
          <w:tcPr>
            <w:tcW w:w="2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8"/>
        </w:trPr>
        <w:tc>
          <w:tcPr>
            <w:tcW w:w="2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Jun - 21</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40.2%</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59.3%</w:t>
            </w:r>
          </w:p>
        </w:tc>
        <w:tc>
          <w:tcPr>
            <w:tcW w:w="880" w:type="dxa"/>
            <w:vAlign w:val="bottom"/>
          </w:tcPr>
          <w:p>
            <w:pPr>
              <w:jc w:val="center"/>
              <w:spacing w:after="0" w:line="158" w:lineRule="exact"/>
              <w:rPr>
                <w:sz w:val="20"/>
                <w:szCs w:val="20"/>
                <w:color w:val="auto"/>
              </w:rPr>
            </w:pPr>
            <w:r>
              <w:rPr>
                <w:rFonts w:ascii="Arial" w:cs="Arial" w:eastAsia="Arial" w:hAnsi="Arial"/>
                <w:sz w:val="16"/>
                <w:szCs w:val="16"/>
                <w:color w:val="auto"/>
              </w:rPr>
              <w:t>58.6%</w:t>
            </w:r>
          </w:p>
        </w:tc>
        <w:tc>
          <w:tcPr>
            <w:tcW w:w="940" w:type="dxa"/>
            <w:vAlign w:val="bottom"/>
          </w:tcPr>
          <w:p>
            <w:pPr>
              <w:jc w:val="center"/>
              <w:spacing w:after="0" w:line="158" w:lineRule="exact"/>
              <w:rPr>
                <w:sz w:val="20"/>
                <w:szCs w:val="20"/>
                <w:color w:val="auto"/>
              </w:rPr>
            </w:pPr>
            <w:r>
              <w:rPr>
                <w:rFonts w:ascii="Arial" w:cs="Arial" w:eastAsia="Arial" w:hAnsi="Arial"/>
                <w:sz w:val="16"/>
                <w:szCs w:val="16"/>
                <w:color w:val="auto"/>
              </w:rPr>
              <w:t>76.1%</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37.0%</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45.7%</w:t>
            </w:r>
          </w:p>
        </w:tc>
        <w:tc>
          <w:tcPr>
            <w:tcW w:w="900" w:type="dxa"/>
            <w:vAlign w:val="bottom"/>
          </w:tcPr>
          <w:p>
            <w:pPr>
              <w:jc w:val="center"/>
              <w:spacing w:after="0" w:line="158" w:lineRule="exact"/>
              <w:rPr>
                <w:sz w:val="20"/>
                <w:szCs w:val="20"/>
                <w:color w:val="auto"/>
              </w:rPr>
            </w:pPr>
            <w:r>
              <w:rPr>
                <w:rFonts w:ascii="Arial" w:cs="Arial" w:eastAsia="Arial" w:hAnsi="Arial"/>
                <w:sz w:val="16"/>
                <w:szCs w:val="16"/>
                <w:color w:val="auto"/>
              </w:rPr>
              <w:t>43.9%</w:t>
            </w:r>
          </w:p>
        </w:tc>
      </w:tr>
      <w:tr>
        <w:trPr>
          <w:trHeight w:val="199"/>
        </w:trPr>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Jun - 22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41.1%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58.9%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77.3%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35.4%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44.5%</w:t>
            </w:r>
          </w:p>
        </w:tc>
      </w:tr>
      <w:tr>
        <w:trPr>
          <w:trHeight w:val="174"/>
        </w:trPr>
        <w:tc>
          <w:tcPr>
            <w:tcW w:w="2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 change</w:t>
            </w:r>
          </w:p>
        </w:tc>
        <w:tc>
          <w:tcPr>
            <w:tcW w:w="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90 bps</w:t>
            </w:r>
          </w:p>
        </w:tc>
        <w:tc>
          <w:tcPr>
            <w:tcW w:w="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-40 bps</w:t>
            </w: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-700 bps</w:t>
            </w:r>
          </w:p>
        </w:tc>
        <w:tc>
          <w:tcPr>
            <w:tcW w:w="9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120 bps</w:t>
            </w:r>
          </w:p>
        </w:tc>
        <w:tc>
          <w:tcPr>
            <w:tcW w:w="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-160 bps</w:t>
            </w:r>
          </w:p>
        </w:tc>
        <w:tc>
          <w:tcPr>
            <w:tcW w:w="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780 bps</w:t>
            </w:r>
          </w:p>
        </w:tc>
        <w:tc>
          <w:tcPr>
            <w:tcW w:w="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60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-362585</wp:posOffset>
            </wp:positionV>
            <wp:extent cx="5715000" cy="4870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000" cy="487045"/>
                    </a:xfrm>
                    <a:prstGeom prst="rect">
                      <a:avLst/>
                    </a:prstGeom>
                    <a:noFill/>
                  </pic:spPr>
                </pic:pic>
              </a:graphicData>
            </a:graphic>
          </wp:anchor>
        </w:drawing>
      </w:r>
    </w:p>
    <w:p>
      <w:pPr>
        <w:ind w:left="1783"/>
        <w:spacing w:after="0"/>
        <w:rPr>
          <w:sz w:val="20"/>
          <w:szCs w:val="20"/>
          <w:color w:val="auto"/>
        </w:rPr>
      </w:pPr>
      <w:r>
        <w:rPr>
          <w:rFonts w:ascii="Arial" w:cs="Arial" w:eastAsia="Arial" w:hAnsi="Arial"/>
          <w:sz w:val="16"/>
          <w:szCs w:val="16"/>
          <w:b w:val="1"/>
          <w:bCs w:val="1"/>
          <w:color w:val="auto"/>
        </w:rPr>
        <w:t>Jun - 22 / Jun - 21</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The analysis of the efficiency ratio is performed based on income and expenses in a </w:t>
      </w:r>
      <w:r>
        <w:rPr>
          <w:rFonts w:ascii="Times New Roman" w:cs="Times New Roman" w:eastAsia="Times New Roman" w:hAnsi="Times New Roman"/>
          <w:sz w:val="16"/>
          <w:szCs w:val="16"/>
          <w:b w:val="1"/>
          <w:bCs w:val="1"/>
          <w:color w:val="auto"/>
        </w:rPr>
        <w:t>YTD</w:t>
      </w:r>
      <w:r>
        <w:rPr>
          <w:rFonts w:ascii="Times New Roman" w:cs="Times New Roman" w:eastAsia="Times New Roman" w:hAnsi="Times New Roman"/>
          <w:sz w:val="16"/>
          <w:szCs w:val="16"/>
          <w:color w:val="auto"/>
        </w:rPr>
        <w:t xml:space="preserve"> basis in order to eliminate seasonal effects between quarters.</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The deterioration of the efficiency ratio is mainly due to the fact that expenses in </w:t>
      </w:r>
      <w:r>
        <w:rPr>
          <w:rFonts w:ascii="Times New Roman" w:cs="Times New Roman" w:eastAsia="Times New Roman" w:hAnsi="Times New Roman"/>
          <w:sz w:val="16"/>
          <w:szCs w:val="16"/>
          <w:b w:val="1"/>
          <w:bCs w:val="1"/>
          <w:color w:val="auto"/>
        </w:rPr>
        <w:t>BCP Stand-alone</w:t>
      </w:r>
      <w:r>
        <w:rPr>
          <w:rFonts w:ascii="Times New Roman" w:cs="Times New Roman" w:eastAsia="Times New Roman" w:hAnsi="Times New Roman"/>
          <w:sz w:val="16"/>
          <w:szCs w:val="16"/>
          <w:color w:val="auto"/>
        </w:rPr>
        <w:t xml:space="preserve"> increased more than income. These expenses are related to:</w:t>
      </w:r>
    </w:p>
    <w:p>
      <w:pPr>
        <w:spacing w:after="0" w:line="232" w:lineRule="exact"/>
        <w:rPr>
          <w:sz w:val="20"/>
          <w:szCs w:val="20"/>
          <w:color w:val="auto"/>
        </w:rPr>
      </w:pPr>
    </w:p>
    <w:p>
      <w:pPr>
        <w:ind w:left="103" w:hanging="103"/>
        <w:spacing w:after="0"/>
        <w:tabs>
          <w:tab w:leader="none" w:pos="10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development and increased benefits of the customer loyalty program due to an uptick in transactionality,</w:t>
      </w:r>
    </w:p>
    <w:p>
      <w:pPr>
        <w:spacing w:after="0" w:line="26"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variable compensation after commercial targets were exceed this quarter; and</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evolution of disruptive initiatives.</w:t>
      </w:r>
    </w:p>
    <w:p>
      <w:pPr>
        <w:spacing w:after="0" w:line="212" w:lineRule="exact"/>
        <w:rPr>
          <w:sz w:val="20"/>
          <w:szCs w:val="20"/>
          <w:color w:val="auto"/>
        </w:rPr>
      </w:pPr>
    </w:p>
    <w:p>
      <w:pPr>
        <w:jc w:val="both"/>
        <w:ind w:left="3" w:right="20"/>
        <w:spacing w:after="0" w:line="272" w:lineRule="auto"/>
        <w:rPr>
          <w:sz w:val="20"/>
          <w:szCs w:val="20"/>
          <w:color w:val="auto"/>
        </w:rPr>
      </w:pPr>
      <w:r>
        <w:rPr>
          <w:rFonts w:ascii="Times New Roman" w:cs="Times New Roman" w:eastAsia="Times New Roman" w:hAnsi="Times New Roman"/>
          <w:sz w:val="16"/>
          <w:szCs w:val="16"/>
          <w:color w:val="auto"/>
        </w:rPr>
        <w:t xml:space="preserve">The aforementioned deterioration was partially offset by an improvement in efficiency at </w:t>
      </w:r>
      <w:r>
        <w:rPr>
          <w:rFonts w:ascii="Times New Roman" w:cs="Times New Roman" w:eastAsia="Times New Roman" w:hAnsi="Times New Roman"/>
          <w:sz w:val="16"/>
          <w:szCs w:val="16"/>
          <w:b w:val="1"/>
          <w:bCs w:val="1"/>
          <w:color w:val="auto"/>
        </w:rPr>
        <w:t>Mibanco Peru</w:t>
      </w:r>
      <w:r>
        <w:rPr>
          <w:rFonts w:ascii="Times New Roman" w:cs="Times New Roman" w:eastAsia="Times New Roman" w:hAnsi="Times New Roman"/>
          <w:sz w:val="16"/>
          <w:szCs w:val="16"/>
          <w:color w:val="auto"/>
        </w:rPr>
        <w:t>, which was attributable to an increase in interest income through active interest rate management in a context of rising funding cost. Advances in the implementation of Mibanco’s hybrid model has enabled to maintain it to control operating expenses and bolster disbursement levels through leads and alternative channels.</w:t>
      </w:r>
    </w:p>
    <w:p>
      <w:pPr>
        <w:spacing w:after="0" w:line="180"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If we exclude expenses related to internal disruptive initiatives (Yape) and to our Corporate Venture Capital Center (Krealo) from both 2022 and 2021, Credicorp’s efficiency ratio improves 34bsp YTD.</w:t>
      </w:r>
    </w:p>
    <w:p>
      <w:pPr>
        <w:spacing w:after="0" w:line="310"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39" w:name="page40"/>
    <w:bookmarkEnd w:id="39"/>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E93CAC"/>
        </w:rPr>
        <w:t xml:space="preserve">10 </w:t>
      </w:r>
      <w:r>
        <w:rPr>
          <w:rFonts w:ascii="Times New Roman" w:cs="Times New Roman" w:eastAsia="Times New Roman" w:hAnsi="Times New Roman"/>
          <w:sz w:val="29"/>
          <w:szCs w:val="29"/>
          <w:b w:val="1"/>
          <w:bCs w:val="1"/>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45655" cy="927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5655" cy="92773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The Regulatory Capital Ratio was 1.56 times above the required level.</w:t>
      </w:r>
    </w:p>
    <w:p>
      <w:pPr>
        <w:spacing w:after="0" w:line="120" w:lineRule="exact"/>
        <w:rPr>
          <w:sz w:val="20"/>
          <w:szCs w:val="20"/>
          <w:color w:val="auto"/>
        </w:rPr>
      </w:pPr>
    </w:p>
    <w:p>
      <w:pPr>
        <w:ind w:left="120" w:right="120"/>
        <w:spacing w:after="0" w:line="278" w:lineRule="auto"/>
        <w:rPr>
          <w:sz w:val="20"/>
          <w:szCs w:val="20"/>
          <w:color w:val="auto"/>
        </w:rPr>
      </w:pPr>
      <w:r>
        <w:rPr>
          <w:rFonts w:ascii="Arial" w:cs="Arial" w:eastAsia="Arial" w:hAnsi="Arial"/>
          <w:sz w:val="16"/>
          <w:szCs w:val="16"/>
          <w:color w:val="FFFFFF"/>
        </w:rPr>
        <w:t>BCP Stand-alone’s ratio increased 36 bps YoY to stand at 11.6%, which reflected a 9.5% increase in capital and reserves and the uptick in retained earnings results.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Mibanco’s CET1 ratio remained relatively stable at 15.2%.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10.1 Credicorp’s Regulatory Capital</w:t>
      </w:r>
    </w:p>
    <w:p>
      <w:pPr>
        <w:spacing w:after="0" w:line="232" w:lineRule="exact"/>
        <w:rPr>
          <w:sz w:val="20"/>
          <w:szCs w:val="20"/>
          <w:color w:val="auto"/>
        </w:rPr>
      </w:pPr>
    </w:p>
    <w:p>
      <w:pPr>
        <w:jc w:val="both"/>
        <w:ind w:right="5860"/>
        <w:spacing w:after="0" w:line="261" w:lineRule="auto"/>
        <w:rPr>
          <w:sz w:val="20"/>
          <w:szCs w:val="20"/>
          <w:color w:val="auto"/>
        </w:rPr>
      </w:pPr>
      <w:r>
        <w:rPr>
          <w:rFonts w:ascii="Times New Roman" w:cs="Times New Roman" w:eastAsia="Times New Roman" w:hAnsi="Times New Roman"/>
          <w:sz w:val="16"/>
          <w:szCs w:val="16"/>
          <w:color w:val="auto"/>
        </w:rPr>
        <w:t>Credicorp’s regulatory capital ratio was 1.56 times above the required capital level at the end of 2Q22. In the QoQ analysis, the ratio rose 5bps due to a 11.2% increase in Optional Capital Reserves and Restricted Reserves, which was associated with balance transfers from the accumulated earnings account. This was partially offset by an increase in capital requirements to cover the uptick in loan growth reported at BCP Stand-alone and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-751205</wp:posOffset>
            </wp:positionV>
            <wp:extent cx="1871345" cy="12528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71345" cy="12528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YoY analysis, the Regulatory Capital Ratio was relatively stable.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10.2 BCP Stand-alone’s Regulatory Capital Ratio</w:t>
      </w:r>
    </w:p>
    <w:p>
      <w:pPr>
        <w:spacing w:after="0" w:line="1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At the end of 2Q22, the Tier 1 and Global Capital Ratio at BCP Stand-alone stood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at 10.3% (-49bps QoQ) and 15.2% (-56bps QoQ) respectively. These reductions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were primarily driven by the increase in loans’ share of risk-weighted assets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(RWAs). In the case of the Global Regulatory Ratio, the aforementioned dynamic</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was partially offset by growth in the Subordinated Debt Balance, which was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spurred by exchange rate movements.</w:t>
      </w:r>
    </w:p>
    <w:p>
      <w:pPr>
        <w:spacing w:after="0" w:line="1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In the YoY analysis, these ratios remained stable.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Equity Tier 1 Ratio IFRS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158115</wp:posOffset>
            </wp:positionV>
            <wp:extent cx="6704965" cy="11137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4965" cy="111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BCP’s Common Equity Tier 1 Ratio (CET 1) under IFRS accounting reflected a drop of 6bps QoQ, standing at 11.57% for 2Q22. This was associated to growth in Risk-weighted Assets (+4.7%) was partially offset by an increase in Retained Earnings Results (+66.5%). Finally, in the YoY analysis, the CET1 ratio rose 36bps, driven by a 9.5% increase in Capital and Reserves, which was spurred by the capitalization of earnings from 2021 and by the uptick reported for Retained Earnings Results. This evolution was partially mitigated by 6.9% growth in RWAs.</w:t>
      </w:r>
    </w:p>
    <w:p>
      <w:pPr>
        <w:spacing w:after="0" w:line="32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0" w:name="page41"/>
    <w:bookmarkEnd w:id="4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10.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45655" cy="1390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10.3 Mibanco’s Regulatory Capital</w:t>
      </w:r>
    </w:p>
    <w:p>
      <w:pPr>
        <w:spacing w:after="0" w:line="232" w:lineRule="exact"/>
        <w:rPr>
          <w:sz w:val="20"/>
          <w:szCs w:val="20"/>
          <w:color w:val="auto"/>
        </w:rPr>
      </w:pPr>
    </w:p>
    <w:p>
      <w:pPr>
        <w:jc w:val="both"/>
        <w:ind w:left="5840" w:right="20"/>
        <w:spacing w:after="0" w:line="265" w:lineRule="auto"/>
        <w:rPr>
          <w:sz w:val="20"/>
          <w:szCs w:val="20"/>
          <w:color w:val="auto"/>
        </w:rPr>
      </w:pPr>
      <w:r>
        <w:rPr>
          <w:rFonts w:ascii="Times New Roman" w:cs="Times New Roman" w:eastAsia="Times New Roman" w:hAnsi="Times New Roman"/>
          <w:sz w:val="16"/>
          <w:szCs w:val="16"/>
          <w:color w:val="auto"/>
        </w:rPr>
        <w:t>At the end of 2Q22, the Tier 1 Regulatory Ratio and the Global Capital Ratio at Mibanco stood at 12.6% (-69bps QoQ) and 14.8% (-80bps QoQ) respectively. This evolution was driven primarily by the 5.5% increase in Risk-Weighted Assets (RWAs), which in turn reflected an uptick in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-504825</wp:posOffset>
            </wp:positionV>
            <wp:extent cx="2474595" cy="1399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74595" cy="1399540"/>
                    </a:xfrm>
                    <a:prstGeom prst="rect">
                      <a:avLst/>
                    </a:prstGeom>
                    <a:noFill/>
                  </pic:spPr>
                </pic:pic>
              </a:graphicData>
            </a:graphic>
          </wp:anchor>
        </w:drawing>
      </w:r>
    </w:p>
    <w:p>
      <w:pPr>
        <w:spacing w:after="0" w:line="166" w:lineRule="exact"/>
        <w:rPr>
          <w:sz w:val="20"/>
          <w:szCs w:val="20"/>
          <w:color w:val="auto"/>
        </w:rPr>
      </w:pPr>
    </w:p>
    <w:p>
      <w:pPr>
        <w:jc w:val="both"/>
        <w:ind w:left="5840" w:right="20"/>
        <w:spacing w:after="0" w:line="265" w:lineRule="auto"/>
        <w:rPr>
          <w:sz w:val="20"/>
          <w:szCs w:val="20"/>
          <w:color w:val="auto"/>
        </w:rPr>
      </w:pPr>
      <w:r>
        <w:rPr>
          <w:rFonts w:ascii="Times New Roman" w:cs="Times New Roman" w:eastAsia="Times New Roman" w:hAnsi="Times New Roman"/>
          <w:sz w:val="16"/>
          <w:szCs w:val="16"/>
          <w:color w:val="auto"/>
        </w:rPr>
        <w:t>The YoY evolution shows a 214 bps and 244 bps decrease in the Tier 1 Regulatory and Global Capital Ratio respectively. Both variations were fueled by a 23.3% increase in RWAs and were driven by the same factors mentioned in the QoQ analysis.</w:t>
      </w:r>
    </w:p>
    <w:p>
      <w:pPr>
        <w:spacing w:after="0" w:line="200" w:lineRule="exact"/>
        <w:rPr>
          <w:sz w:val="20"/>
          <w:szCs w:val="20"/>
          <w:color w:val="auto"/>
        </w:rPr>
      </w:pPr>
    </w:p>
    <w:p>
      <w:pPr>
        <w:spacing w:after="0" w:line="3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Finally, the CET1 Ratio under IFRS accounting was relatively stable QoQ and YoY. The accumulation of retained earnings was offset by the increase in RWAs. Mainly due to Credit Risk.</w:t>
      </w:r>
    </w:p>
    <w:p>
      <w:pPr>
        <w:spacing w:after="0" w:line="31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1" w:name="page42"/>
    <w:bookmarkEnd w:id="4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3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47"/>
          <w:szCs w:val="47"/>
          <w:b w:val="1"/>
          <w:bCs w:val="1"/>
          <w:color w:val="E93CAC"/>
        </w:rPr>
        <w:t xml:space="preserve">11 </w:t>
      </w:r>
      <w:r>
        <w:rPr>
          <w:rFonts w:ascii="Times New Roman" w:cs="Times New Roman" w:eastAsia="Times New Roman" w:hAnsi="Times New Roman"/>
          <w:sz w:val="29"/>
          <w:szCs w:val="29"/>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5655" cy="1144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5655" cy="1144270"/>
                    </a:xfrm>
                    <a:prstGeom prst="rect">
                      <a:avLst/>
                    </a:prstGeom>
                    <a:noFill/>
                  </pic:spPr>
                </pic:pic>
              </a:graphicData>
            </a:graphic>
          </wp:anchor>
        </w:drawing>
      </w:r>
    </w:p>
    <w:p>
      <w:pPr>
        <w:spacing w:after="0" w:line="318" w:lineRule="exact"/>
        <w:rPr>
          <w:sz w:val="20"/>
          <w:szCs w:val="20"/>
          <w:color w:val="auto"/>
        </w:rPr>
      </w:pPr>
    </w:p>
    <w:p>
      <w:pPr>
        <w:jc w:val="both"/>
        <w:ind w:left="123" w:right="120"/>
        <w:spacing w:after="0" w:line="258" w:lineRule="auto"/>
        <w:rPr>
          <w:sz w:val="20"/>
          <w:szCs w:val="20"/>
          <w:color w:val="auto"/>
        </w:rPr>
      </w:pPr>
      <w:r>
        <w:rPr>
          <w:rFonts w:ascii="Arial" w:cs="Arial" w:eastAsia="Arial" w:hAnsi="Arial"/>
          <w:sz w:val="16"/>
          <w:szCs w:val="16"/>
          <w:color w:val="FFFFFF"/>
        </w:rPr>
        <w:t>Estimates indicate that the Peruvian economy grew 3.0% YoY in 2Q22, driven primarily by the service sector and non-primary manufacturing. The uptick in the service sector was triggered by a loosening of restrictions, which benefitted lodging, restaurant and transportation businesses in particular. Growth this quarter was offset by a 1.5% drop in primary activities, which was fueled by a downturn in mining production.</w:t>
      </w:r>
    </w:p>
    <w:p>
      <w:pPr>
        <w:spacing w:after="0" w:line="137" w:lineRule="exact"/>
        <w:rPr>
          <w:sz w:val="20"/>
          <w:szCs w:val="20"/>
          <w:color w:val="auto"/>
        </w:rPr>
      </w:pPr>
    </w:p>
    <w:p>
      <w:pPr>
        <w:jc w:val="both"/>
        <w:ind w:left="123" w:right="120"/>
        <w:spacing w:after="0" w:line="278" w:lineRule="auto"/>
        <w:rPr>
          <w:sz w:val="20"/>
          <w:szCs w:val="20"/>
          <w:color w:val="auto"/>
        </w:rPr>
      </w:pPr>
      <w:r>
        <w:rPr>
          <w:rFonts w:ascii="Arial" w:cs="Arial" w:eastAsia="Arial" w:hAnsi="Arial"/>
          <w:sz w:val="16"/>
          <w:szCs w:val="16"/>
          <w:color w:val="FFFFFF"/>
        </w:rPr>
        <w:t>The annual Inflation rate for 2Q22 closed at 8.8% YoY, which represented the highest point since July 1997. The uptick was primarily driven by rising prices for imported commodities in the context set by the war in the Ukraine.</w:t>
      </w:r>
    </w:p>
    <w:p>
      <w:pPr>
        <w:spacing w:after="0" w:line="122" w:lineRule="exact"/>
        <w:rPr>
          <w:sz w:val="20"/>
          <w:szCs w:val="20"/>
          <w:color w:val="auto"/>
        </w:rPr>
      </w:pPr>
    </w:p>
    <w:p>
      <w:pPr>
        <w:ind w:left="123"/>
        <w:spacing w:after="0"/>
        <w:rPr>
          <w:sz w:val="20"/>
          <w:szCs w:val="20"/>
          <w:color w:val="auto"/>
        </w:rPr>
      </w:pPr>
      <w:r>
        <w:rPr>
          <w:rFonts w:ascii="Arial" w:cs="Arial" w:eastAsia="Arial" w:hAnsi="Arial"/>
          <w:sz w:val="16"/>
          <w:szCs w:val="16"/>
          <w:color w:val="FFFFFF"/>
        </w:rPr>
        <w:t>According to BCRP, the exchange rate closed at USDPEN 3.826 in 2Q22, which represents a decrease of 4.1% from the 3.676 registered in 1Q22.</w:t>
      </w:r>
    </w:p>
    <w:p>
      <w:pPr>
        <w:spacing w:after="0" w:line="2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Peru: Economic Forecast</w:t>
      </w:r>
    </w:p>
    <w:p>
      <w:pPr>
        <w:spacing w:after="0" w:line="116" w:lineRule="exact"/>
        <w:rPr>
          <w:sz w:val="20"/>
          <w:szCs w:val="20"/>
          <w:color w:val="auto"/>
        </w:rPr>
      </w:pPr>
    </w:p>
    <w:tbl>
      <w:tblPr>
        <w:tblLayout w:type="fixed"/>
        <w:tblInd w:w="3" w:type="dxa"/>
        <w:tblCellMar>
          <w:top w:w="0" w:type="dxa"/>
          <w:left w:w="0" w:type="dxa"/>
          <w:bottom w:w="0" w:type="dxa"/>
          <w:right w:w="0" w:type="dxa"/>
        </w:tblCellMar>
      </w:tblPr>
      <w:tr>
        <w:trPr>
          <w:trHeight w:val="310"/>
        </w:trPr>
        <w:tc>
          <w:tcPr>
            <w:tcW w:w="3860" w:type="dxa"/>
            <w:vAlign w:val="bottom"/>
            <w:shd w:val="clear" w:color="auto" w:fill="33CCCC"/>
          </w:tcPr>
          <w:p>
            <w:pPr>
              <w:ind w:left="2020"/>
              <w:spacing w:after="0"/>
              <w:rPr>
                <w:sz w:val="20"/>
                <w:szCs w:val="20"/>
                <w:color w:val="auto"/>
              </w:rPr>
            </w:pPr>
            <w:r>
              <w:rPr>
                <w:rFonts w:ascii="Arial" w:cs="Arial" w:eastAsia="Arial" w:hAnsi="Arial"/>
                <w:sz w:val="16"/>
                <w:szCs w:val="16"/>
                <w:b w:val="1"/>
                <w:bCs w:val="1"/>
                <w:color w:val="FFFFFF"/>
              </w:rPr>
              <w:t>Peru</w:t>
            </w:r>
          </w:p>
        </w:tc>
        <w:tc>
          <w:tcPr>
            <w:tcW w:w="1920" w:type="dxa"/>
            <w:vAlign w:val="bottom"/>
            <w:shd w:val="clear" w:color="auto" w:fill="33CCCC"/>
          </w:tcPr>
          <w:p>
            <w:pPr>
              <w:jc w:val="center"/>
              <w:ind w:left="479"/>
              <w:spacing w:after="0"/>
              <w:rPr>
                <w:sz w:val="20"/>
                <w:szCs w:val="20"/>
                <w:color w:val="auto"/>
              </w:rPr>
            </w:pPr>
            <w:r>
              <w:rPr>
                <w:rFonts w:ascii="Arial" w:cs="Arial" w:eastAsia="Arial" w:hAnsi="Arial"/>
                <w:sz w:val="16"/>
                <w:szCs w:val="16"/>
                <w:b w:val="1"/>
                <w:bCs w:val="1"/>
                <w:color w:val="FFFFFF"/>
              </w:rPr>
              <w:t>2018</w:t>
            </w:r>
          </w:p>
        </w:tc>
        <w:tc>
          <w:tcPr>
            <w:tcW w:w="13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rPr>
              <w:t>2019</w:t>
            </w:r>
          </w:p>
        </w:tc>
        <w:tc>
          <w:tcPr>
            <w:tcW w:w="138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rPr>
              <w:t>2020</w:t>
            </w:r>
          </w:p>
        </w:tc>
        <w:tc>
          <w:tcPr>
            <w:tcW w:w="13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rPr>
              <w:t>2021</w:t>
            </w:r>
          </w:p>
        </w:tc>
        <w:tc>
          <w:tcPr>
            <w:tcW w:w="13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w w:val="90"/>
              </w:rPr>
              <w:t xml:space="preserve">2022 </w:t>
            </w:r>
            <w:r>
              <w:rPr>
                <w:rFonts w:ascii="Arial" w:cs="Arial" w:eastAsia="Arial" w:hAnsi="Arial"/>
                <w:sz w:val="27"/>
                <w:szCs w:val="27"/>
                <w:b w:val="1"/>
                <w:bCs w:val="1"/>
                <w:color w:val="FFFFFF"/>
                <w:w w:val="90"/>
                <w:vertAlign w:val="superscript"/>
              </w:rPr>
              <w:t>(3)</w:t>
            </w:r>
          </w:p>
        </w:tc>
      </w:tr>
      <w:tr>
        <w:trPr>
          <w:trHeight w:val="166"/>
        </w:trPr>
        <w:tc>
          <w:tcPr>
            <w:tcW w:w="3860" w:type="dxa"/>
            <w:vAlign w:val="bottom"/>
          </w:tcPr>
          <w:p>
            <w:pPr>
              <w:spacing w:after="0" w:line="166" w:lineRule="exact"/>
              <w:rPr>
                <w:sz w:val="20"/>
                <w:szCs w:val="20"/>
                <w:color w:val="auto"/>
              </w:rPr>
            </w:pPr>
            <w:r>
              <w:rPr>
                <w:rFonts w:ascii="Arial" w:cs="Arial" w:eastAsia="Arial" w:hAnsi="Arial"/>
                <w:sz w:val="16"/>
                <w:szCs w:val="16"/>
                <w:color w:val="auto"/>
              </w:rPr>
              <w:t>GDP (US$ Millions)</w:t>
            </w:r>
          </w:p>
        </w:tc>
        <w:tc>
          <w:tcPr>
            <w:tcW w:w="1920" w:type="dxa"/>
            <w:vAlign w:val="bottom"/>
          </w:tcPr>
          <w:p>
            <w:pPr>
              <w:jc w:val="center"/>
              <w:ind w:left="459"/>
              <w:spacing w:after="0" w:line="166" w:lineRule="exact"/>
              <w:rPr>
                <w:sz w:val="20"/>
                <w:szCs w:val="20"/>
                <w:color w:val="auto"/>
              </w:rPr>
            </w:pPr>
            <w:r>
              <w:rPr>
                <w:rFonts w:ascii="Arial" w:cs="Arial" w:eastAsia="Arial" w:hAnsi="Arial"/>
                <w:sz w:val="16"/>
                <w:szCs w:val="16"/>
                <w:color w:val="auto"/>
              </w:rPr>
              <w:t>226,856</w:t>
            </w:r>
          </w:p>
        </w:tc>
        <w:tc>
          <w:tcPr>
            <w:tcW w:w="1360" w:type="dxa"/>
            <w:vAlign w:val="bottom"/>
          </w:tcPr>
          <w:p>
            <w:pPr>
              <w:jc w:val="center"/>
              <w:spacing w:after="0" w:line="166" w:lineRule="exact"/>
              <w:rPr>
                <w:sz w:val="20"/>
                <w:szCs w:val="20"/>
                <w:color w:val="auto"/>
              </w:rPr>
            </w:pPr>
            <w:r>
              <w:rPr>
                <w:rFonts w:ascii="Arial" w:cs="Arial" w:eastAsia="Arial" w:hAnsi="Arial"/>
                <w:sz w:val="16"/>
                <w:szCs w:val="16"/>
                <w:color w:val="auto"/>
              </w:rPr>
              <w:t>232,447</w:t>
            </w:r>
          </w:p>
        </w:tc>
        <w:tc>
          <w:tcPr>
            <w:tcW w:w="1380" w:type="dxa"/>
            <w:vAlign w:val="bottom"/>
          </w:tcPr>
          <w:p>
            <w:pPr>
              <w:jc w:val="center"/>
              <w:spacing w:after="0" w:line="166" w:lineRule="exact"/>
              <w:rPr>
                <w:sz w:val="20"/>
                <w:szCs w:val="20"/>
                <w:color w:val="auto"/>
              </w:rPr>
            </w:pPr>
            <w:r>
              <w:rPr>
                <w:rFonts w:ascii="Arial" w:cs="Arial" w:eastAsia="Arial" w:hAnsi="Arial"/>
                <w:sz w:val="16"/>
                <w:szCs w:val="16"/>
                <w:color w:val="auto"/>
              </w:rPr>
              <w:t>205,553</w:t>
            </w:r>
          </w:p>
        </w:tc>
        <w:tc>
          <w:tcPr>
            <w:tcW w:w="1360" w:type="dxa"/>
            <w:vAlign w:val="bottom"/>
          </w:tcPr>
          <w:p>
            <w:pPr>
              <w:jc w:val="center"/>
              <w:spacing w:after="0" w:line="166" w:lineRule="exact"/>
              <w:rPr>
                <w:sz w:val="20"/>
                <w:szCs w:val="20"/>
                <w:color w:val="auto"/>
              </w:rPr>
            </w:pPr>
            <w:r>
              <w:rPr>
                <w:rFonts w:ascii="Arial" w:cs="Arial" w:eastAsia="Arial" w:hAnsi="Arial"/>
                <w:sz w:val="16"/>
                <w:szCs w:val="16"/>
                <w:color w:val="auto"/>
              </w:rPr>
              <w:t>225,661</w:t>
            </w:r>
          </w:p>
        </w:tc>
        <w:tc>
          <w:tcPr>
            <w:tcW w:w="1360" w:type="dxa"/>
            <w:vAlign w:val="bottom"/>
            <w:shd w:val="clear" w:color="auto" w:fill="C0C0C0"/>
          </w:tcPr>
          <w:p>
            <w:pPr>
              <w:jc w:val="center"/>
              <w:spacing w:after="0" w:line="166" w:lineRule="exact"/>
              <w:rPr>
                <w:sz w:val="20"/>
                <w:szCs w:val="20"/>
                <w:color w:val="auto"/>
              </w:rPr>
            </w:pPr>
            <w:r>
              <w:rPr>
                <w:rFonts w:ascii="Arial" w:cs="Arial" w:eastAsia="Arial" w:hAnsi="Arial"/>
                <w:sz w:val="16"/>
                <w:szCs w:val="16"/>
                <w:color w:val="auto"/>
              </w:rPr>
              <w:t>250,462</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Real GDP (% change)</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w w:val="98"/>
              </w:rPr>
              <w:t>4.0</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98"/>
              </w:rPr>
              <w:t>2.2</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w w:val="98"/>
              </w:rPr>
              <w:t>-11.0</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13.5</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w w:val="98"/>
              </w:rPr>
              <w:t>2.5</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GDP per capita (US$)</w:t>
            </w:r>
          </w:p>
        </w:tc>
        <w:tc>
          <w:tcPr>
            <w:tcW w:w="1920" w:type="dxa"/>
            <w:vAlign w:val="bottom"/>
          </w:tcPr>
          <w:p>
            <w:pPr>
              <w:jc w:val="center"/>
              <w:ind w:left="479"/>
              <w:spacing w:after="0" w:line="183" w:lineRule="exact"/>
              <w:rPr>
                <w:sz w:val="20"/>
                <w:szCs w:val="20"/>
                <w:color w:val="auto"/>
              </w:rPr>
            </w:pPr>
            <w:r>
              <w:rPr>
                <w:rFonts w:ascii="Arial" w:cs="Arial" w:eastAsia="Arial" w:hAnsi="Arial"/>
                <w:sz w:val="16"/>
                <w:szCs w:val="16"/>
                <w:color w:val="auto"/>
                <w:w w:val="99"/>
              </w:rPr>
              <w:t>7,045</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99"/>
              </w:rPr>
              <w:t>7,152</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6,300</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6,831</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w w:val="99"/>
              </w:rPr>
              <w:t>7,507</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Domestic demand (% change)</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w w:val="98"/>
              </w:rPr>
              <w:t>4.2</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98"/>
              </w:rPr>
              <w:t>2.3</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-9.8</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14.6</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w w:val="98"/>
              </w:rPr>
              <w:t>2.5</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Gross fixed investment (as % GDP)</w:t>
            </w:r>
          </w:p>
        </w:tc>
        <w:tc>
          <w:tcPr>
            <w:tcW w:w="1920" w:type="dxa"/>
            <w:vAlign w:val="bottom"/>
          </w:tcPr>
          <w:p>
            <w:pPr>
              <w:jc w:val="center"/>
              <w:ind w:left="479"/>
              <w:spacing w:after="0" w:line="183" w:lineRule="exact"/>
              <w:rPr>
                <w:sz w:val="20"/>
                <w:szCs w:val="20"/>
                <w:color w:val="auto"/>
              </w:rPr>
            </w:pPr>
            <w:r>
              <w:rPr>
                <w:rFonts w:ascii="Arial" w:cs="Arial" w:eastAsia="Arial" w:hAnsi="Arial"/>
                <w:sz w:val="16"/>
                <w:szCs w:val="16"/>
                <w:color w:val="auto"/>
              </w:rPr>
              <w:t>22.4</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21.8</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w w:val="96"/>
              </w:rPr>
              <w:t>19.7</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21.9</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20.7</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Public Debt (as % GDP)</w:t>
            </w:r>
          </w:p>
        </w:tc>
        <w:tc>
          <w:tcPr>
            <w:tcW w:w="1920" w:type="dxa"/>
            <w:vAlign w:val="bottom"/>
          </w:tcPr>
          <w:p>
            <w:pPr>
              <w:jc w:val="center"/>
              <w:ind w:left="479"/>
              <w:spacing w:after="0" w:line="183" w:lineRule="exact"/>
              <w:rPr>
                <w:sz w:val="20"/>
                <w:szCs w:val="20"/>
                <w:color w:val="auto"/>
              </w:rPr>
            </w:pPr>
            <w:r>
              <w:rPr>
                <w:rFonts w:ascii="Arial" w:cs="Arial" w:eastAsia="Arial" w:hAnsi="Arial"/>
                <w:sz w:val="16"/>
                <w:szCs w:val="16"/>
                <w:color w:val="auto"/>
              </w:rPr>
              <w:t>25.6</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26.6</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w w:val="96"/>
              </w:rPr>
              <w:t>34.6</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35.9</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34.5</w:t>
            </w:r>
          </w:p>
        </w:tc>
      </w:tr>
      <w:tr>
        <w:trPr>
          <w:trHeight w:val="199"/>
        </w:trPr>
        <w:tc>
          <w:tcPr>
            <w:tcW w:w="3860" w:type="dxa"/>
            <w:vAlign w:val="bottom"/>
            <w:tcBorders>
              <w:bottom w:val="single" w:sz="8" w:color="2AD2C9"/>
            </w:tcBorders>
          </w:tcPr>
          <w:p>
            <w:pPr>
              <w:spacing w:after="0"/>
              <w:rPr>
                <w:sz w:val="20"/>
                <w:szCs w:val="20"/>
                <w:color w:val="auto"/>
              </w:rPr>
            </w:pPr>
            <w:r>
              <w:rPr>
                <w:rFonts w:ascii="Arial" w:cs="Arial" w:eastAsia="Arial" w:hAnsi="Arial"/>
                <w:sz w:val="16"/>
                <w:szCs w:val="16"/>
                <w:color w:val="auto"/>
              </w:rPr>
              <w:t>System loan growth (% change)(1)</w:t>
            </w:r>
          </w:p>
        </w:tc>
        <w:tc>
          <w:tcPr>
            <w:tcW w:w="1920" w:type="dxa"/>
            <w:vAlign w:val="bottom"/>
            <w:tcBorders>
              <w:bottom w:val="single" w:sz="8" w:color="2AD2C9"/>
            </w:tcBorders>
          </w:tcPr>
          <w:p>
            <w:pPr>
              <w:jc w:val="center"/>
              <w:ind w:left="479"/>
              <w:spacing w:after="0"/>
              <w:rPr>
                <w:sz w:val="20"/>
                <w:szCs w:val="20"/>
                <w:color w:val="auto"/>
              </w:rPr>
            </w:pPr>
            <w:r>
              <w:rPr>
                <w:rFonts w:ascii="Arial" w:cs="Arial" w:eastAsia="Arial" w:hAnsi="Arial"/>
                <w:sz w:val="16"/>
                <w:szCs w:val="16"/>
                <w:color w:val="auto"/>
              </w:rPr>
              <w:t>10.3</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w w:val="98"/>
              </w:rPr>
              <w:t>6.4</w:t>
            </w:r>
          </w:p>
        </w:tc>
        <w:tc>
          <w:tcPr>
            <w:tcW w:w="138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w w:val="96"/>
              </w:rPr>
              <w:t>12.9</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w w:val="98"/>
              </w:rPr>
              <w:t>7.0</w:t>
            </w:r>
          </w:p>
        </w:tc>
        <w:tc>
          <w:tcPr>
            <w:tcW w:w="1360" w:type="dxa"/>
            <w:vAlign w:val="bottom"/>
            <w:tcBorders>
              <w:bottom w:val="single" w:sz="8" w:color="2AD2C9"/>
            </w:tcBorders>
            <w:shd w:val="clear" w:color="auto" w:fill="C0C0C0"/>
          </w:tcPr>
          <w:p>
            <w:pPr>
              <w:jc w:val="center"/>
              <w:spacing w:after="0"/>
              <w:rPr>
                <w:sz w:val="20"/>
                <w:szCs w:val="20"/>
                <w:color w:val="auto"/>
              </w:rPr>
            </w:pPr>
            <w:r>
              <w:rPr>
                <w:rFonts w:ascii="Arial" w:cs="Arial" w:eastAsia="Arial" w:hAnsi="Arial"/>
                <w:sz w:val="16"/>
                <w:szCs w:val="16"/>
                <w:color w:val="auto"/>
                <w:w w:val="98"/>
              </w:rPr>
              <w:t>1.8</w:t>
            </w:r>
          </w:p>
        </w:tc>
      </w:tr>
      <w:tr>
        <w:trPr>
          <w:trHeight w:val="175"/>
        </w:trPr>
        <w:tc>
          <w:tcPr>
            <w:tcW w:w="3860" w:type="dxa"/>
            <w:vAlign w:val="bottom"/>
            <w:tcBorders>
              <w:bottom w:val="single" w:sz="8" w:color="2AD2C9"/>
            </w:tcBorders>
          </w:tcPr>
          <w:p>
            <w:pPr>
              <w:spacing w:after="0" w:line="175" w:lineRule="exact"/>
              <w:rPr>
                <w:sz w:val="20"/>
                <w:szCs w:val="20"/>
                <w:color w:val="auto"/>
              </w:rPr>
            </w:pPr>
            <w:r>
              <w:rPr>
                <w:rFonts w:ascii="Arial" w:cs="Arial" w:eastAsia="Arial" w:hAnsi="Arial"/>
                <w:sz w:val="16"/>
                <w:szCs w:val="16"/>
                <w:color w:val="auto"/>
              </w:rPr>
              <w:t>Inflation(2)</w:t>
            </w:r>
          </w:p>
        </w:tc>
        <w:tc>
          <w:tcPr>
            <w:tcW w:w="1920" w:type="dxa"/>
            <w:vAlign w:val="bottom"/>
            <w:tcBorders>
              <w:bottom w:val="single" w:sz="8" w:color="2AD2C9"/>
            </w:tcBorders>
          </w:tcPr>
          <w:p>
            <w:pPr>
              <w:jc w:val="center"/>
              <w:ind w:left="459"/>
              <w:spacing w:after="0" w:line="175" w:lineRule="exact"/>
              <w:rPr>
                <w:sz w:val="20"/>
                <w:szCs w:val="20"/>
                <w:color w:val="auto"/>
              </w:rPr>
            </w:pPr>
            <w:r>
              <w:rPr>
                <w:rFonts w:ascii="Arial" w:cs="Arial" w:eastAsia="Arial" w:hAnsi="Arial"/>
                <w:sz w:val="16"/>
                <w:szCs w:val="16"/>
                <w:color w:val="auto"/>
                <w:w w:val="98"/>
              </w:rPr>
              <w:t>2.2</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w w:val="98"/>
              </w:rPr>
              <w:t>1.9</w:t>
            </w:r>
          </w:p>
        </w:tc>
        <w:tc>
          <w:tcPr>
            <w:tcW w:w="138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w w:val="98"/>
              </w:rPr>
              <w:t>2.0</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w w:val="98"/>
              </w:rPr>
              <w:t>6.4</w:t>
            </w:r>
          </w:p>
        </w:tc>
        <w:tc>
          <w:tcPr>
            <w:tcW w:w="1360" w:type="dxa"/>
            <w:vAlign w:val="bottom"/>
            <w:tcBorders>
              <w:bottom w:val="single" w:sz="8" w:color="2AD2C9"/>
            </w:tcBorders>
            <w:shd w:val="clear" w:color="auto" w:fill="C0C0C0"/>
          </w:tcPr>
          <w:p>
            <w:pPr>
              <w:jc w:val="center"/>
              <w:spacing w:after="0" w:line="175" w:lineRule="exact"/>
              <w:rPr>
                <w:sz w:val="20"/>
                <w:szCs w:val="20"/>
                <w:color w:val="auto"/>
              </w:rPr>
            </w:pPr>
            <w:r>
              <w:rPr>
                <w:rFonts w:ascii="Arial" w:cs="Arial" w:eastAsia="Arial" w:hAnsi="Arial"/>
                <w:sz w:val="16"/>
                <w:szCs w:val="16"/>
                <w:color w:val="auto"/>
                <w:w w:val="98"/>
              </w:rPr>
              <w:t>7.3</w:t>
            </w:r>
          </w:p>
        </w:tc>
      </w:tr>
      <w:tr>
        <w:trPr>
          <w:trHeight w:val="175"/>
        </w:trPr>
        <w:tc>
          <w:tcPr>
            <w:tcW w:w="3860" w:type="dxa"/>
            <w:vAlign w:val="bottom"/>
            <w:tcBorders>
              <w:bottom w:val="single" w:sz="8" w:color="2AD2C9"/>
            </w:tcBorders>
          </w:tcPr>
          <w:p>
            <w:pPr>
              <w:spacing w:after="0" w:line="175" w:lineRule="exact"/>
              <w:rPr>
                <w:sz w:val="20"/>
                <w:szCs w:val="20"/>
                <w:color w:val="auto"/>
              </w:rPr>
            </w:pPr>
            <w:r>
              <w:rPr>
                <w:rFonts w:ascii="Arial" w:cs="Arial" w:eastAsia="Arial" w:hAnsi="Arial"/>
                <w:sz w:val="16"/>
                <w:szCs w:val="16"/>
                <w:color w:val="auto"/>
              </w:rPr>
              <w:t>Reference Rate</w:t>
            </w:r>
          </w:p>
        </w:tc>
        <w:tc>
          <w:tcPr>
            <w:tcW w:w="1920" w:type="dxa"/>
            <w:vAlign w:val="bottom"/>
            <w:tcBorders>
              <w:bottom w:val="single" w:sz="8" w:color="2AD2C9"/>
            </w:tcBorders>
          </w:tcPr>
          <w:p>
            <w:pPr>
              <w:jc w:val="center"/>
              <w:ind w:left="479"/>
              <w:spacing w:after="0" w:line="175" w:lineRule="exact"/>
              <w:rPr>
                <w:sz w:val="20"/>
                <w:szCs w:val="20"/>
                <w:color w:val="auto"/>
              </w:rPr>
            </w:pPr>
            <w:r>
              <w:rPr>
                <w:rFonts w:ascii="Arial" w:cs="Arial" w:eastAsia="Arial" w:hAnsi="Arial"/>
                <w:sz w:val="16"/>
                <w:szCs w:val="16"/>
                <w:color w:val="auto"/>
              </w:rPr>
              <w:t>2.75</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rPr>
              <w:t>2.25</w:t>
            </w:r>
          </w:p>
        </w:tc>
        <w:tc>
          <w:tcPr>
            <w:tcW w:w="138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w w:val="96"/>
              </w:rPr>
              <w:t>0.25</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rPr>
              <w:t>2.50</w:t>
            </w:r>
          </w:p>
        </w:tc>
        <w:tc>
          <w:tcPr>
            <w:tcW w:w="1360" w:type="dxa"/>
            <w:vAlign w:val="bottom"/>
            <w:tcBorders>
              <w:bottom w:val="single" w:sz="8" w:color="2AD2C9"/>
            </w:tcBorders>
            <w:shd w:val="clear" w:color="auto" w:fill="C0C0C0"/>
          </w:tcPr>
          <w:p>
            <w:pPr>
              <w:jc w:val="center"/>
              <w:spacing w:after="0" w:line="175" w:lineRule="exact"/>
              <w:rPr>
                <w:sz w:val="20"/>
                <w:szCs w:val="20"/>
                <w:color w:val="auto"/>
              </w:rPr>
            </w:pPr>
            <w:r>
              <w:rPr>
                <w:rFonts w:ascii="Arial" w:cs="Arial" w:eastAsia="Arial" w:hAnsi="Arial"/>
                <w:sz w:val="16"/>
                <w:szCs w:val="16"/>
                <w:color w:val="auto"/>
              </w:rPr>
              <w:t>7.00</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6"/>
                <w:szCs w:val="16"/>
                <w:color w:val="auto"/>
              </w:rPr>
              <w:t>Exchange rate, end of period</w:t>
            </w:r>
          </w:p>
        </w:tc>
        <w:tc>
          <w:tcPr>
            <w:tcW w:w="1920" w:type="dxa"/>
            <w:vAlign w:val="bottom"/>
          </w:tcPr>
          <w:p>
            <w:pPr>
              <w:jc w:val="center"/>
              <w:ind w:left="479"/>
              <w:spacing w:after="0" w:line="158" w:lineRule="exact"/>
              <w:rPr>
                <w:sz w:val="20"/>
                <w:szCs w:val="20"/>
                <w:color w:val="auto"/>
              </w:rPr>
            </w:pPr>
            <w:r>
              <w:rPr>
                <w:rFonts w:ascii="Arial" w:cs="Arial" w:eastAsia="Arial" w:hAnsi="Arial"/>
                <w:sz w:val="16"/>
                <w:szCs w:val="16"/>
                <w:color w:val="auto"/>
              </w:rPr>
              <w:t>3.37</w:t>
            </w:r>
          </w:p>
        </w:tc>
        <w:tc>
          <w:tcPr>
            <w:tcW w:w="1360" w:type="dxa"/>
            <w:vAlign w:val="bottom"/>
          </w:tcPr>
          <w:p>
            <w:pPr>
              <w:jc w:val="center"/>
              <w:spacing w:after="0" w:line="158" w:lineRule="exact"/>
              <w:rPr>
                <w:sz w:val="20"/>
                <w:szCs w:val="20"/>
                <w:color w:val="auto"/>
              </w:rPr>
            </w:pPr>
            <w:r>
              <w:rPr>
                <w:rFonts w:ascii="Arial" w:cs="Arial" w:eastAsia="Arial" w:hAnsi="Arial"/>
                <w:sz w:val="16"/>
                <w:szCs w:val="16"/>
                <w:color w:val="auto"/>
              </w:rPr>
              <w:t>3.31</w:t>
            </w:r>
          </w:p>
        </w:tc>
        <w:tc>
          <w:tcPr>
            <w:tcW w:w="1380" w:type="dxa"/>
            <w:vAlign w:val="bottom"/>
          </w:tcPr>
          <w:p>
            <w:pPr>
              <w:jc w:val="center"/>
              <w:spacing w:after="0" w:line="158" w:lineRule="exact"/>
              <w:rPr>
                <w:sz w:val="20"/>
                <w:szCs w:val="20"/>
                <w:color w:val="auto"/>
              </w:rPr>
            </w:pPr>
            <w:r>
              <w:rPr>
                <w:rFonts w:ascii="Arial" w:cs="Arial" w:eastAsia="Arial" w:hAnsi="Arial"/>
                <w:sz w:val="16"/>
                <w:szCs w:val="16"/>
                <w:color w:val="auto"/>
                <w:w w:val="96"/>
              </w:rPr>
              <w:t>3.62</w:t>
            </w:r>
          </w:p>
        </w:tc>
        <w:tc>
          <w:tcPr>
            <w:tcW w:w="1360" w:type="dxa"/>
            <w:vAlign w:val="bottom"/>
          </w:tcPr>
          <w:p>
            <w:pPr>
              <w:jc w:val="center"/>
              <w:spacing w:after="0" w:line="158" w:lineRule="exact"/>
              <w:rPr>
                <w:sz w:val="20"/>
                <w:szCs w:val="20"/>
                <w:color w:val="auto"/>
              </w:rPr>
            </w:pPr>
            <w:r>
              <w:rPr>
                <w:rFonts w:ascii="Arial" w:cs="Arial" w:eastAsia="Arial" w:hAnsi="Arial"/>
                <w:sz w:val="16"/>
                <w:szCs w:val="16"/>
                <w:color w:val="auto"/>
              </w:rPr>
              <w:t>3.99</w:t>
            </w:r>
          </w:p>
        </w:tc>
        <w:tc>
          <w:tcPr>
            <w:tcW w:w="1360" w:type="dxa"/>
            <w:vAlign w:val="bottom"/>
            <w:shd w:val="clear" w:color="auto" w:fill="C0C0C0"/>
          </w:tcPr>
          <w:p>
            <w:pPr>
              <w:jc w:val="center"/>
              <w:spacing w:after="0" w:line="158" w:lineRule="exact"/>
              <w:rPr>
                <w:sz w:val="20"/>
                <w:szCs w:val="20"/>
                <w:color w:val="auto"/>
              </w:rPr>
            </w:pPr>
            <w:r>
              <w:rPr>
                <w:rFonts w:ascii="Arial" w:cs="Arial" w:eastAsia="Arial" w:hAnsi="Arial"/>
                <w:sz w:val="16"/>
                <w:szCs w:val="16"/>
                <w:color w:val="auto"/>
              </w:rPr>
              <w:t>3.85</w:t>
            </w:r>
          </w:p>
        </w:tc>
      </w:tr>
      <w:tr>
        <w:trPr>
          <w:trHeight w:val="199"/>
        </w:trPr>
        <w:tc>
          <w:tcPr>
            <w:tcW w:w="3860" w:type="dxa"/>
            <w:vAlign w:val="bottom"/>
            <w:tcBorders>
              <w:bottom w:val="single" w:sz="8" w:color="2AD2C9"/>
            </w:tcBorders>
          </w:tcPr>
          <w:p>
            <w:pPr>
              <w:spacing w:after="0"/>
              <w:rPr>
                <w:sz w:val="20"/>
                <w:szCs w:val="20"/>
                <w:color w:val="auto"/>
              </w:rPr>
            </w:pPr>
            <w:r>
              <w:rPr>
                <w:rFonts w:ascii="Arial" w:cs="Arial" w:eastAsia="Arial" w:hAnsi="Arial"/>
                <w:sz w:val="16"/>
                <w:szCs w:val="16"/>
                <w:color w:val="auto"/>
              </w:rPr>
              <w:t>Exchange rate, (% change)</w:t>
            </w:r>
          </w:p>
        </w:tc>
        <w:tc>
          <w:tcPr>
            <w:tcW w:w="1920" w:type="dxa"/>
            <w:vAlign w:val="bottom"/>
            <w:tcBorders>
              <w:bottom w:val="single" w:sz="8" w:color="2AD2C9"/>
            </w:tcBorders>
          </w:tcPr>
          <w:p>
            <w:pPr>
              <w:jc w:val="center"/>
              <w:ind w:left="459"/>
              <w:spacing w:after="0"/>
              <w:rPr>
                <w:sz w:val="20"/>
                <w:szCs w:val="20"/>
                <w:color w:val="auto"/>
              </w:rPr>
            </w:pPr>
            <w:r>
              <w:rPr>
                <w:rFonts w:ascii="Arial" w:cs="Arial" w:eastAsia="Arial" w:hAnsi="Arial"/>
                <w:sz w:val="16"/>
                <w:szCs w:val="16"/>
                <w:color w:val="auto"/>
              </w:rPr>
              <w:t>4.0%</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-1.8%</w:t>
            </w:r>
          </w:p>
        </w:tc>
        <w:tc>
          <w:tcPr>
            <w:tcW w:w="138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9.3%</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10.3%</w:t>
            </w:r>
          </w:p>
        </w:tc>
        <w:tc>
          <w:tcPr>
            <w:tcW w:w="1360" w:type="dxa"/>
            <w:vAlign w:val="bottom"/>
            <w:tcBorders>
              <w:bottom w:val="single" w:sz="8" w:color="2AD2C9"/>
            </w:tcBorders>
            <w:shd w:val="clear" w:color="auto" w:fill="C0C0C0"/>
          </w:tcPr>
          <w:p>
            <w:pPr>
              <w:jc w:val="center"/>
              <w:spacing w:after="0"/>
              <w:rPr>
                <w:sz w:val="20"/>
                <w:szCs w:val="20"/>
                <w:color w:val="auto"/>
              </w:rPr>
            </w:pPr>
            <w:r>
              <w:rPr>
                <w:rFonts w:ascii="Arial" w:cs="Arial" w:eastAsia="Arial" w:hAnsi="Arial"/>
                <w:sz w:val="16"/>
                <w:szCs w:val="16"/>
                <w:color w:val="auto"/>
              </w:rPr>
              <w:t>-3.5%</w:t>
            </w:r>
          </w:p>
        </w:tc>
      </w:tr>
      <w:tr>
        <w:trPr>
          <w:trHeight w:val="175"/>
        </w:trPr>
        <w:tc>
          <w:tcPr>
            <w:tcW w:w="3860" w:type="dxa"/>
            <w:vAlign w:val="bottom"/>
            <w:tcBorders>
              <w:bottom w:val="single" w:sz="8" w:color="2AD2C9"/>
            </w:tcBorders>
          </w:tcPr>
          <w:p>
            <w:pPr>
              <w:spacing w:after="0" w:line="175" w:lineRule="exact"/>
              <w:rPr>
                <w:sz w:val="20"/>
                <w:szCs w:val="20"/>
                <w:color w:val="auto"/>
              </w:rPr>
            </w:pPr>
            <w:r>
              <w:rPr>
                <w:rFonts w:ascii="Arial" w:cs="Arial" w:eastAsia="Arial" w:hAnsi="Arial"/>
                <w:sz w:val="16"/>
                <w:szCs w:val="16"/>
                <w:color w:val="auto"/>
              </w:rPr>
              <w:t>Fiscal balance (% GDP)</w:t>
            </w:r>
          </w:p>
        </w:tc>
        <w:tc>
          <w:tcPr>
            <w:tcW w:w="1920" w:type="dxa"/>
            <w:vAlign w:val="bottom"/>
            <w:tcBorders>
              <w:bottom w:val="single" w:sz="8" w:color="2AD2C9"/>
            </w:tcBorders>
          </w:tcPr>
          <w:p>
            <w:pPr>
              <w:jc w:val="center"/>
              <w:ind w:left="479"/>
              <w:spacing w:after="0" w:line="175" w:lineRule="exact"/>
              <w:rPr>
                <w:sz w:val="20"/>
                <w:szCs w:val="20"/>
                <w:color w:val="auto"/>
              </w:rPr>
            </w:pPr>
            <w:r>
              <w:rPr>
                <w:rFonts w:ascii="Arial" w:cs="Arial" w:eastAsia="Arial" w:hAnsi="Arial"/>
                <w:sz w:val="16"/>
                <w:szCs w:val="16"/>
                <w:color w:val="auto"/>
              </w:rPr>
              <w:t>-2.3</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rPr>
              <w:t>-1.6</w:t>
            </w:r>
          </w:p>
        </w:tc>
        <w:tc>
          <w:tcPr>
            <w:tcW w:w="138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rPr>
              <w:t>-8.9</w:t>
            </w:r>
          </w:p>
        </w:tc>
        <w:tc>
          <w:tcPr>
            <w:tcW w:w="1360" w:type="dxa"/>
            <w:vAlign w:val="bottom"/>
            <w:tcBorders>
              <w:bottom w:val="single" w:sz="8" w:color="2AD2C9"/>
            </w:tcBorders>
          </w:tcPr>
          <w:p>
            <w:pPr>
              <w:jc w:val="center"/>
              <w:spacing w:after="0" w:line="175" w:lineRule="exact"/>
              <w:rPr>
                <w:sz w:val="20"/>
                <w:szCs w:val="20"/>
                <w:color w:val="auto"/>
              </w:rPr>
            </w:pPr>
            <w:r>
              <w:rPr>
                <w:rFonts w:ascii="Arial" w:cs="Arial" w:eastAsia="Arial" w:hAnsi="Arial"/>
                <w:sz w:val="16"/>
                <w:szCs w:val="16"/>
                <w:color w:val="auto"/>
              </w:rPr>
              <w:t>-2.5</w:t>
            </w:r>
          </w:p>
        </w:tc>
        <w:tc>
          <w:tcPr>
            <w:tcW w:w="1360" w:type="dxa"/>
            <w:vAlign w:val="bottom"/>
            <w:tcBorders>
              <w:bottom w:val="single" w:sz="8" w:color="2AD2C9"/>
            </w:tcBorders>
            <w:shd w:val="clear" w:color="auto" w:fill="C0C0C0"/>
          </w:tcPr>
          <w:p>
            <w:pPr>
              <w:jc w:val="center"/>
              <w:spacing w:after="0" w:line="175" w:lineRule="exact"/>
              <w:rPr>
                <w:sz w:val="20"/>
                <w:szCs w:val="20"/>
                <w:color w:val="auto"/>
              </w:rPr>
            </w:pPr>
            <w:r>
              <w:rPr>
                <w:rFonts w:ascii="Arial" w:cs="Arial" w:eastAsia="Arial" w:hAnsi="Arial"/>
                <w:sz w:val="16"/>
                <w:szCs w:val="16"/>
                <w:color w:val="auto"/>
              </w:rPr>
              <w:t>-2.0</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6"/>
                <w:szCs w:val="16"/>
                <w:color w:val="auto"/>
              </w:rPr>
              <w:t>Trade balance (US$ Millions)</w:t>
            </w:r>
          </w:p>
        </w:tc>
        <w:tc>
          <w:tcPr>
            <w:tcW w:w="1920" w:type="dxa"/>
            <w:vAlign w:val="bottom"/>
          </w:tcPr>
          <w:p>
            <w:pPr>
              <w:jc w:val="center"/>
              <w:ind w:left="479"/>
              <w:spacing w:after="0" w:line="158" w:lineRule="exact"/>
              <w:rPr>
                <w:sz w:val="20"/>
                <w:szCs w:val="20"/>
                <w:color w:val="auto"/>
              </w:rPr>
            </w:pPr>
            <w:r>
              <w:rPr>
                <w:rFonts w:ascii="Arial" w:cs="Arial" w:eastAsia="Arial" w:hAnsi="Arial"/>
                <w:sz w:val="16"/>
                <w:szCs w:val="16"/>
                <w:color w:val="auto"/>
                <w:w w:val="99"/>
              </w:rPr>
              <w:t>7,197</w:t>
            </w:r>
          </w:p>
        </w:tc>
        <w:tc>
          <w:tcPr>
            <w:tcW w:w="1360" w:type="dxa"/>
            <w:vAlign w:val="bottom"/>
          </w:tcPr>
          <w:p>
            <w:pPr>
              <w:jc w:val="center"/>
              <w:spacing w:after="0" w:line="158" w:lineRule="exact"/>
              <w:rPr>
                <w:sz w:val="20"/>
                <w:szCs w:val="20"/>
                <w:color w:val="auto"/>
              </w:rPr>
            </w:pPr>
            <w:r>
              <w:rPr>
                <w:rFonts w:ascii="Arial" w:cs="Arial" w:eastAsia="Arial" w:hAnsi="Arial"/>
                <w:sz w:val="16"/>
                <w:szCs w:val="16"/>
                <w:color w:val="auto"/>
                <w:w w:val="99"/>
              </w:rPr>
              <w:t>6,614</w:t>
            </w:r>
          </w:p>
        </w:tc>
        <w:tc>
          <w:tcPr>
            <w:tcW w:w="1380" w:type="dxa"/>
            <w:vAlign w:val="bottom"/>
          </w:tcPr>
          <w:p>
            <w:pPr>
              <w:jc w:val="center"/>
              <w:spacing w:after="0" w:line="158" w:lineRule="exact"/>
              <w:rPr>
                <w:sz w:val="20"/>
                <w:szCs w:val="20"/>
                <w:color w:val="auto"/>
              </w:rPr>
            </w:pPr>
            <w:r>
              <w:rPr>
                <w:rFonts w:ascii="Arial" w:cs="Arial" w:eastAsia="Arial" w:hAnsi="Arial"/>
                <w:sz w:val="16"/>
                <w:szCs w:val="16"/>
                <w:color w:val="auto"/>
              </w:rPr>
              <w:t>8,196</w:t>
            </w:r>
          </w:p>
        </w:tc>
        <w:tc>
          <w:tcPr>
            <w:tcW w:w="1360" w:type="dxa"/>
            <w:vAlign w:val="bottom"/>
          </w:tcPr>
          <w:p>
            <w:pPr>
              <w:jc w:val="center"/>
              <w:spacing w:after="0" w:line="158" w:lineRule="exact"/>
              <w:rPr>
                <w:sz w:val="20"/>
                <w:szCs w:val="20"/>
                <w:color w:val="auto"/>
              </w:rPr>
            </w:pPr>
            <w:r>
              <w:rPr>
                <w:rFonts w:ascii="Arial" w:cs="Arial" w:eastAsia="Arial" w:hAnsi="Arial"/>
                <w:sz w:val="16"/>
                <w:szCs w:val="16"/>
                <w:color w:val="auto"/>
              </w:rPr>
              <w:t>14,833</w:t>
            </w:r>
          </w:p>
        </w:tc>
        <w:tc>
          <w:tcPr>
            <w:tcW w:w="1360" w:type="dxa"/>
            <w:vAlign w:val="bottom"/>
            <w:shd w:val="clear" w:color="auto" w:fill="C0C0C0"/>
          </w:tcPr>
          <w:p>
            <w:pPr>
              <w:jc w:val="center"/>
              <w:spacing w:after="0" w:line="158" w:lineRule="exact"/>
              <w:rPr>
                <w:sz w:val="20"/>
                <w:szCs w:val="20"/>
                <w:color w:val="auto"/>
              </w:rPr>
            </w:pPr>
            <w:r>
              <w:rPr>
                <w:rFonts w:ascii="Arial" w:cs="Arial" w:eastAsia="Arial" w:hAnsi="Arial"/>
                <w:sz w:val="16"/>
                <w:szCs w:val="16"/>
                <w:color w:val="auto"/>
                <w:w w:val="99"/>
              </w:rPr>
              <w:t>9,500</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(As % GDP)</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3.2%</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98"/>
              </w:rPr>
              <w:t>2.8%</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4.0%</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6.6%</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w w:val="98"/>
              </w:rPr>
              <w:t>3.8%</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Exports</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49,066</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47,688</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42,905</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63,151</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64,800</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Imports</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41,870</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41,074</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34,709</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48,317</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55,300</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Current account balance (As % GDP)</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-1.7%</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-1.5%</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1.2%</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-2.3%</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-4.5%</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Net international reserves (US$ Millions)</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60,121</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68,316</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74,707</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78,495</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74,000</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(As % GDP)</w:t>
            </w:r>
          </w:p>
        </w:tc>
        <w:tc>
          <w:tcPr>
            <w:tcW w:w="1920" w:type="dxa"/>
            <w:vAlign w:val="bottom"/>
          </w:tcPr>
          <w:p>
            <w:pPr>
              <w:jc w:val="center"/>
              <w:ind w:left="459"/>
              <w:spacing w:after="0" w:line="183" w:lineRule="exact"/>
              <w:rPr>
                <w:sz w:val="20"/>
                <w:szCs w:val="20"/>
                <w:color w:val="auto"/>
              </w:rPr>
            </w:pPr>
            <w:r>
              <w:rPr>
                <w:rFonts w:ascii="Arial" w:cs="Arial" w:eastAsia="Arial" w:hAnsi="Arial"/>
                <w:sz w:val="16"/>
                <w:szCs w:val="16"/>
                <w:color w:val="auto"/>
              </w:rPr>
              <w:t>26.5%</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29.4%</w:t>
            </w:r>
          </w:p>
        </w:tc>
        <w:tc>
          <w:tcPr>
            <w:tcW w:w="1380" w:type="dxa"/>
            <w:vAlign w:val="bottom"/>
          </w:tcPr>
          <w:p>
            <w:pPr>
              <w:jc w:val="center"/>
              <w:spacing w:after="0" w:line="183" w:lineRule="exact"/>
              <w:rPr>
                <w:sz w:val="20"/>
                <w:szCs w:val="20"/>
                <w:color w:val="auto"/>
              </w:rPr>
            </w:pPr>
            <w:r>
              <w:rPr>
                <w:rFonts w:ascii="Arial" w:cs="Arial" w:eastAsia="Arial" w:hAnsi="Arial"/>
                <w:sz w:val="16"/>
                <w:szCs w:val="16"/>
                <w:color w:val="auto"/>
              </w:rPr>
              <w:t>36.3%</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34.8%</w:t>
            </w:r>
          </w:p>
        </w:tc>
        <w:tc>
          <w:tcPr>
            <w:tcW w:w="1360" w:type="dxa"/>
            <w:vAlign w:val="bottom"/>
            <w:shd w:val="clear" w:color="auto" w:fill="C0C0C0"/>
          </w:tcPr>
          <w:p>
            <w:pPr>
              <w:jc w:val="center"/>
              <w:spacing w:after="0" w:line="183" w:lineRule="exact"/>
              <w:rPr>
                <w:sz w:val="20"/>
                <w:szCs w:val="20"/>
                <w:color w:val="auto"/>
              </w:rPr>
            </w:pPr>
            <w:r>
              <w:rPr>
                <w:rFonts w:ascii="Arial" w:cs="Arial" w:eastAsia="Arial" w:hAnsi="Arial"/>
                <w:sz w:val="16"/>
                <w:szCs w:val="16"/>
                <w:color w:val="auto"/>
              </w:rPr>
              <w:t>29.5%</w:t>
            </w:r>
          </w:p>
        </w:tc>
      </w:tr>
      <w:tr>
        <w:trPr>
          <w:trHeight w:val="199"/>
        </w:trPr>
        <w:tc>
          <w:tcPr>
            <w:tcW w:w="3860" w:type="dxa"/>
            <w:vAlign w:val="bottom"/>
            <w:tcBorders>
              <w:bottom w:val="single" w:sz="8" w:color="2AD2C9"/>
            </w:tcBorders>
          </w:tcPr>
          <w:p>
            <w:pPr>
              <w:spacing w:after="0"/>
              <w:rPr>
                <w:sz w:val="20"/>
                <w:szCs w:val="20"/>
                <w:color w:val="auto"/>
              </w:rPr>
            </w:pPr>
            <w:r>
              <w:rPr>
                <w:rFonts w:ascii="Arial" w:cs="Arial" w:eastAsia="Arial" w:hAnsi="Arial"/>
                <w:sz w:val="16"/>
                <w:szCs w:val="16"/>
                <w:color w:val="auto"/>
              </w:rPr>
              <w:t>(As months of imports)</w:t>
            </w:r>
          </w:p>
        </w:tc>
        <w:tc>
          <w:tcPr>
            <w:tcW w:w="1920" w:type="dxa"/>
            <w:vAlign w:val="bottom"/>
            <w:tcBorders>
              <w:bottom w:val="single" w:sz="8" w:color="2AD2C9"/>
            </w:tcBorders>
          </w:tcPr>
          <w:p>
            <w:pPr>
              <w:jc w:val="center"/>
              <w:ind w:left="459"/>
              <w:spacing w:after="0"/>
              <w:rPr>
                <w:sz w:val="20"/>
                <w:szCs w:val="20"/>
                <w:color w:val="auto"/>
              </w:rPr>
            </w:pPr>
            <w:r>
              <w:rPr>
                <w:rFonts w:ascii="Arial" w:cs="Arial" w:eastAsia="Arial" w:hAnsi="Arial"/>
                <w:sz w:val="16"/>
                <w:szCs w:val="16"/>
                <w:color w:val="auto"/>
              </w:rPr>
              <w:t>17</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20</w:t>
            </w:r>
          </w:p>
        </w:tc>
        <w:tc>
          <w:tcPr>
            <w:tcW w:w="138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26</w:t>
            </w:r>
          </w:p>
        </w:tc>
        <w:tc>
          <w:tcPr>
            <w:tcW w:w="1360" w:type="dxa"/>
            <w:vAlign w:val="bottom"/>
            <w:tcBorders>
              <w:bottom w:val="single" w:sz="8" w:color="2AD2C9"/>
            </w:tcBorders>
          </w:tcPr>
          <w:p>
            <w:pPr>
              <w:jc w:val="center"/>
              <w:spacing w:after="0"/>
              <w:rPr>
                <w:sz w:val="20"/>
                <w:szCs w:val="20"/>
                <w:color w:val="auto"/>
              </w:rPr>
            </w:pPr>
            <w:r>
              <w:rPr>
                <w:rFonts w:ascii="Arial" w:cs="Arial" w:eastAsia="Arial" w:hAnsi="Arial"/>
                <w:sz w:val="16"/>
                <w:szCs w:val="16"/>
                <w:color w:val="auto"/>
              </w:rPr>
              <w:t>19</w:t>
            </w:r>
          </w:p>
        </w:tc>
        <w:tc>
          <w:tcPr>
            <w:tcW w:w="1360" w:type="dxa"/>
            <w:vAlign w:val="bottom"/>
            <w:tcBorders>
              <w:bottom w:val="single" w:sz="8" w:color="2AD2C9"/>
            </w:tcBorders>
            <w:shd w:val="clear" w:color="auto" w:fill="C0C0C0"/>
          </w:tcPr>
          <w:p>
            <w:pPr>
              <w:jc w:val="center"/>
              <w:spacing w:after="0"/>
              <w:rPr>
                <w:sz w:val="20"/>
                <w:szCs w:val="20"/>
                <w:color w:val="auto"/>
              </w:rPr>
            </w:pPr>
            <w:r>
              <w:rPr>
                <w:rFonts w:ascii="Arial" w:cs="Arial" w:eastAsia="Arial" w:hAnsi="Arial"/>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-2481580</wp:posOffset>
            </wp:positionV>
            <wp:extent cx="15240" cy="1162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240" cy="11620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-2481580</wp:posOffset>
            </wp:positionV>
            <wp:extent cx="15240" cy="116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240" cy="11620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-2481580</wp:posOffset>
            </wp:positionV>
            <wp:extent cx="15240" cy="1162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240" cy="11620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-2481580</wp:posOffset>
            </wp:positionV>
            <wp:extent cx="15240" cy="1162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240" cy="11620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-2481580</wp:posOffset>
            </wp:positionV>
            <wp:extent cx="15240" cy="1162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240" cy="11620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-2481580</wp:posOffset>
            </wp:positionV>
            <wp:extent cx="15240" cy="1162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240" cy="116205"/>
                    </a:xfrm>
                    <a:prstGeom prst="rect">
                      <a:avLst/>
                    </a:prstGeom>
                    <a:noFill/>
                  </pic:spPr>
                </pic:pic>
              </a:graphicData>
            </a:graphic>
          </wp:anchor>
        </w:drawing>
      </w:r>
    </w:p>
    <w:p>
      <w:pPr>
        <w:ind w:left="3"/>
        <w:spacing w:after="0" w:line="237" w:lineRule="auto"/>
        <w:rPr>
          <w:sz w:val="20"/>
          <w:szCs w:val="20"/>
          <w:color w:val="auto"/>
        </w:rPr>
      </w:pPr>
      <w:r>
        <w:rPr>
          <w:rFonts w:ascii="Times New Roman" w:cs="Times New Roman" w:eastAsia="Times New Roman" w:hAnsi="Times New Roman"/>
          <w:sz w:val="11"/>
          <w:szCs w:val="11"/>
          <w:i w:val="1"/>
          <w:iCs w:val="1"/>
          <w:color w:val="auto"/>
        </w:rPr>
        <w:t>Sources: INEI, BCRP, y SBS.</w:t>
      </w:r>
    </w:p>
    <w:p>
      <w:pPr>
        <w:ind w:left="143" w:hanging="143"/>
        <w:spacing w:after="0" w:line="231" w:lineRule="auto"/>
        <w:tabs>
          <w:tab w:leader="none" w:pos="143"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Financial System, Current Exchange Rate</w:t>
      </w:r>
    </w:p>
    <w:p>
      <w:pPr>
        <w:ind w:left="143" w:hanging="143"/>
        <w:spacing w:after="0" w:line="231" w:lineRule="auto"/>
        <w:tabs>
          <w:tab w:leader="none" w:pos="143"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Inflation target: 1% - 3%</w:t>
      </w:r>
    </w:p>
    <w:p>
      <w:pPr>
        <w:ind w:left="143" w:hanging="143"/>
        <w:spacing w:after="0"/>
        <w:tabs>
          <w:tab w:leader="none" w:pos="143"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Estimates by BCP Economic Research as of August, 2022.</w:t>
      </w:r>
    </w:p>
    <w:p>
      <w:pPr>
        <w:spacing w:after="0" w:line="337"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42" w:name="page43"/>
    <w:bookmarkEnd w:id="42"/>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229870</wp:posOffset>
            </wp:positionV>
            <wp:extent cx="7145655" cy="270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5655" cy="27051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11. Economic Outlook</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Main Macroeconomic Variables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Domestic Product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130810</wp:posOffset>
            </wp:positionV>
            <wp:extent cx="3488055" cy="15932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88055" cy="159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Source: BCRP</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*Estimate; BCP</w:t>
      </w:r>
    </w:p>
    <w:p>
      <w:pPr>
        <w:spacing w:after="0" w:line="17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2Q22, the Peruvian economy is expected to have grown 3.0% YoY (1Q22 3.8% YoY). Non-primary sectors are expected to register 4.2% growth YoY, propelled by an uptick in the service sector and in non-primary manufacturing. Services (lodging and restaurants and transportation) continue to benefit from advances on the vaccination front and the lifting of restrictions on movement. Non-primary manufacturing is expected to have registered growth in most branches of activity. Finally, Primary activities more than likely dropped 1.5% YoY, in a context marked by a 6.0% deterioration in mining production. According to INEI, the economy grew 2.3% YoY in May and 3.7% YoY in April.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Inflation and Central Bank Reference Rate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7620</wp:posOffset>
            </wp:positionV>
            <wp:extent cx="4291965" cy="20262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91965" cy="202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Sources: BCRP and INEI</w:t>
      </w:r>
    </w:p>
    <w:p>
      <w:pPr>
        <w:spacing w:after="0" w:line="32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annual inflation rate in 2Q22 closed at 8.8% YoY, the highest print since July 1997 and well above the upper limit of the BCRP's target range (1%-3%). At the end of 2Q22, food and energy inflation rose to 13.5% YoY, due in large part to rising prices for imported commodities in a context impacted by the war in the Ukraine. Core inflation (excluding food and energy) stood at 5.0% YoY, which is close to the historic high reported 22 years ago in November 2000.</w:t>
      </w:r>
    </w:p>
    <w:p>
      <w:pPr>
        <w:spacing w:after="0" w:line="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Since August 2021, the Central Reserve Bank (BCRP) has been responding to the increases in inflation and price expectations by raising its reference rate from 0.25% to 5.5% in June 2022. Thus, the monetary authority seeks to return inflation expectations to their target range (1% to 3%) in the second half of part of 2023. On July 7th, the BCRP raised its rate to 6.0% and its next monetary policy meeting will take place on Thursday, August 11.</w:t>
      </w:r>
    </w:p>
    <w:p>
      <w:pPr>
        <w:spacing w:after="0" w:line="29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3" w:name="page44"/>
    <w:bookmarkEnd w:id="43"/>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229870</wp:posOffset>
            </wp:positionV>
            <wp:extent cx="7145655" cy="270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5655" cy="27051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11. Economic Outlook</w:t>
      </w:r>
    </w:p>
    <w:p>
      <w:pPr>
        <w:sectPr>
          <w:pgSz w:w="11900" w:h="16838" w:orient="portrait"/>
          <w:cols w:equalWidth="0" w:num="1">
            <w:col w:w="11260"/>
          </w:cols>
          <w:pgMar w:left="320" w:top="313" w:right="319" w:bottom="1440" w:gutter="0" w:footer="0" w:header="0"/>
        </w:sectPr>
      </w:pPr>
    </w:p>
    <w:p>
      <w:pPr>
        <w:spacing w:after="0" w:line="39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Fiscal Balance and Current Account Balance</w:t>
      </w:r>
    </w:p>
    <w:p>
      <w:pPr>
        <w:spacing w:after="0" w:line="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7620</wp:posOffset>
            </wp:positionV>
            <wp:extent cx="3039110" cy="17322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39110" cy="1732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9"/>
          <w:szCs w:val="19"/>
          <w:color w:val="auto"/>
        </w:rPr>
        <w:t>The annualized fiscal deficit for 2Q22 was 1.0% of GDP, compared to 6.3% in 2Q21. In the first semester, the current income of the general government increased 27% YoY, driven by an increase in collections for income tax collection (48%), the General Sales Tax for imports (23%) and non-tax income (25%). In 1S22, non-financial expenses at the general government level grew 4.5% YoY in the first semester. In this context, current spending grew 3.7%; capital spending, 3.3%; and other capital spending, 26.8%.</w:t>
      </w:r>
    </w:p>
    <w:p>
      <w:pPr>
        <w:spacing w:after="0" w:line="200" w:lineRule="exact"/>
        <w:rPr>
          <w:sz w:val="20"/>
          <w:szCs w:val="20"/>
          <w:color w:val="auto"/>
        </w:rPr>
      </w:pPr>
    </w:p>
    <w:p>
      <w:pPr>
        <w:sectPr>
          <w:pgSz w:w="11900" w:h="16838" w:orient="portrait"/>
          <w:cols w:equalWidth="0" w:num="2">
            <w:col w:w="5120" w:space="720"/>
            <w:col w:w="5420"/>
          </w:cols>
          <w:pgMar w:left="320" w:top="3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auto"/>
        </w:rPr>
        <w:t>Source: BCRP</w:t>
      </w:r>
    </w:p>
    <w:p>
      <w:pPr>
        <w:spacing w:after="0" w:line="18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April, Fitch Ratings affirmed its credit rating for Peru's long-term debt in foreign currency at BBB with a stable outlook. S&amp;P rates Peru at BBB with a stable outlook, and Moody's, Baa1 with a stable outlook.</w:t>
      </w:r>
    </w:p>
    <w:p>
      <w:pPr>
        <w:spacing w:after="0" w:line="14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terms of external accounts, the current account deficit according to the latest BCRP Inflation Report closed 1Q22 at 5.7% of GDP, and in accumulated terms for the last 4 quarters, the current account deficit stood at 3.2% of GDP. As of May 2022, exports reached a near-record high, totaling US$ 67.3 billion over the 12-months accumulated period. Imports also reached a historical record, annualized to May, of USD 51.8 billion. Thus, the accumulated trade surplus 12 months to May stood at USD 15.4 billion, a decrease compared to the accumulated 12 months to March 2022, which reached USD 16.3 billion and set a historical record.</w:t>
      </w:r>
    </w:p>
    <w:p>
      <w:pPr>
        <w:spacing w:after="0" w:line="16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May, the terms of trade registered a decrease of 12.7% compared to the same month of 2021. Import prices rose 18.5% due to higher prices for oil and derivatives, food and industrial inputs, while export prices rose to a lesser extent (3.5%). Despite a YoY drop, terms of trade stood 8.4% higher than the level reported in May 2019.</w:t>
      </w:r>
    </w:p>
    <w:p>
      <w:pPr>
        <w:sectPr>
          <w:pgSz w:w="11900" w:h="16838" w:orient="portrait"/>
          <w:cols w:equalWidth="0" w:num="1">
            <w:col w:w="11260"/>
          </w:cols>
          <w:pgMar w:left="320" w:top="313" w:right="319" w:bottom="1440" w:gutter="0" w:footer="0" w:header="0"/>
          <w:type w:val="continuous"/>
        </w:sectPr>
      </w:pPr>
    </w:p>
    <w:p>
      <w:pPr>
        <w:spacing w:after="0" w:line="1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Exchange rate</w:t>
      </w:r>
    </w:p>
    <w:p>
      <w:pPr>
        <w:spacing w:after="0" w:line="2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6"/>
          <w:szCs w:val="16"/>
          <w:color w:val="auto"/>
        </w:rPr>
        <w:t>(PEN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7620</wp:posOffset>
            </wp:positionV>
            <wp:extent cx="2482215" cy="1577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8221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Source: BCRP</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auto"/>
        </w:rPr>
        <w:t>According to the Central Bank. the exchange rate closed at USDPEN 3.826 in 2Q22 (3.676 in 1Q22 and 3.99 in 4Q21), depreciating 4.1% compared to the end of 1Q22. It is important to note that the region's currencies depreciated during 2Q22 compared to the 1Q22: the Chilean Peso 16.8% (1Q21: 7.7%) and the Colombian Peso 10.3% (1Q21: 7.4%), the Brazilian Real 10.9% (1Q21: 14.9%), the Mexican Peso 1.3% (1Q21: 3.2%). It should be noted that as of July 19th, 2022, USDPEN closed at 3.8750, which represented a depreciation of 5.2% compared to the figure at the end of 1Q22.</w:t>
      </w:r>
    </w:p>
    <w:p>
      <w:pPr>
        <w:spacing w:after="0" w:line="1192" w:lineRule="exact"/>
        <w:rPr>
          <w:sz w:val="20"/>
          <w:szCs w:val="20"/>
          <w:color w:val="auto"/>
        </w:rPr>
      </w:pPr>
    </w:p>
    <w:p>
      <w:pPr>
        <w:sectPr>
          <w:pgSz w:w="11900" w:h="16838" w:orient="portrait"/>
          <w:cols w:equalWidth="0" w:num="2">
            <w:col w:w="5120" w:space="720"/>
            <w:col w:w="5420"/>
          </w:cols>
          <w:pgMar w:left="320" w:top="313" w:right="319" w:bottom="1440" w:gutter="0" w:footer="0" w:header="0"/>
          <w:type w:val="continuous"/>
        </w:sect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Net International Reserves closed 2Q22 at US$73.3 billion, falling below the US$75.3 billion reported in 1Q21 and the US$78.5 billion registered at year-end. BCR's foreign exchange position stood at US$ 52.7 billion, which represented a drop of US$ 3.6 billion compared to the figure at the end of 1Q22. This reduction was primarily driven by net sales of foreign currency to the public sector to strengthen the fiscal stabilization fund.</w:t>
      </w:r>
    </w:p>
    <w:p>
      <w:pPr>
        <w:spacing w:after="0" w:line="15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2Q22, BCRP made net sales in the spot foreign exchange market for US$641 million, which topped the US$371 million registered in 1Q22. Sales were concentrated in April (US$ 392 million) followed by June (US$212 million).</w:t>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type w:val="continuous"/>
        </w:sectPr>
      </w:pPr>
    </w:p>
    <w:bookmarkStart w:id="44" w:name="page45"/>
    <w:bookmarkEnd w:id="44"/>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5655" cy="270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5655" cy="270510"/>
                    </a:xfrm>
                    <a:prstGeom prst="rect">
                      <a:avLst/>
                    </a:prstGeom>
                    <a:noFill/>
                  </pic:spPr>
                </pic:pic>
              </a:graphicData>
            </a:graphic>
          </wp:anchor>
        </w:drawing>
      </w:r>
    </w:p>
    <w:p>
      <w:pPr>
        <w:spacing w:after="0" w:line="352" w:lineRule="exact"/>
        <w:rPr>
          <w:sz w:val="20"/>
          <w:szCs w:val="20"/>
          <w:color w:val="auto"/>
        </w:rPr>
      </w:pPr>
    </w:p>
    <w:p>
      <w:pPr>
        <w:ind w:left="43"/>
        <w:spacing w:after="0"/>
        <w:rPr>
          <w:sz w:val="20"/>
          <w:szCs w:val="20"/>
          <w:color w:val="auto"/>
        </w:rPr>
      </w:pPr>
      <w:r>
        <w:rPr>
          <w:rFonts w:ascii="Arial" w:cs="Arial" w:eastAsia="Arial" w:hAnsi="Arial"/>
          <w:sz w:val="19"/>
          <w:szCs w:val="19"/>
          <w:b w:val="1"/>
          <w:bCs w:val="1"/>
          <w:color w:val="FFFFFF"/>
        </w:rPr>
        <w:t>Safe Harbor for Forward-Looking Statements</w:t>
      </w:r>
    </w:p>
    <w:p>
      <w:pPr>
        <w:spacing w:after="0" w:line="375"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6"/>
          <w:szCs w:val="16"/>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65" w:lineRule="exact"/>
        <w:rPr>
          <w:sz w:val="20"/>
          <w:szCs w:val="20"/>
          <w:color w:val="auto"/>
        </w:rPr>
      </w:pPr>
    </w:p>
    <w:p>
      <w:pPr>
        <w:jc w:val="both"/>
        <w:ind w:left="3"/>
        <w:spacing w:after="0" w:line="259" w:lineRule="auto"/>
        <w:rPr>
          <w:sz w:val="20"/>
          <w:szCs w:val="20"/>
          <w:color w:val="auto"/>
        </w:rPr>
      </w:pPr>
      <w:r>
        <w:rPr>
          <w:rFonts w:ascii="Times New Roman" w:cs="Times New Roman" w:eastAsia="Times New Roman" w:hAnsi="Times New Roman"/>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9"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56" w:lineRule="exact"/>
        <w:rPr>
          <w:sz w:val="20"/>
          <w:szCs w:val="20"/>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natural disasters or political or social instability in Peru;</w:t>
      </w:r>
    </w:p>
    <w:p>
      <w:pPr>
        <w:spacing w:after="0" w:line="26"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the dividends that our subsidiaries are able to pay to us, which may affect our ability to pay dividends to shareholders and corporate expenses;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and volatility in, financial markets, including Latin-American and other markets;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frequency, severity and types of insured loss events;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interest rate levels;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rates, including the Sol/US Dollar exchange rate;</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Deterioration in the quality of our loan portfolio;</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levels of competition in Peru and other markets in which we operate;</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changes in laws and regulations affecting the financial sector and adoption of new international guidelines;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policies of central banks and/or foreign governments;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our risk management policies and of our operational and security systems;</w:t>
      </w:r>
    </w:p>
    <w:p>
      <w:pPr>
        <w:spacing w:after="0" w:line="10" w:lineRule="exact"/>
        <w:rPr>
          <w:rFonts w:ascii="Times New Roman" w:cs="Times New Roman" w:eastAsia="Times New Roman" w:hAnsi="Times New Roman"/>
          <w:sz w:val="16"/>
          <w:szCs w:val="16"/>
          <w:color w:val="auto"/>
        </w:rPr>
      </w:pP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associated with counterparty exposures;</w:t>
      </w:r>
    </w:p>
    <w:p>
      <w:pPr>
        <w:spacing w:after="0" w:line="10" w:lineRule="exact"/>
        <w:rPr>
          <w:rFonts w:ascii="Times New Roman" w:cs="Times New Roman" w:eastAsia="Times New Roman" w:hAnsi="Times New Roman"/>
          <w:sz w:val="16"/>
          <w:szCs w:val="16"/>
          <w:color w:val="auto"/>
        </w:rPr>
      </w:pPr>
    </w:p>
    <w:p>
      <w:pPr>
        <w:ind w:left="3" w:right="20" w:hanging="3"/>
        <w:spacing w:after="0" w:line="254" w:lineRule="auto"/>
        <w:tabs>
          <w:tab w:leader="none" w:pos="10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the coronavirus (“COVID-19”) outbreak, actions taken to contain the COVID-19 and related economic effects from such actions and our ability to maintain adequate staffing; and</w:t>
      </w:r>
    </w:p>
    <w:p>
      <w:pPr>
        <w:ind w:left="103" w:hanging="103"/>
        <w:spacing w:after="0"/>
        <w:tabs>
          <w:tab w:leader="none" w:pos="1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Bermuda laws and regulations applicable to so-called non-resident entities.</w:t>
      </w:r>
    </w:p>
    <w:p>
      <w:pPr>
        <w:spacing w:after="0" w:line="190"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6"/>
          <w:szCs w:val="16"/>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10"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419"/>
        </w:trPr>
        <w:tc>
          <w:tcPr>
            <w:tcW w:w="420" w:type="dxa"/>
            <w:vAlign w:val="bottom"/>
            <w:shd w:val="clear" w:color="auto" w:fill="000000"/>
          </w:tcPr>
          <w:p>
            <w:pPr>
              <w:spacing w:after="0"/>
              <w:rPr>
                <w:sz w:val="24"/>
                <w:szCs w:val="24"/>
                <w:color w:val="auto"/>
              </w:rPr>
            </w:pPr>
          </w:p>
        </w:tc>
        <w:tc>
          <w:tcPr>
            <w:tcW w:w="5740" w:type="dxa"/>
            <w:vAlign w:val="bottom"/>
            <w:shd w:val="clear" w:color="auto" w:fill="000000"/>
          </w:tcPr>
          <w:p>
            <w:pPr>
              <w:ind w:left="1620"/>
              <w:spacing w:after="0"/>
              <w:rPr>
                <w:sz w:val="20"/>
                <w:szCs w:val="20"/>
                <w:color w:val="auto"/>
              </w:rPr>
            </w:pPr>
            <w:r>
              <w:rPr>
                <w:rFonts w:ascii="Arial" w:cs="Arial" w:eastAsia="Arial" w:hAnsi="Arial"/>
                <w:sz w:val="15"/>
                <w:szCs w:val="15"/>
                <w:color w:val="FFFFFF"/>
              </w:rPr>
              <w:t xml:space="preserve">Earnings Release </w:t>
            </w:r>
            <w:r>
              <w:rPr>
                <w:rFonts w:ascii="Arial" w:cs="Arial" w:eastAsia="Arial" w:hAnsi="Arial"/>
                <w:sz w:val="15"/>
                <w:szCs w:val="15"/>
                <w:b w:val="1"/>
                <w:bCs w:val="1"/>
                <w:color w:val="FFFFFF"/>
              </w:rPr>
              <w:t>2Q / 2022</w:t>
            </w:r>
          </w:p>
        </w:tc>
        <w:tc>
          <w:tcPr>
            <w:tcW w:w="510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E93CAC"/>
              </w:rPr>
              <w:t>Analysis of 2Q22 Consolidated Results</w:t>
            </w:r>
          </w:p>
        </w:tc>
      </w:tr>
      <w:tr>
        <w:trPr>
          <w:trHeight w:val="165"/>
        </w:trPr>
        <w:tc>
          <w:tcPr>
            <w:tcW w:w="6160" w:type="dxa"/>
            <w:vAlign w:val="bottom"/>
            <w:gridSpan w:val="2"/>
            <w:shd w:val="clear" w:color="auto" w:fill="000000"/>
          </w:tcPr>
          <w:p>
            <w:pPr>
              <w:spacing w:after="0"/>
              <w:rPr>
                <w:sz w:val="14"/>
                <w:szCs w:val="14"/>
                <w:color w:val="auto"/>
              </w:rPr>
            </w:pPr>
          </w:p>
        </w:tc>
        <w:tc>
          <w:tcPr>
            <w:tcW w:w="5100" w:type="dxa"/>
            <w:vAlign w:val="bottom"/>
            <w:shd w:val="clear" w:color="auto" w:fill="000000"/>
          </w:tcPr>
          <w:p>
            <w:pPr>
              <w:spacing w:after="0"/>
              <w:rPr>
                <w:sz w:val="14"/>
                <w:szCs w:val="14"/>
                <w:color w:val="auto"/>
              </w:rPr>
            </w:pPr>
          </w:p>
        </w:tc>
      </w:tr>
      <w:tr>
        <w:trPr>
          <w:trHeight w:val="716"/>
        </w:trPr>
        <w:tc>
          <w:tcPr>
            <w:tcW w:w="6160" w:type="dxa"/>
            <w:vAlign w:val="bottom"/>
            <w:gridSpan w:val="2"/>
          </w:tcPr>
          <w:p>
            <w:pPr>
              <w:spacing w:after="0"/>
              <w:rPr>
                <w:sz w:val="20"/>
                <w:szCs w:val="20"/>
                <w:color w:val="auto"/>
              </w:rPr>
            </w:pPr>
            <w:r>
              <w:rPr>
                <w:rFonts w:ascii="Times New Roman" w:cs="Times New Roman" w:eastAsia="Times New Roman" w:hAnsi="Times New Roman"/>
                <w:sz w:val="47"/>
                <w:szCs w:val="47"/>
                <w:b w:val="1"/>
                <w:bCs w:val="1"/>
                <w:color w:val="E93CAC"/>
              </w:rPr>
              <w:t xml:space="preserve">12 </w:t>
            </w:r>
            <w:r>
              <w:rPr>
                <w:rFonts w:ascii="Times New Roman" w:cs="Times New Roman" w:eastAsia="Times New Roman" w:hAnsi="Times New Roman"/>
                <w:sz w:val="29"/>
                <w:szCs w:val="29"/>
                <w:b w:val="1"/>
                <w:bCs w:val="1"/>
                <w:color w:val="E93CAC"/>
              </w:rPr>
              <w:t>Appendix</w:t>
            </w:r>
          </w:p>
        </w:tc>
        <w:tc>
          <w:tcPr>
            <w:tcW w:w="5100" w:type="dxa"/>
            <w:vAlign w:val="bottom"/>
          </w:tcPr>
          <w:p>
            <w:pPr>
              <w:spacing w:after="0"/>
              <w:rPr>
                <w:sz w:val="24"/>
                <w:szCs w:val="24"/>
                <w:color w:val="auto"/>
              </w:rPr>
            </w:pPr>
          </w:p>
        </w:tc>
      </w:tr>
      <w:tr>
        <w:trPr>
          <w:trHeight w:val="409"/>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12.1.</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Physical Channels</w:t>
            </w:r>
          </w:p>
        </w:tc>
        <w:tc>
          <w:tcPr>
            <w:tcW w:w="5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12.2.</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Loan Portfolio Quality</w:t>
            </w:r>
          </w:p>
        </w:tc>
        <w:tc>
          <w:tcPr>
            <w:tcW w:w="5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12.3 Net Interest Income (INI)</w:t>
            </w:r>
          </w:p>
        </w:tc>
        <w:tc>
          <w:tcPr>
            <w:tcW w:w="5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12.4.</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Regulatory Capital</w:t>
            </w:r>
          </w:p>
        </w:tc>
        <w:tc>
          <w:tcPr>
            <w:tcW w:w="5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8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12.5.</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Ratios by Business</w:t>
            </w:r>
          </w:p>
        </w:tc>
        <w:tc>
          <w:tcPr>
            <w:tcW w:w="5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12.5.1. Credicorp Consolidated</w:t>
            </w:r>
          </w:p>
        </w:tc>
        <w:tc>
          <w:tcPr>
            <w:tcW w:w="5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12.5.2. Credicorp Stand-alone</w:t>
            </w:r>
          </w:p>
        </w:tc>
        <w:tc>
          <w:tcPr>
            <w:tcW w:w="5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12.5.3. BCP Consolidated</w:t>
            </w:r>
          </w:p>
        </w:tc>
        <w:tc>
          <w:tcPr>
            <w:tcW w:w="5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12.5.4. BCP Stand-alone</w:t>
            </w:r>
          </w:p>
        </w:tc>
        <w:tc>
          <w:tcPr>
            <w:tcW w:w="5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12.5.5. BCP Bolivia</w:t>
            </w:r>
          </w:p>
        </w:tc>
        <w:tc>
          <w:tcPr>
            <w:tcW w:w="5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12.5.6. Mibanco</w:t>
            </w:r>
          </w:p>
        </w:tc>
        <w:tc>
          <w:tcPr>
            <w:tcW w:w="5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12.5.7. Prima AFP</w:t>
            </w:r>
          </w:p>
        </w:tc>
        <w:tc>
          <w:tcPr>
            <w:tcW w:w="5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12.5.8. Grupo Pacifico</w:t>
            </w:r>
          </w:p>
        </w:tc>
        <w:tc>
          <w:tcPr>
            <w:tcW w:w="5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0"/>
        </w:trPr>
        <w:tc>
          <w:tcPr>
            <w:tcW w:w="61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12.5.9. Investment Banking &amp; Wealth Management</w:t>
            </w:r>
          </w:p>
        </w:tc>
        <w:tc>
          <w:tcPr>
            <w:tcW w:w="5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12.6.</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Table of calculations</w:t>
            </w:r>
          </w:p>
        </w:tc>
        <w:tc>
          <w:tcPr>
            <w:tcW w:w="5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12.7.</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Glossary of terms</w:t>
            </w:r>
          </w:p>
        </w:tc>
        <w:tc>
          <w:tcPr>
            <w:tcW w:w="5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17"/>
        </w:trPr>
        <w:tc>
          <w:tcPr>
            <w:tcW w:w="4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9"/>
        </w:trPr>
        <w:tc>
          <w:tcPr>
            <w:tcW w:w="42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-4098290</wp:posOffset>
            </wp:positionV>
            <wp:extent cx="1198880" cy="2012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98880" cy="20129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6" w:name="page47"/>
    <w:bookmarkEnd w:id="4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229870</wp:posOffset>
            </wp:positionV>
            <wp:extent cx="7145655" cy="1854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12. Appendix</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12.1.</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Physical Point of contact</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920" w:type="dxa"/>
            <w:vAlign w:val="bottom"/>
            <w:tcBorders>
              <w:right w:val="single" w:sz="8" w:color="auto"/>
            </w:tcBorders>
            <w:shd w:val="clear" w:color="auto" w:fill="2AD2C9"/>
          </w:tcPr>
          <w:p>
            <w:pPr>
              <w:spacing w:after="0" w:line="166" w:lineRule="exact"/>
              <w:rPr>
                <w:sz w:val="20"/>
                <w:szCs w:val="20"/>
                <w:color w:val="auto"/>
              </w:rPr>
            </w:pPr>
            <w:r>
              <w:rPr>
                <w:rFonts w:ascii="Arial" w:cs="Arial" w:eastAsia="Arial" w:hAnsi="Arial"/>
                <w:sz w:val="16"/>
                <w:szCs w:val="16"/>
                <w:b w:val="1"/>
                <w:bCs w:val="1"/>
                <w:color w:val="FFFFFF"/>
              </w:rPr>
              <w:t>Physical Point of Contact</w:t>
            </w:r>
          </w:p>
        </w:tc>
        <w:tc>
          <w:tcPr>
            <w:tcW w:w="1120" w:type="dxa"/>
            <w:vAlign w:val="bottom"/>
            <w:shd w:val="clear" w:color="auto" w:fill="2AD2C9"/>
          </w:tcPr>
          <w:p>
            <w:pPr>
              <w:spacing w:after="0"/>
              <w:rPr>
                <w:sz w:val="14"/>
                <w:szCs w:val="14"/>
                <w:color w:val="auto"/>
              </w:rPr>
            </w:pPr>
          </w:p>
        </w:tc>
        <w:tc>
          <w:tcPr>
            <w:tcW w:w="1000" w:type="dxa"/>
            <w:vAlign w:val="bottom"/>
            <w:shd w:val="clear" w:color="auto" w:fill="2AD2C9"/>
          </w:tcPr>
          <w:p>
            <w:pPr>
              <w:jc w:val="right"/>
              <w:ind w:right="339"/>
              <w:spacing w:after="0" w:line="166" w:lineRule="exact"/>
              <w:rPr>
                <w:sz w:val="20"/>
                <w:szCs w:val="20"/>
                <w:color w:val="auto"/>
              </w:rPr>
            </w:pPr>
            <w:r>
              <w:rPr>
                <w:rFonts w:ascii="Arial" w:cs="Arial" w:eastAsia="Arial" w:hAnsi="Arial"/>
                <w:sz w:val="16"/>
                <w:szCs w:val="16"/>
                <w:b w:val="1"/>
                <w:bCs w:val="1"/>
                <w:color w:val="FFFFFF"/>
              </w:rPr>
              <w:t>As of</w:t>
            </w:r>
          </w:p>
        </w:tc>
        <w:tc>
          <w:tcPr>
            <w:tcW w:w="900" w:type="dxa"/>
            <w:vAlign w:val="bottom"/>
            <w:tcBorders>
              <w:right w:val="single" w:sz="8" w:color="auto"/>
            </w:tcBorders>
            <w:shd w:val="clear" w:color="auto" w:fill="2AD2C9"/>
          </w:tcPr>
          <w:p>
            <w:pPr>
              <w:spacing w:after="0"/>
              <w:rPr>
                <w:sz w:val="14"/>
                <w:szCs w:val="14"/>
                <w:color w:val="auto"/>
              </w:rPr>
            </w:pPr>
          </w:p>
        </w:tc>
        <w:tc>
          <w:tcPr>
            <w:tcW w:w="2040" w:type="dxa"/>
            <w:vAlign w:val="bottom"/>
            <w:tcBorders>
              <w:right w:val="single" w:sz="8" w:color="auto"/>
            </w:tcBorders>
            <w:gridSpan w:val="2"/>
            <w:shd w:val="clear" w:color="auto" w:fill="2AD2C9"/>
          </w:tcPr>
          <w:p>
            <w:pPr>
              <w:jc w:val="right"/>
              <w:ind w:right="399"/>
              <w:spacing w:after="0" w:line="166" w:lineRule="exact"/>
              <w:rPr>
                <w:sz w:val="20"/>
                <w:szCs w:val="20"/>
                <w:color w:val="auto"/>
              </w:rPr>
            </w:pPr>
            <w:r>
              <w:rPr>
                <w:rFonts w:ascii="Arial" w:cs="Arial" w:eastAsia="Arial" w:hAnsi="Arial"/>
                <w:sz w:val="16"/>
                <w:szCs w:val="16"/>
                <w:b w:val="1"/>
                <w:bCs w:val="1"/>
                <w:color w:val="FFFFFF"/>
              </w:rPr>
              <w:t>change (units)</w:t>
            </w:r>
          </w:p>
        </w:tc>
      </w:tr>
      <w:tr>
        <w:trPr>
          <w:trHeight w:val="204"/>
        </w:trPr>
        <w:tc>
          <w:tcPr>
            <w:tcW w:w="3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920" w:type="dxa"/>
            <w:vAlign w:val="bottom"/>
            <w:tcBorders>
              <w:bottom w:val="single" w:sz="8" w:color="auto"/>
              <w:right w:val="single" w:sz="8" w:color="auto"/>
            </w:tcBorders>
            <w:shd w:val="clear" w:color="auto" w:fill="2AD2C9"/>
          </w:tcPr>
          <w:p>
            <w:pPr>
              <w:spacing w:after="0"/>
              <w:rPr>
                <w:sz w:val="20"/>
                <w:szCs w:val="20"/>
                <w:color w:val="auto"/>
              </w:rPr>
            </w:pPr>
            <w:r>
              <w:rPr>
                <w:rFonts w:ascii="Arial" w:cs="Arial" w:eastAsia="Arial" w:hAnsi="Arial"/>
                <w:sz w:val="16"/>
                <w:szCs w:val="16"/>
                <w:b w:val="1"/>
                <w:bCs w:val="1"/>
                <w:color w:val="FFFFFF"/>
              </w:rPr>
              <w:t>(Units)</w:t>
            </w:r>
          </w:p>
        </w:tc>
        <w:tc>
          <w:tcPr>
            <w:tcW w:w="1120" w:type="dxa"/>
            <w:vAlign w:val="bottom"/>
            <w:tcBorders>
              <w:bottom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Jun-21</w:t>
            </w:r>
          </w:p>
        </w:tc>
        <w:tc>
          <w:tcPr>
            <w:tcW w:w="1000" w:type="dxa"/>
            <w:vAlign w:val="bottom"/>
            <w:tcBorders>
              <w:bottom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Mar-22</w:t>
            </w:r>
          </w:p>
        </w:tc>
        <w:tc>
          <w:tcPr>
            <w:tcW w:w="900" w:type="dxa"/>
            <w:vAlign w:val="bottom"/>
            <w:tcBorders>
              <w:bottom w:val="single" w:sz="8" w:color="auto"/>
              <w:right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rPr>
              <w:t>Jun-22</w:t>
            </w:r>
          </w:p>
        </w:tc>
        <w:tc>
          <w:tcPr>
            <w:tcW w:w="118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166"/>
        </w:trPr>
        <w:tc>
          <w:tcPr>
            <w:tcW w:w="3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92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Branches</w:t>
            </w:r>
          </w:p>
        </w:tc>
        <w:tc>
          <w:tcPr>
            <w:tcW w:w="1120" w:type="dxa"/>
            <w:vAlign w:val="bottom"/>
          </w:tcPr>
          <w:p>
            <w:pPr>
              <w:jc w:val="right"/>
              <w:ind w:right="59"/>
              <w:spacing w:after="0" w:line="166" w:lineRule="exact"/>
              <w:rPr>
                <w:sz w:val="20"/>
                <w:szCs w:val="20"/>
                <w:color w:val="auto"/>
              </w:rPr>
            </w:pPr>
            <w:r>
              <w:rPr>
                <w:rFonts w:ascii="Arial" w:cs="Arial" w:eastAsia="Arial" w:hAnsi="Arial"/>
                <w:sz w:val="16"/>
                <w:szCs w:val="16"/>
                <w:color w:val="auto"/>
              </w:rPr>
              <w:t>730</w:t>
            </w:r>
          </w:p>
        </w:tc>
        <w:tc>
          <w:tcPr>
            <w:tcW w:w="1000" w:type="dxa"/>
            <w:vAlign w:val="bottom"/>
          </w:tcPr>
          <w:p>
            <w:pPr>
              <w:jc w:val="right"/>
              <w:ind w:right="39"/>
              <w:spacing w:after="0" w:line="166" w:lineRule="exact"/>
              <w:rPr>
                <w:sz w:val="20"/>
                <w:szCs w:val="20"/>
                <w:color w:val="auto"/>
              </w:rPr>
            </w:pPr>
            <w:r>
              <w:rPr>
                <w:rFonts w:ascii="Arial" w:cs="Arial" w:eastAsia="Arial" w:hAnsi="Arial"/>
                <w:sz w:val="16"/>
                <w:szCs w:val="16"/>
                <w:color w:val="auto"/>
              </w:rPr>
              <w:t>706</w:t>
            </w:r>
          </w:p>
        </w:tc>
        <w:tc>
          <w:tcPr>
            <w:tcW w:w="9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691</w:t>
            </w:r>
          </w:p>
        </w:tc>
        <w:tc>
          <w:tcPr>
            <w:tcW w:w="1180" w:type="dxa"/>
            <w:vAlign w:val="bottom"/>
          </w:tcPr>
          <w:p>
            <w:pPr>
              <w:jc w:val="right"/>
              <w:ind w:right="99"/>
              <w:spacing w:after="0" w:line="166" w:lineRule="exact"/>
              <w:rPr>
                <w:sz w:val="20"/>
                <w:szCs w:val="20"/>
                <w:color w:val="auto"/>
              </w:rPr>
            </w:pPr>
            <w:r>
              <w:rPr>
                <w:rFonts w:ascii="Arial" w:cs="Arial" w:eastAsia="Arial" w:hAnsi="Arial"/>
                <w:sz w:val="16"/>
                <w:szCs w:val="16"/>
                <w:color w:val="auto"/>
              </w:rPr>
              <w:t>-15</w:t>
            </w:r>
          </w:p>
        </w:tc>
        <w:tc>
          <w:tcPr>
            <w:tcW w:w="86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-39</w:t>
            </w:r>
          </w:p>
        </w:tc>
      </w:tr>
      <w:tr>
        <w:trPr>
          <w:trHeight w:val="183"/>
        </w:trPr>
        <w:tc>
          <w:tcPr>
            <w:tcW w:w="3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392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ATMs</w:t>
            </w:r>
          </w:p>
        </w:tc>
        <w:tc>
          <w:tcPr>
            <w:tcW w:w="11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2,596</w:t>
            </w:r>
          </w:p>
        </w:tc>
        <w:tc>
          <w:tcPr>
            <w:tcW w:w="10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2,551</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2,540</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-11</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-56</w:t>
            </w:r>
          </w:p>
        </w:tc>
      </w:tr>
      <w:tr>
        <w:trPr>
          <w:trHeight w:val="204"/>
        </w:trPr>
        <w:tc>
          <w:tcPr>
            <w:tcW w:w="3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Agentes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7,669</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8,916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9,863</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947</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2,194</w:t>
            </w:r>
          </w:p>
        </w:tc>
      </w:tr>
      <w:tr>
        <w:trPr>
          <w:trHeight w:val="187"/>
        </w:trPr>
        <w:tc>
          <w:tcPr>
            <w:tcW w:w="3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10,995</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12,173</w:t>
            </w:r>
          </w:p>
        </w:tc>
        <w:tc>
          <w:tcPr>
            <w:tcW w:w="9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13,094</w:t>
            </w:r>
          </w:p>
        </w:tc>
        <w:tc>
          <w:tcPr>
            <w:tcW w:w="11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921</w:t>
            </w:r>
          </w:p>
        </w:tc>
        <w:tc>
          <w:tcPr>
            <w:tcW w:w="8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2,099</w:t>
            </w:r>
          </w:p>
        </w:tc>
      </w:tr>
      <w:tr>
        <w:trPr>
          <w:trHeight w:val="450"/>
        </w:trPr>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12.2.</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Loan Portfolio Quality</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Loan Portfolio Quality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96520</wp:posOffset>
            </wp:positionV>
            <wp:extent cx="4980305" cy="2413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80305" cy="241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7" w:name="page48"/>
    <w:bookmarkEnd w:id="47"/>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5655" cy="1854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352" w:lineRule="exact"/>
        <w:rPr>
          <w:sz w:val="20"/>
          <w:szCs w:val="20"/>
          <w:color w:val="auto"/>
        </w:rPr>
      </w:pPr>
    </w:p>
    <w:p>
      <w:pPr>
        <w:ind w:left="43"/>
        <w:spacing w:after="0"/>
        <w:rPr>
          <w:sz w:val="20"/>
          <w:szCs w:val="20"/>
          <w:color w:val="auto"/>
        </w:rPr>
      </w:pPr>
      <w:r>
        <w:rPr>
          <w:rFonts w:ascii="Arial" w:cs="Arial" w:eastAsia="Arial" w:hAnsi="Arial"/>
          <w:sz w:val="19"/>
          <w:szCs w:val="19"/>
          <w:b w:val="1"/>
          <w:bCs w:val="1"/>
          <w:color w:val="FFFFFF"/>
        </w:rPr>
        <w:t>12. Appendix</w:t>
      </w:r>
    </w:p>
    <w:p>
      <w:pPr>
        <w:spacing w:after="0" w:line="1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u w:val="single" w:color="auto"/>
          <w:color w:val="auto"/>
        </w:rPr>
        <w:t>Government Program (GP) Loan Portfolio Quality (in Quarter-end Balances)</w:t>
      </w:r>
    </w:p>
    <w:p>
      <w:pPr>
        <w:spacing w:after="0" w:line="132" w:lineRule="exact"/>
        <w:rPr>
          <w:sz w:val="20"/>
          <w:szCs w:val="20"/>
          <w:color w:val="auto"/>
        </w:rPr>
      </w:pPr>
    </w:p>
    <w:tbl>
      <w:tblPr>
        <w:tblLayout w:type="fixed"/>
        <w:tblInd w:w="13" w:type="dxa"/>
        <w:tblCellMar>
          <w:top w:w="0" w:type="dxa"/>
          <w:left w:w="0" w:type="dxa"/>
          <w:bottom w:w="0" w:type="dxa"/>
          <w:right w:w="0" w:type="dxa"/>
        </w:tblCellMar>
      </w:tblPr>
      <w:tr>
        <w:trPr>
          <w:trHeight w:val="198"/>
        </w:trPr>
        <w:tc>
          <w:tcPr>
            <w:tcW w:w="6200" w:type="dxa"/>
            <w:vAlign w:val="bottom"/>
            <w:tcBorders>
              <w:top w:val="single" w:sz="8" w:color="auto"/>
              <w:left w:val="single" w:sz="8" w:color="auto"/>
              <w:right w:val="single" w:sz="8" w:color="auto"/>
            </w:tcBorders>
            <w:shd w:val="clear" w:color="auto" w:fill="2AD2C9"/>
          </w:tcPr>
          <w:p>
            <w:pPr>
              <w:ind w:left="20"/>
              <w:spacing w:after="0" w:line="198" w:lineRule="exact"/>
              <w:rPr>
                <w:sz w:val="20"/>
                <w:szCs w:val="20"/>
                <w:color w:val="auto"/>
              </w:rPr>
            </w:pPr>
            <w:r>
              <w:rPr>
                <w:rFonts w:ascii="Arial" w:cs="Arial" w:eastAsia="Arial" w:hAnsi="Arial"/>
                <w:sz w:val="14"/>
                <w:szCs w:val="14"/>
                <w:b w:val="1"/>
                <w:bCs w:val="1"/>
                <w:color w:val="FFFFFF"/>
              </w:rPr>
              <w:t xml:space="preserve">GP Portfolio quality and Delinquency ratios </w:t>
            </w:r>
            <w:r>
              <w:rPr>
                <w:rFonts w:ascii="Arial" w:cs="Arial" w:eastAsia="Arial" w:hAnsi="Arial"/>
                <w:sz w:val="22"/>
                <w:szCs w:val="22"/>
                <w:b w:val="1"/>
                <w:bCs w:val="1"/>
                <w:color w:val="FFFFFF"/>
                <w:vertAlign w:val="superscript"/>
              </w:rPr>
              <w:t>(1)</w:t>
            </w:r>
          </w:p>
        </w:tc>
        <w:tc>
          <w:tcPr>
            <w:tcW w:w="1060" w:type="dxa"/>
            <w:vAlign w:val="bottom"/>
            <w:tcBorders>
              <w:top w:val="single" w:sz="8" w:color="auto"/>
            </w:tcBorders>
            <w:shd w:val="clear" w:color="auto" w:fill="2AD2C9"/>
          </w:tcPr>
          <w:p>
            <w:pPr>
              <w:spacing w:after="0"/>
              <w:rPr>
                <w:sz w:val="17"/>
                <w:szCs w:val="17"/>
                <w:color w:val="auto"/>
              </w:rPr>
            </w:pPr>
          </w:p>
        </w:tc>
        <w:tc>
          <w:tcPr>
            <w:tcW w:w="1020" w:type="dxa"/>
            <w:vAlign w:val="bottom"/>
            <w:tcBorders>
              <w:top w:val="single" w:sz="8" w:color="auto"/>
            </w:tcBorders>
            <w:vMerge w:val="restart"/>
            <w:shd w:val="clear" w:color="auto" w:fill="2AD2C9"/>
          </w:tcPr>
          <w:p>
            <w:pPr>
              <w:jc w:val="right"/>
              <w:ind w:right="251"/>
              <w:spacing w:after="0"/>
              <w:rPr>
                <w:sz w:val="20"/>
                <w:szCs w:val="20"/>
                <w:color w:val="auto"/>
              </w:rPr>
            </w:pPr>
            <w:r>
              <w:rPr>
                <w:rFonts w:ascii="Arial" w:cs="Arial" w:eastAsia="Arial" w:hAnsi="Arial"/>
                <w:sz w:val="18"/>
                <w:szCs w:val="18"/>
                <w:b w:val="1"/>
                <w:bCs w:val="1"/>
                <w:color w:val="FFFFFF"/>
              </w:rPr>
              <w:t>As of</w:t>
            </w:r>
          </w:p>
        </w:tc>
        <w:tc>
          <w:tcPr>
            <w:tcW w:w="960" w:type="dxa"/>
            <w:vAlign w:val="bottom"/>
            <w:tcBorders>
              <w:top w:val="single" w:sz="8" w:color="auto"/>
              <w:right w:val="single" w:sz="8" w:color="auto"/>
            </w:tcBorders>
            <w:shd w:val="clear" w:color="auto" w:fill="2AD2C9"/>
          </w:tcPr>
          <w:p>
            <w:pPr>
              <w:spacing w:after="0"/>
              <w:rPr>
                <w:sz w:val="17"/>
                <w:szCs w:val="17"/>
                <w:color w:val="auto"/>
              </w:rPr>
            </w:pPr>
          </w:p>
        </w:tc>
        <w:tc>
          <w:tcPr>
            <w:tcW w:w="2020" w:type="dxa"/>
            <w:vAlign w:val="bottom"/>
            <w:tcBorders>
              <w:top w:val="single" w:sz="8" w:color="auto"/>
              <w:right w:val="single" w:sz="8" w:color="auto"/>
            </w:tcBorders>
            <w:gridSpan w:val="2"/>
            <w:vMerge w:val="restart"/>
            <w:shd w:val="clear" w:color="auto" w:fill="2AD2C9"/>
          </w:tcPr>
          <w:p>
            <w:pPr>
              <w:ind w:left="58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8"/>
                <w:szCs w:val="18"/>
                <w:b w:val="1"/>
                <w:bCs w:val="1"/>
                <w:color w:val="FFFFFF"/>
              </w:rPr>
              <w:t>S/000</w:t>
            </w:r>
          </w:p>
        </w:tc>
        <w:tc>
          <w:tcPr>
            <w:tcW w:w="1060" w:type="dxa"/>
            <w:vAlign w:val="bottom"/>
            <w:shd w:val="clear" w:color="auto" w:fill="2AD2C9"/>
          </w:tcPr>
          <w:p>
            <w:pPr>
              <w:spacing w:after="0"/>
              <w:rPr>
                <w:sz w:val="12"/>
                <w:szCs w:val="12"/>
                <w:color w:val="auto"/>
              </w:rPr>
            </w:pPr>
          </w:p>
        </w:tc>
        <w:tc>
          <w:tcPr>
            <w:tcW w:w="1020" w:type="dxa"/>
            <w:vAlign w:val="bottom"/>
            <w:vMerge w:val="continue"/>
            <w:shd w:val="clear" w:color="auto" w:fill="2AD2C9"/>
          </w:tcPr>
          <w:p>
            <w:pPr>
              <w:spacing w:after="0"/>
              <w:rPr>
                <w:sz w:val="12"/>
                <w:szCs w:val="12"/>
                <w:color w:val="auto"/>
              </w:rPr>
            </w:pPr>
          </w:p>
        </w:tc>
        <w:tc>
          <w:tcPr>
            <w:tcW w:w="960" w:type="dxa"/>
            <w:vAlign w:val="bottom"/>
            <w:tcBorders>
              <w:right w:val="single" w:sz="8" w:color="auto"/>
            </w:tcBorders>
            <w:shd w:val="clear" w:color="auto" w:fill="2AD2C9"/>
          </w:tcPr>
          <w:p>
            <w:pPr>
              <w:spacing w:after="0"/>
              <w:rPr>
                <w:sz w:val="12"/>
                <w:szCs w:val="12"/>
                <w:color w:val="auto"/>
              </w:rPr>
            </w:pPr>
          </w:p>
        </w:tc>
        <w:tc>
          <w:tcPr>
            <w:tcW w:w="2020" w:type="dxa"/>
            <w:vAlign w:val="bottom"/>
            <w:tcBorders>
              <w:right w:val="single" w:sz="8" w:color="auto"/>
            </w:tcBorders>
            <w:gridSpan w:val="2"/>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20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1060" w:type="dxa"/>
            <w:vAlign w:val="bottom"/>
            <w:vMerge w:val="restart"/>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rPr>
              <w:t>Jun 21</w:t>
            </w:r>
          </w:p>
        </w:tc>
        <w:tc>
          <w:tcPr>
            <w:tcW w:w="1020" w:type="dxa"/>
            <w:vAlign w:val="bottom"/>
            <w:vMerge w:val="restart"/>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Mar 22</w:t>
            </w:r>
          </w:p>
        </w:tc>
        <w:tc>
          <w:tcPr>
            <w:tcW w:w="960" w:type="dxa"/>
            <w:vAlign w:val="bottom"/>
            <w:tcBorders>
              <w:right w:val="single" w:sz="8" w:color="auto"/>
            </w:tcBorders>
            <w:vMerge w:val="restart"/>
            <w:shd w:val="clear" w:color="auto" w:fill="2AD2C9"/>
          </w:tcPr>
          <w:p>
            <w:pPr>
              <w:jc w:val="right"/>
              <w:ind w:right="151"/>
              <w:spacing w:after="0"/>
              <w:rPr>
                <w:sz w:val="20"/>
                <w:szCs w:val="20"/>
                <w:color w:val="auto"/>
              </w:rPr>
            </w:pPr>
            <w:r>
              <w:rPr>
                <w:rFonts w:ascii="Arial" w:cs="Arial" w:eastAsia="Arial" w:hAnsi="Arial"/>
                <w:sz w:val="18"/>
                <w:szCs w:val="18"/>
                <w:b w:val="1"/>
                <w:bCs w:val="1"/>
                <w:color w:val="FFFFFF"/>
              </w:rPr>
              <w:t>Jun 22</w:t>
            </w:r>
          </w:p>
        </w:tc>
        <w:tc>
          <w:tcPr>
            <w:tcW w:w="100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rPr>
              <w:t>QoQ</w:t>
            </w:r>
          </w:p>
        </w:tc>
        <w:tc>
          <w:tcPr>
            <w:tcW w:w="10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0" w:type="dxa"/>
            <w:vAlign w:val="bottom"/>
          </w:tcPr>
          <w:p>
            <w:pPr>
              <w:spacing w:after="0"/>
              <w:rPr>
                <w:sz w:val="1"/>
                <w:szCs w:val="1"/>
                <w:color w:val="auto"/>
              </w:rPr>
            </w:pPr>
          </w:p>
        </w:tc>
      </w:tr>
      <w:tr>
        <w:trPr>
          <w:trHeight w:val="170"/>
        </w:trPr>
        <w:tc>
          <w:tcPr>
            <w:tcW w:w="62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060" w:type="dxa"/>
            <w:vAlign w:val="bottom"/>
            <w:tcBorders>
              <w:bottom w:val="single" w:sz="8" w:color="auto"/>
            </w:tcBorders>
            <w:vMerge w:val="continue"/>
            <w:shd w:val="clear" w:color="auto" w:fill="2AD2C9"/>
          </w:tcPr>
          <w:p>
            <w:pPr>
              <w:spacing w:after="0"/>
              <w:rPr>
                <w:sz w:val="14"/>
                <w:szCs w:val="14"/>
                <w:color w:val="auto"/>
              </w:rPr>
            </w:pPr>
          </w:p>
        </w:tc>
        <w:tc>
          <w:tcPr>
            <w:tcW w:w="1020" w:type="dxa"/>
            <w:vAlign w:val="bottom"/>
            <w:tcBorders>
              <w:bottom w:val="single" w:sz="8" w:color="auto"/>
            </w:tcBorders>
            <w:vMerge w:val="continue"/>
            <w:shd w:val="clear" w:color="auto" w:fill="2AD2C9"/>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000" w:type="dxa"/>
            <w:vAlign w:val="bottom"/>
            <w:tcBorders>
              <w:bottom w:val="single" w:sz="8" w:color="auto"/>
            </w:tcBorders>
            <w:vMerge w:val="continue"/>
            <w:shd w:val="clear" w:color="auto" w:fill="2AD2C9"/>
          </w:tcPr>
          <w:p>
            <w:pPr>
              <w:spacing w:after="0"/>
              <w:rPr>
                <w:sz w:val="14"/>
                <w:szCs w:val="14"/>
                <w:color w:val="auto"/>
              </w:rPr>
            </w:pPr>
          </w:p>
        </w:tc>
        <w:tc>
          <w:tcPr>
            <w:tcW w:w="102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200" w:type="dxa"/>
            <w:vAlign w:val="bottom"/>
            <w:tcBorders>
              <w:left w:val="single" w:sz="8" w:color="auto"/>
              <w:bottom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GP Total loans (Quarter-end balance)</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22,996,351</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16,355,873</w:t>
            </w:r>
          </w:p>
        </w:tc>
        <w:tc>
          <w:tcPr>
            <w:tcW w:w="96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13,334,009</w:t>
            </w:r>
          </w:p>
        </w:tc>
        <w:tc>
          <w:tcPr>
            <w:tcW w:w="10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-18.5%</w:t>
            </w:r>
          </w:p>
        </w:tc>
        <w:tc>
          <w:tcPr>
            <w:tcW w:w="1020" w:type="dxa"/>
            <w:vAlign w:val="bottom"/>
            <w:tcBorders>
              <w:bottom w:val="single" w:sz="8" w:color="auto"/>
              <w:right w:val="single" w:sz="8" w:color="auto"/>
            </w:tcBorders>
          </w:tcPr>
          <w:p>
            <w:pPr>
              <w:jc w:val="right"/>
              <w:ind w:right="151"/>
              <w:spacing w:after="0" w:line="195" w:lineRule="exact"/>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199"/>
        </w:trPr>
        <w:tc>
          <w:tcPr>
            <w:tcW w:w="6200" w:type="dxa"/>
            <w:vAlign w:val="bottom"/>
            <w:tcBorders>
              <w:left w:val="single" w:sz="8" w:color="auto"/>
              <w:bottom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GP Allowance for loan losses</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146,011</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200,713</w:t>
            </w:r>
          </w:p>
        </w:tc>
        <w:tc>
          <w:tcPr>
            <w:tcW w:w="96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194,144</w:t>
            </w:r>
          </w:p>
        </w:tc>
        <w:tc>
          <w:tcPr>
            <w:tcW w:w="10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color w:val="auto"/>
              </w:rPr>
              <w:t>-3.3%</w:t>
            </w:r>
          </w:p>
        </w:tc>
        <w:tc>
          <w:tcPr>
            <w:tcW w:w="1020" w:type="dxa"/>
            <w:vAlign w:val="bottom"/>
            <w:tcBorders>
              <w:bottom w:val="single" w:sz="8" w:color="auto"/>
              <w:right w:val="single" w:sz="8" w:color="auto"/>
            </w:tcBorders>
          </w:tcPr>
          <w:p>
            <w:pPr>
              <w:jc w:val="right"/>
              <w:ind w:right="191"/>
              <w:spacing w:after="0" w:line="195"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99"/>
        </w:trPr>
        <w:tc>
          <w:tcPr>
            <w:tcW w:w="6200" w:type="dxa"/>
            <w:vAlign w:val="bottom"/>
            <w:tcBorders>
              <w:left w:val="single" w:sz="8" w:color="auto"/>
              <w:bottom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GP IOLs</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140,784</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1,031,670</w:t>
            </w:r>
          </w:p>
        </w:tc>
        <w:tc>
          <w:tcPr>
            <w:tcW w:w="96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1,027,377</w:t>
            </w:r>
          </w:p>
        </w:tc>
        <w:tc>
          <w:tcPr>
            <w:tcW w:w="10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color w:val="auto"/>
              </w:rPr>
              <w:t>-0.4%</w:t>
            </w:r>
          </w:p>
        </w:tc>
        <w:tc>
          <w:tcPr>
            <w:tcW w:w="102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4"/>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b w:val="1"/>
                <w:bCs w:val="1"/>
                <w:color w:val="auto"/>
              </w:rPr>
              <w:t>GP IOL ratio</w:t>
            </w:r>
          </w:p>
        </w:tc>
        <w:tc>
          <w:tcPr>
            <w:tcW w:w="1060" w:type="dxa"/>
            <w:vAlign w:val="bottom"/>
          </w:tcPr>
          <w:p>
            <w:pPr>
              <w:jc w:val="right"/>
              <w:spacing w:after="0" w:line="174" w:lineRule="exact"/>
              <w:rPr>
                <w:sz w:val="20"/>
                <w:szCs w:val="20"/>
                <w:color w:val="auto"/>
              </w:rPr>
            </w:pPr>
            <w:r>
              <w:rPr>
                <w:rFonts w:ascii="Arial" w:cs="Arial" w:eastAsia="Arial" w:hAnsi="Arial"/>
                <w:sz w:val="18"/>
                <w:szCs w:val="18"/>
                <w:b w:val="1"/>
                <w:bCs w:val="1"/>
                <w:color w:val="auto"/>
              </w:rPr>
              <w:t>0.61%</w:t>
            </w:r>
          </w:p>
        </w:tc>
        <w:tc>
          <w:tcPr>
            <w:tcW w:w="1020" w:type="dxa"/>
            <w:vAlign w:val="bottom"/>
          </w:tcPr>
          <w:p>
            <w:pPr>
              <w:jc w:val="right"/>
              <w:spacing w:after="0" w:line="174" w:lineRule="exact"/>
              <w:rPr>
                <w:sz w:val="20"/>
                <w:szCs w:val="20"/>
                <w:color w:val="auto"/>
              </w:rPr>
            </w:pPr>
            <w:r>
              <w:rPr>
                <w:rFonts w:ascii="Arial" w:cs="Arial" w:eastAsia="Arial" w:hAnsi="Arial"/>
                <w:sz w:val="18"/>
                <w:szCs w:val="18"/>
                <w:b w:val="1"/>
                <w:bCs w:val="1"/>
                <w:color w:val="auto"/>
              </w:rPr>
              <w:t>6.31%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b w:val="1"/>
                <w:bCs w:val="1"/>
                <w:color w:val="auto"/>
              </w:rPr>
              <w:t>7.70%</w:t>
            </w:r>
          </w:p>
        </w:tc>
        <w:tc>
          <w:tcPr>
            <w:tcW w:w="1000" w:type="dxa"/>
            <w:vAlign w:val="bottom"/>
          </w:tcPr>
          <w:p>
            <w:pPr>
              <w:jc w:val="center"/>
              <w:spacing w:after="0" w:line="174" w:lineRule="exact"/>
              <w:rPr>
                <w:sz w:val="20"/>
                <w:szCs w:val="20"/>
                <w:color w:val="auto"/>
              </w:rPr>
            </w:pPr>
            <w:r>
              <w:rPr>
                <w:rFonts w:ascii="Arial" w:cs="Arial" w:eastAsia="Arial" w:hAnsi="Arial"/>
                <w:sz w:val="18"/>
                <w:szCs w:val="18"/>
                <w:color w:val="auto"/>
                <w:w w:val="99"/>
              </w:rPr>
              <w:t>139 bps</w:t>
            </w:r>
          </w:p>
        </w:tc>
        <w:tc>
          <w:tcPr>
            <w:tcW w:w="10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9"/>
              </w:rPr>
              <w:t>709 bps</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GP Allowance for loan losses over GP Total loans</w:t>
            </w:r>
          </w:p>
        </w:tc>
        <w:tc>
          <w:tcPr>
            <w:tcW w:w="10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0.6%</w:t>
            </w:r>
          </w:p>
        </w:tc>
        <w:tc>
          <w:tcPr>
            <w:tcW w:w="10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1.2%</w:t>
            </w:r>
          </w:p>
        </w:tc>
        <w:tc>
          <w:tcPr>
            <w:tcW w:w="9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1.5%</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6"/>
              </w:rPr>
              <w:t>23 bps</w:t>
            </w:r>
          </w:p>
        </w:tc>
        <w:tc>
          <w:tcPr>
            <w:tcW w:w="1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83 bps</w:t>
            </w:r>
          </w:p>
        </w:tc>
        <w:tc>
          <w:tcPr>
            <w:tcW w:w="0" w:type="dxa"/>
            <w:vAlign w:val="bottom"/>
          </w:tcPr>
          <w:p>
            <w:pPr>
              <w:spacing w:after="0"/>
              <w:rPr>
                <w:sz w:val="1"/>
                <w:szCs w:val="1"/>
                <w:color w:val="auto"/>
              </w:rPr>
            </w:pPr>
          </w:p>
        </w:tc>
      </w:tr>
      <w:tr>
        <w:trPr>
          <w:trHeight w:val="220"/>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GP Coverage ratio of IOLs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-56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ind w:left="283" w:hanging="283"/>
        <w:spacing w:after="0"/>
        <w:tabs>
          <w:tab w:leader="none" w:pos="283" w:val="left"/>
        </w:tabs>
        <w:numPr>
          <w:ilvl w:val="0"/>
          <w:numId w:val="41"/>
        </w:numPr>
        <w:rPr>
          <w:rFonts w:ascii="Arial" w:cs="Arial" w:eastAsia="Arial" w:hAnsi="Arial"/>
          <w:sz w:val="11"/>
          <w:szCs w:val="11"/>
          <w:color w:val="auto"/>
        </w:rPr>
      </w:pPr>
      <w:r>
        <w:rPr>
          <w:rFonts w:ascii="Arial" w:cs="Arial" w:eastAsia="Arial" w:hAnsi="Arial"/>
          <w:sz w:val="11"/>
          <w:szCs w:val="11"/>
          <w:color w:val="auto"/>
        </w:rPr>
        <w:t>Government Programs (GP) include Reactiva Peru and FAE-Mype.</w:t>
      </w:r>
    </w:p>
    <w:p>
      <w:pPr>
        <w:spacing w:after="0" w:line="3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u w:val="single" w:color="auto"/>
          <w:color w:val="auto"/>
        </w:rPr>
        <w:t>Portfolio Quality Ratios by Segment</w:t>
      </w:r>
    </w:p>
    <w:p>
      <w:pPr>
        <w:spacing w:after="0" w:line="22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19050</wp:posOffset>
            </wp:positionV>
            <wp:extent cx="4609465" cy="1786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609465" cy="178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19050</wp:posOffset>
            </wp:positionV>
            <wp:extent cx="4539615" cy="19024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39615" cy="190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48" w:name="page49"/>
    <w:bookmarkEnd w:id="48"/>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260350</wp:posOffset>
            </wp:positionV>
            <wp:extent cx="7145655" cy="185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12. Appendix</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19050</wp:posOffset>
            </wp:positionV>
            <wp:extent cx="4578350" cy="2049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7835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19050</wp:posOffset>
            </wp:positionV>
            <wp:extent cx="4686300" cy="18561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86300"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19050</wp:posOffset>
            </wp:positionV>
            <wp:extent cx="4485640" cy="18484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485640" cy="184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33655</wp:posOffset>
            </wp:positionV>
            <wp:extent cx="714565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60" w:top="313" w:right="319" w:bottom="1440" w:gutter="0" w:footer="0" w:header="0"/>
        </w:sectPr>
      </w:pPr>
    </w:p>
    <w:bookmarkStart w:id="49" w:name="page50"/>
    <w:bookmarkEnd w:id="49"/>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260350</wp:posOffset>
            </wp:positionV>
            <wp:extent cx="7145655" cy="1854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12. Appendix</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19050</wp:posOffset>
            </wp:positionV>
            <wp:extent cx="4856480" cy="19640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5648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19050</wp:posOffset>
            </wp:positionV>
            <wp:extent cx="4864100" cy="1933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64100" cy="193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19050</wp:posOffset>
            </wp:positionV>
            <wp:extent cx="4902835" cy="19951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02835" cy="199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33655</wp:posOffset>
            </wp:positionV>
            <wp:extent cx="714565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60" w:top="313" w:right="319" w:bottom="1440" w:gutter="0" w:footer="0" w:header="0"/>
        </w:sectPr>
      </w:pPr>
    </w:p>
    <w:bookmarkStart w:id="50" w:name="page51"/>
    <w:bookmarkEnd w:id="5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7145655" cy="1854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12.3 Net Interest Income (NII)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NII Summary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Borders>
              <w:right w:val="single" w:sz="8" w:color="auto"/>
            </w:tcBorders>
          </w:tcPr>
          <w:p>
            <w:pPr>
              <w:spacing w:after="0"/>
              <w:rPr>
                <w:sz w:val="14"/>
                <w:szCs w:val="14"/>
                <w:color w:val="auto"/>
              </w:rPr>
            </w:pPr>
          </w:p>
        </w:tc>
        <w:tc>
          <w:tcPr>
            <w:tcW w:w="318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b w:val="1"/>
                <w:bCs w:val="1"/>
                <w:color w:val="FFFFFF"/>
              </w:rPr>
              <w:t>Net interest income</w:t>
            </w:r>
          </w:p>
        </w:tc>
        <w:tc>
          <w:tcPr>
            <w:tcW w:w="1080" w:type="dxa"/>
            <w:vAlign w:val="bottom"/>
            <w:tcBorders>
              <w:top w:val="single" w:sz="8" w:color="auto"/>
            </w:tcBorders>
            <w:shd w:val="clear" w:color="auto" w:fill="2AD2C9"/>
          </w:tcPr>
          <w:p>
            <w:pPr>
              <w:spacing w:after="0"/>
              <w:rPr>
                <w:sz w:val="14"/>
                <w:szCs w:val="14"/>
                <w:color w:val="auto"/>
              </w:rPr>
            </w:pPr>
          </w:p>
        </w:tc>
        <w:tc>
          <w:tcPr>
            <w:tcW w:w="1000" w:type="dxa"/>
            <w:vAlign w:val="bottom"/>
            <w:tcBorders>
              <w:top w:val="single" w:sz="8" w:color="auto"/>
            </w:tcBorders>
            <w:shd w:val="clear" w:color="auto" w:fill="2AD2C9"/>
          </w:tcPr>
          <w:p>
            <w:pPr>
              <w:jc w:val="right"/>
              <w:ind w:right="315"/>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4"/>
                <w:szCs w:val="14"/>
                <w:color w:val="auto"/>
              </w:rPr>
            </w:pPr>
          </w:p>
        </w:tc>
        <w:tc>
          <w:tcPr>
            <w:tcW w:w="128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 change</w:t>
            </w:r>
          </w:p>
        </w:tc>
        <w:tc>
          <w:tcPr>
            <w:tcW w:w="660" w:type="dxa"/>
            <w:vAlign w:val="bottom"/>
            <w:tcBorders>
              <w:top w:val="single" w:sz="8" w:color="auto"/>
              <w:right w:val="single" w:sz="8" w:color="auto"/>
            </w:tcBorders>
            <w:shd w:val="clear" w:color="auto" w:fill="2AD2C9"/>
          </w:tcPr>
          <w:p>
            <w:pPr>
              <w:spacing w:after="0"/>
              <w:rPr>
                <w:sz w:val="14"/>
                <w:szCs w:val="14"/>
                <w:color w:val="auto"/>
              </w:rPr>
            </w:pPr>
          </w:p>
        </w:tc>
        <w:tc>
          <w:tcPr>
            <w:tcW w:w="120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800" w:type="dxa"/>
            <w:vAlign w:val="bottom"/>
            <w:tcBorders>
              <w:top w:val="single" w:sz="8" w:color="auto"/>
              <w:right w:val="single" w:sz="8" w:color="auto"/>
            </w:tcBorders>
            <w:shd w:val="clear" w:color="auto" w:fill="2AD2C9"/>
          </w:tcPr>
          <w:p>
            <w:pPr>
              <w:spacing w:after="0"/>
              <w:rPr>
                <w:sz w:val="14"/>
                <w:szCs w:val="14"/>
                <w:color w:val="auto"/>
              </w:rPr>
            </w:pPr>
          </w:p>
        </w:tc>
        <w:tc>
          <w:tcPr>
            <w:tcW w:w="1140" w:type="dxa"/>
            <w:vAlign w:val="bottom"/>
            <w:tcBorders>
              <w:top w:val="single" w:sz="8" w:color="auto"/>
              <w:right w:val="single" w:sz="8" w:color="auto"/>
            </w:tcBorders>
            <w:shd w:val="clear" w:color="auto" w:fill="2AD2C9"/>
          </w:tcPr>
          <w:p>
            <w:pPr>
              <w:jc w:val="right"/>
              <w:ind w:right="215"/>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2AD2C9"/>
          </w:tcPr>
          <w:p>
            <w:pPr>
              <w:spacing w:after="0" w:line="146" w:lineRule="exact"/>
              <w:rPr>
                <w:sz w:val="20"/>
                <w:szCs w:val="20"/>
                <w:color w:val="auto"/>
              </w:rPr>
            </w:pPr>
            <w:r>
              <w:rPr>
                <w:rFonts w:ascii="Arial" w:cs="Arial" w:eastAsia="Arial" w:hAnsi="Arial"/>
                <w:sz w:val="13"/>
                <w:szCs w:val="13"/>
                <w:b w:val="1"/>
                <w:bCs w:val="1"/>
                <w:color w:val="FFFFFF"/>
              </w:rPr>
              <w:t>S/ 000</w:t>
            </w:r>
          </w:p>
        </w:tc>
        <w:tc>
          <w:tcPr>
            <w:tcW w:w="1080" w:type="dxa"/>
            <w:vAlign w:val="bottom"/>
            <w:tcBorders>
              <w:bottom w:val="single" w:sz="8" w:color="auto"/>
            </w:tcBorders>
            <w:shd w:val="clear" w:color="auto" w:fill="2AD2C9"/>
          </w:tcPr>
          <w:p>
            <w:pPr>
              <w:jc w:val="right"/>
              <w:ind w:right="375"/>
              <w:spacing w:after="0" w:line="146" w:lineRule="exact"/>
              <w:rPr>
                <w:sz w:val="20"/>
                <w:szCs w:val="20"/>
                <w:color w:val="auto"/>
              </w:rPr>
            </w:pPr>
            <w:r>
              <w:rPr>
                <w:rFonts w:ascii="Arial" w:cs="Arial" w:eastAsia="Arial" w:hAnsi="Arial"/>
                <w:sz w:val="13"/>
                <w:szCs w:val="13"/>
                <w:b w:val="1"/>
                <w:bCs w:val="1"/>
                <w:color w:val="FFFFFF"/>
              </w:rPr>
              <w:t>2Q21</w:t>
            </w:r>
          </w:p>
        </w:tc>
        <w:tc>
          <w:tcPr>
            <w:tcW w:w="1000" w:type="dxa"/>
            <w:vAlign w:val="bottom"/>
            <w:tcBorders>
              <w:bottom w:val="single" w:sz="8" w:color="auto"/>
            </w:tcBorders>
            <w:shd w:val="clear" w:color="auto" w:fill="2AD2C9"/>
          </w:tcPr>
          <w:p>
            <w:pPr>
              <w:jc w:val="right"/>
              <w:ind w:right="415"/>
              <w:spacing w:after="0" w:line="146" w:lineRule="exact"/>
              <w:rPr>
                <w:sz w:val="20"/>
                <w:szCs w:val="20"/>
                <w:color w:val="auto"/>
              </w:rPr>
            </w:pPr>
            <w:r>
              <w:rPr>
                <w:rFonts w:ascii="Arial" w:cs="Arial" w:eastAsia="Arial" w:hAnsi="Arial"/>
                <w:sz w:val="13"/>
                <w:szCs w:val="13"/>
                <w:b w:val="1"/>
                <w:bCs w:val="1"/>
                <w:color w:val="FFFFFF"/>
              </w:rPr>
              <w:t>1Q22</w:t>
            </w:r>
          </w:p>
        </w:tc>
        <w:tc>
          <w:tcPr>
            <w:tcW w:w="880" w:type="dxa"/>
            <w:vAlign w:val="bottom"/>
            <w:tcBorders>
              <w:bottom w:val="single" w:sz="8" w:color="auto"/>
              <w:right w:val="single" w:sz="8" w:color="auto"/>
            </w:tcBorders>
            <w:shd w:val="clear" w:color="auto" w:fill="2AD2C9"/>
          </w:tcPr>
          <w:p>
            <w:pPr>
              <w:jc w:val="right"/>
              <w:ind w:right="295"/>
              <w:spacing w:after="0" w:line="146" w:lineRule="exact"/>
              <w:rPr>
                <w:sz w:val="20"/>
                <w:szCs w:val="20"/>
                <w:color w:val="auto"/>
              </w:rPr>
            </w:pPr>
            <w:r>
              <w:rPr>
                <w:rFonts w:ascii="Arial" w:cs="Arial" w:eastAsia="Arial" w:hAnsi="Arial"/>
                <w:sz w:val="13"/>
                <w:szCs w:val="13"/>
                <w:b w:val="1"/>
                <w:bCs w:val="1"/>
                <w:color w:val="FFFFFF"/>
              </w:rPr>
              <w:t>2Q22</w:t>
            </w:r>
          </w:p>
        </w:tc>
        <w:tc>
          <w:tcPr>
            <w:tcW w:w="1280" w:type="dxa"/>
            <w:vAlign w:val="bottom"/>
            <w:tcBorders>
              <w:bottom w:val="single" w:sz="8" w:color="auto"/>
            </w:tcBorders>
            <w:shd w:val="clear" w:color="auto" w:fill="2AD2C9"/>
          </w:tcPr>
          <w:p>
            <w:pPr>
              <w:jc w:val="right"/>
              <w:ind w:right="595"/>
              <w:spacing w:after="0" w:line="146" w:lineRule="exact"/>
              <w:rPr>
                <w:sz w:val="20"/>
                <w:szCs w:val="20"/>
                <w:color w:val="auto"/>
              </w:rPr>
            </w:pPr>
            <w:r>
              <w:rPr>
                <w:rFonts w:ascii="Arial" w:cs="Arial" w:eastAsia="Arial" w:hAnsi="Arial"/>
                <w:sz w:val="13"/>
                <w:szCs w:val="13"/>
                <w:b w:val="1"/>
                <w:bCs w:val="1"/>
                <w:color w:val="FFFFFF"/>
              </w:rPr>
              <w:t>QoQ</w:t>
            </w:r>
          </w:p>
        </w:tc>
        <w:tc>
          <w:tcPr>
            <w:tcW w:w="660" w:type="dxa"/>
            <w:vAlign w:val="bottom"/>
            <w:tcBorders>
              <w:bottom w:val="single" w:sz="8" w:color="auto"/>
              <w:right w:val="single" w:sz="8" w:color="auto"/>
            </w:tcBorders>
            <w:shd w:val="clear" w:color="auto" w:fill="2AD2C9"/>
          </w:tcPr>
          <w:p>
            <w:pPr>
              <w:jc w:val="right"/>
              <w:ind w:right="315"/>
              <w:spacing w:after="0" w:line="146" w:lineRule="exact"/>
              <w:rPr>
                <w:sz w:val="20"/>
                <w:szCs w:val="20"/>
                <w:color w:val="auto"/>
              </w:rPr>
            </w:pPr>
            <w:r>
              <w:rPr>
                <w:rFonts w:ascii="Arial" w:cs="Arial" w:eastAsia="Arial" w:hAnsi="Arial"/>
                <w:sz w:val="13"/>
                <w:szCs w:val="13"/>
                <w:b w:val="1"/>
                <w:bCs w:val="1"/>
                <w:color w:val="FFFFFF"/>
              </w:rPr>
              <w:t>YoY</w:t>
            </w:r>
          </w:p>
        </w:tc>
        <w:tc>
          <w:tcPr>
            <w:tcW w:w="1200" w:type="dxa"/>
            <w:vAlign w:val="bottom"/>
            <w:tcBorders>
              <w:bottom w:val="single" w:sz="8" w:color="auto"/>
            </w:tcBorders>
            <w:shd w:val="clear" w:color="auto" w:fill="2AD2C9"/>
          </w:tcPr>
          <w:p>
            <w:pPr>
              <w:jc w:val="right"/>
              <w:ind w:right="435"/>
              <w:spacing w:after="0" w:line="146" w:lineRule="exact"/>
              <w:rPr>
                <w:sz w:val="20"/>
                <w:szCs w:val="20"/>
                <w:color w:val="auto"/>
              </w:rPr>
            </w:pPr>
            <w:r>
              <w:rPr>
                <w:rFonts w:ascii="Arial" w:cs="Arial" w:eastAsia="Arial" w:hAnsi="Arial"/>
                <w:sz w:val="13"/>
                <w:szCs w:val="13"/>
                <w:b w:val="1"/>
                <w:bCs w:val="1"/>
                <w:color w:val="FFFFFF"/>
              </w:rPr>
              <w:t>Jun 21</w:t>
            </w:r>
          </w:p>
        </w:tc>
        <w:tc>
          <w:tcPr>
            <w:tcW w:w="800" w:type="dxa"/>
            <w:vAlign w:val="bottom"/>
            <w:tcBorders>
              <w:bottom w:val="single" w:sz="8" w:color="auto"/>
              <w:right w:val="single" w:sz="8" w:color="auto"/>
            </w:tcBorders>
            <w:shd w:val="clear" w:color="auto" w:fill="2AD2C9"/>
          </w:tcPr>
          <w:p>
            <w:pPr>
              <w:jc w:val="right"/>
              <w:ind w:right="255"/>
              <w:spacing w:after="0" w:line="146" w:lineRule="exact"/>
              <w:rPr>
                <w:sz w:val="20"/>
                <w:szCs w:val="20"/>
                <w:color w:val="auto"/>
              </w:rPr>
            </w:pPr>
            <w:r>
              <w:rPr>
                <w:rFonts w:ascii="Arial" w:cs="Arial" w:eastAsia="Arial" w:hAnsi="Arial"/>
                <w:sz w:val="13"/>
                <w:szCs w:val="13"/>
                <w:b w:val="1"/>
                <w:bCs w:val="1"/>
                <w:color w:val="FFFFFF"/>
              </w:rPr>
              <w:t>Jun 22</w:t>
            </w:r>
          </w:p>
        </w:tc>
        <w:tc>
          <w:tcPr>
            <w:tcW w:w="1140" w:type="dxa"/>
            <w:vAlign w:val="bottom"/>
            <w:tcBorders>
              <w:bottom w:val="single" w:sz="8" w:color="auto"/>
              <w:right w:val="single" w:sz="8" w:color="auto"/>
            </w:tcBorders>
            <w:shd w:val="clear" w:color="auto" w:fill="2AD2C9"/>
          </w:tcPr>
          <w:p>
            <w:pPr>
              <w:jc w:val="right"/>
              <w:ind w:right="55"/>
              <w:spacing w:after="0" w:line="146" w:lineRule="exact"/>
              <w:rPr>
                <w:sz w:val="20"/>
                <w:szCs w:val="20"/>
                <w:color w:val="auto"/>
              </w:rPr>
            </w:pPr>
            <w:r>
              <w:rPr>
                <w:rFonts w:ascii="Arial" w:cs="Arial" w:eastAsia="Arial" w:hAnsi="Arial"/>
                <w:sz w:val="13"/>
                <w:szCs w:val="13"/>
                <w:b w:val="1"/>
                <w:bCs w:val="1"/>
                <w:color w:val="FFFFFF"/>
              </w:rPr>
              <w:t>Jun 22 / Jun 21</w:t>
            </w:r>
          </w:p>
        </w:tc>
      </w:tr>
      <w:tr>
        <w:trPr>
          <w:trHeight w:val="138"/>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Interest income</w:t>
            </w:r>
          </w:p>
        </w:tc>
        <w:tc>
          <w:tcPr>
            <w:tcW w:w="1080" w:type="dxa"/>
            <w:vAlign w:val="bottom"/>
          </w:tcPr>
          <w:p>
            <w:pPr>
              <w:jc w:val="right"/>
              <w:ind w:right="55"/>
              <w:spacing w:after="0" w:line="139" w:lineRule="exact"/>
              <w:rPr>
                <w:sz w:val="20"/>
                <w:szCs w:val="20"/>
                <w:color w:val="auto"/>
              </w:rPr>
            </w:pPr>
            <w:r>
              <w:rPr>
                <w:rFonts w:ascii="Arial" w:cs="Arial" w:eastAsia="Arial" w:hAnsi="Arial"/>
                <w:sz w:val="13"/>
                <w:szCs w:val="13"/>
                <w:b w:val="1"/>
                <w:bCs w:val="1"/>
                <w:color w:val="auto"/>
              </w:rPr>
              <w:t>2,891,579</w:t>
            </w:r>
          </w:p>
        </w:tc>
        <w:tc>
          <w:tcPr>
            <w:tcW w:w="1000" w:type="dxa"/>
            <w:vAlign w:val="bottom"/>
          </w:tcPr>
          <w:p>
            <w:pPr>
              <w:jc w:val="right"/>
              <w:ind w:right="75"/>
              <w:spacing w:after="0" w:line="139" w:lineRule="exact"/>
              <w:rPr>
                <w:sz w:val="20"/>
                <w:szCs w:val="20"/>
                <w:color w:val="auto"/>
              </w:rPr>
            </w:pPr>
            <w:r>
              <w:rPr>
                <w:rFonts w:ascii="Arial" w:cs="Arial" w:eastAsia="Arial" w:hAnsi="Arial"/>
                <w:sz w:val="13"/>
                <w:szCs w:val="13"/>
                <w:b w:val="1"/>
                <w:bCs w:val="1"/>
                <w:color w:val="auto"/>
              </w:rPr>
              <w:t>3,172,346</w:t>
            </w:r>
          </w:p>
        </w:tc>
        <w:tc>
          <w:tcPr>
            <w:tcW w:w="88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3,488,113</w:t>
            </w:r>
          </w:p>
        </w:tc>
        <w:tc>
          <w:tcPr>
            <w:tcW w:w="1280" w:type="dxa"/>
            <w:vAlign w:val="bottom"/>
          </w:tcPr>
          <w:p>
            <w:pPr>
              <w:jc w:val="right"/>
              <w:ind w:right="255"/>
              <w:spacing w:after="0" w:line="139" w:lineRule="exact"/>
              <w:rPr>
                <w:sz w:val="20"/>
                <w:szCs w:val="20"/>
                <w:color w:val="auto"/>
              </w:rPr>
            </w:pPr>
            <w:r>
              <w:rPr>
                <w:rFonts w:ascii="Arial" w:cs="Arial" w:eastAsia="Arial" w:hAnsi="Arial"/>
                <w:sz w:val="13"/>
                <w:szCs w:val="13"/>
                <w:b w:val="1"/>
                <w:bCs w:val="1"/>
                <w:color w:val="auto"/>
              </w:rPr>
              <w:t>10.0%</w:t>
            </w:r>
          </w:p>
        </w:tc>
        <w:tc>
          <w:tcPr>
            <w:tcW w:w="66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20.6%</w:t>
            </w:r>
          </w:p>
        </w:tc>
        <w:tc>
          <w:tcPr>
            <w:tcW w:w="1200" w:type="dxa"/>
            <w:vAlign w:val="bottom"/>
          </w:tcPr>
          <w:p>
            <w:pPr>
              <w:jc w:val="right"/>
              <w:ind w:right="155"/>
              <w:spacing w:after="0" w:line="139" w:lineRule="exact"/>
              <w:rPr>
                <w:sz w:val="20"/>
                <w:szCs w:val="20"/>
                <w:color w:val="auto"/>
              </w:rPr>
            </w:pPr>
            <w:r>
              <w:rPr>
                <w:rFonts w:ascii="Arial" w:cs="Arial" w:eastAsia="Arial" w:hAnsi="Arial"/>
                <w:sz w:val="13"/>
                <w:szCs w:val="13"/>
                <w:b w:val="1"/>
                <w:bCs w:val="1"/>
                <w:color w:val="auto"/>
              </w:rPr>
              <w:t>5,707,652</w:t>
            </w:r>
          </w:p>
        </w:tc>
        <w:tc>
          <w:tcPr>
            <w:tcW w:w="80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6,660,459</w:t>
            </w:r>
          </w:p>
        </w:tc>
        <w:tc>
          <w:tcPr>
            <w:tcW w:w="114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16.7%</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loans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2,476,187</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2,685,552</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2,929,782</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9.1%</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18.3%</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4,908,948</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5,615,334</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14.4%</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Dividends on investments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11,536</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4,320</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13,682</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216.7%</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18.6%</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14,757</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18,002</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22.0%</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deposits with banks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6,076</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35,351</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47,785</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35.2%</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686.5%</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13,972</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83,135</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495.0%</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securities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382,140</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428,456</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482,872</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12.7%</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26.4%</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745,104</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911,328</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22.3%</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Other interest income</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15,640</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18,667</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13,992</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-25.0%</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-10.5%</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24,871</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32,660</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31.3%</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Interest expense</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582,537</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b w:val="1"/>
                <w:bCs w:val="1"/>
                <w:color w:val="auto"/>
              </w:rPr>
              <w:t>638,256</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747,673</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b w:val="1"/>
                <w:bCs w:val="1"/>
                <w:color w:val="auto"/>
              </w:rPr>
              <w:t>17.1%</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28.3%</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b w:val="1"/>
                <w:bCs w:val="1"/>
                <w:color w:val="auto"/>
              </w:rPr>
              <w:t>1,275,227</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1,385,929</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8.7%</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deposits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210,275</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258,939</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336,953</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30.1%</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60.2%</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432,918</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595,892</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37.6%</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borrowed funds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101,265</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116,231</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141,530</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21.8%</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39.8%</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213,493</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257,762</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20.7%</w:t>
            </w:r>
          </w:p>
        </w:tc>
      </w:tr>
      <w:tr>
        <w:trPr>
          <w:trHeight w:val="146"/>
        </w:trPr>
        <w:tc>
          <w:tcPr>
            <w:tcW w:w="4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Interest on bonds and subordinated notes</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178,664</w:t>
            </w:r>
          </w:p>
        </w:tc>
        <w:tc>
          <w:tcPr>
            <w:tcW w:w="10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165,496</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168,366</w:t>
            </w:r>
          </w:p>
        </w:tc>
        <w:tc>
          <w:tcPr>
            <w:tcW w:w="1280" w:type="dxa"/>
            <w:vAlign w:val="bottom"/>
          </w:tcPr>
          <w:p>
            <w:pPr>
              <w:jc w:val="right"/>
              <w:ind w:right="255"/>
              <w:spacing w:after="0" w:line="146" w:lineRule="exact"/>
              <w:rPr>
                <w:sz w:val="20"/>
                <w:szCs w:val="20"/>
                <w:color w:val="auto"/>
              </w:rPr>
            </w:pPr>
            <w:r>
              <w:rPr>
                <w:rFonts w:ascii="Arial" w:cs="Arial" w:eastAsia="Arial" w:hAnsi="Arial"/>
                <w:sz w:val="13"/>
                <w:szCs w:val="13"/>
                <w:color w:val="auto"/>
              </w:rPr>
              <w:t>1.7%</w:t>
            </w:r>
          </w:p>
        </w:tc>
        <w:tc>
          <w:tcPr>
            <w:tcW w:w="66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-5.8%</w:t>
            </w:r>
          </w:p>
        </w:tc>
        <w:tc>
          <w:tcPr>
            <w:tcW w:w="1200" w:type="dxa"/>
            <w:vAlign w:val="bottom"/>
          </w:tcPr>
          <w:p>
            <w:pPr>
              <w:jc w:val="right"/>
              <w:ind w:right="155"/>
              <w:spacing w:after="0" w:line="146" w:lineRule="exact"/>
              <w:rPr>
                <w:sz w:val="20"/>
                <w:szCs w:val="20"/>
                <w:color w:val="auto"/>
              </w:rPr>
            </w:pPr>
            <w:r>
              <w:rPr>
                <w:rFonts w:ascii="Arial" w:cs="Arial" w:eastAsia="Arial" w:hAnsi="Arial"/>
                <w:sz w:val="13"/>
                <w:szCs w:val="13"/>
                <w:color w:val="auto"/>
              </w:rPr>
              <w:t>445,635</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333,861</w:t>
            </w:r>
          </w:p>
        </w:tc>
        <w:tc>
          <w:tcPr>
            <w:tcW w:w="11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-25.1%</w:t>
            </w:r>
          </w:p>
        </w:tc>
      </w:tr>
      <w:tr>
        <w:trPr>
          <w:trHeight w:val="158"/>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Other interest expense</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92,333</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97,590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100,824</w:t>
            </w: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3.3%</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9.2%</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183,181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198,414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8.3%</w:t>
            </w:r>
          </w:p>
        </w:tc>
      </w:tr>
      <w:tr>
        <w:trPr>
          <w:trHeight w:val="151"/>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Net interest income</w:t>
            </w:r>
          </w:p>
        </w:tc>
        <w:tc>
          <w:tcPr>
            <w:tcW w:w="1080" w:type="dxa"/>
            <w:vAlign w:val="bottom"/>
            <w:tcBorders>
              <w:bottom w:val="single" w:sz="8" w:color="auto"/>
            </w:tcBorders>
          </w:tcPr>
          <w:p>
            <w:pPr>
              <w:jc w:val="right"/>
              <w:ind w:right="55"/>
              <w:spacing w:after="0" w:line="146" w:lineRule="exact"/>
              <w:rPr>
                <w:sz w:val="20"/>
                <w:szCs w:val="20"/>
                <w:color w:val="auto"/>
              </w:rPr>
            </w:pPr>
            <w:r>
              <w:rPr>
                <w:rFonts w:ascii="Arial" w:cs="Arial" w:eastAsia="Arial" w:hAnsi="Arial"/>
                <w:sz w:val="13"/>
                <w:szCs w:val="13"/>
                <w:b w:val="1"/>
                <w:bCs w:val="1"/>
                <w:color w:val="auto"/>
              </w:rPr>
              <w:t>2,309,042</w:t>
            </w:r>
          </w:p>
        </w:tc>
        <w:tc>
          <w:tcPr>
            <w:tcW w:w="1000" w:type="dxa"/>
            <w:vAlign w:val="bottom"/>
            <w:tcBorders>
              <w:bottom w:val="single" w:sz="8" w:color="auto"/>
            </w:tcBorders>
          </w:tcPr>
          <w:p>
            <w:pPr>
              <w:jc w:val="right"/>
              <w:ind w:right="75"/>
              <w:spacing w:after="0" w:line="146" w:lineRule="exact"/>
              <w:rPr>
                <w:sz w:val="20"/>
                <w:szCs w:val="20"/>
                <w:color w:val="auto"/>
              </w:rPr>
            </w:pPr>
            <w:r>
              <w:rPr>
                <w:rFonts w:ascii="Arial" w:cs="Arial" w:eastAsia="Arial" w:hAnsi="Arial"/>
                <w:sz w:val="13"/>
                <w:szCs w:val="13"/>
                <w:b w:val="1"/>
                <w:bCs w:val="1"/>
                <w:color w:val="auto"/>
              </w:rPr>
              <w:t>2,534,090</w:t>
            </w:r>
          </w:p>
        </w:tc>
        <w:tc>
          <w:tcPr>
            <w:tcW w:w="88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2,740,440</w:t>
            </w:r>
          </w:p>
        </w:tc>
        <w:tc>
          <w:tcPr>
            <w:tcW w:w="1280" w:type="dxa"/>
            <w:vAlign w:val="bottom"/>
            <w:tcBorders>
              <w:bottom w:val="single" w:sz="8" w:color="auto"/>
            </w:tcBorders>
          </w:tcPr>
          <w:p>
            <w:pPr>
              <w:jc w:val="right"/>
              <w:ind w:right="255"/>
              <w:spacing w:after="0" w:line="146" w:lineRule="exact"/>
              <w:rPr>
                <w:sz w:val="20"/>
                <w:szCs w:val="20"/>
                <w:color w:val="auto"/>
              </w:rPr>
            </w:pPr>
            <w:r>
              <w:rPr>
                <w:rFonts w:ascii="Arial" w:cs="Arial" w:eastAsia="Arial" w:hAnsi="Arial"/>
                <w:sz w:val="13"/>
                <w:szCs w:val="13"/>
                <w:b w:val="1"/>
                <w:bCs w:val="1"/>
                <w:color w:val="auto"/>
              </w:rPr>
              <w:t>8.1%</w:t>
            </w:r>
          </w:p>
        </w:tc>
        <w:tc>
          <w:tcPr>
            <w:tcW w:w="66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18.7%</w:t>
            </w:r>
          </w:p>
        </w:tc>
        <w:tc>
          <w:tcPr>
            <w:tcW w:w="1200" w:type="dxa"/>
            <w:vAlign w:val="bottom"/>
            <w:tcBorders>
              <w:bottom w:val="single" w:sz="8" w:color="auto"/>
            </w:tcBorders>
          </w:tcPr>
          <w:p>
            <w:pPr>
              <w:jc w:val="right"/>
              <w:ind w:right="155"/>
              <w:spacing w:after="0" w:line="146" w:lineRule="exact"/>
              <w:rPr>
                <w:sz w:val="20"/>
                <w:szCs w:val="20"/>
                <w:color w:val="auto"/>
              </w:rPr>
            </w:pPr>
            <w:r>
              <w:rPr>
                <w:rFonts w:ascii="Arial" w:cs="Arial" w:eastAsia="Arial" w:hAnsi="Arial"/>
                <w:sz w:val="13"/>
                <w:szCs w:val="13"/>
                <w:b w:val="1"/>
                <w:bCs w:val="1"/>
                <w:color w:val="auto"/>
              </w:rPr>
              <w:t>4,432,425</w:t>
            </w:r>
          </w:p>
        </w:tc>
        <w:tc>
          <w:tcPr>
            <w:tcW w:w="80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5,274,530</w:t>
            </w:r>
          </w:p>
        </w:tc>
        <w:tc>
          <w:tcPr>
            <w:tcW w:w="114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19.0%</w:t>
            </w:r>
          </w:p>
        </w:tc>
      </w:tr>
      <w:tr>
        <w:trPr>
          <w:trHeight w:val="151"/>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0"/>
                <w:szCs w:val="10"/>
                <w:b w:val="1"/>
                <w:bCs w:val="1"/>
                <w:color w:val="auto"/>
              </w:rPr>
              <w:t xml:space="preserve">Adjusted Net interest income </w:t>
            </w:r>
            <w:r>
              <w:rPr>
                <w:rFonts w:ascii="Arial" w:cs="Arial" w:eastAsia="Arial" w:hAnsi="Arial"/>
                <w:sz w:val="16"/>
                <w:szCs w:val="16"/>
                <w:b w:val="1"/>
                <w:bCs w:val="1"/>
                <w:color w:val="auto"/>
                <w:vertAlign w:val="superscript"/>
              </w:rPr>
              <w:t>(2)</w:t>
            </w:r>
          </w:p>
        </w:tc>
        <w:tc>
          <w:tcPr>
            <w:tcW w:w="1080" w:type="dxa"/>
            <w:vAlign w:val="bottom"/>
            <w:tcBorders>
              <w:bottom w:val="single" w:sz="8" w:color="auto"/>
            </w:tcBorders>
          </w:tcPr>
          <w:p>
            <w:pPr>
              <w:jc w:val="right"/>
              <w:ind w:right="55"/>
              <w:spacing w:after="0" w:line="146" w:lineRule="exact"/>
              <w:rPr>
                <w:sz w:val="20"/>
                <w:szCs w:val="20"/>
                <w:color w:val="auto"/>
              </w:rPr>
            </w:pPr>
            <w:r>
              <w:rPr>
                <w:rFonts w:ascii="Arial" w:cs="Arial" w:eastAsia="Arial" w:hAnsi="Arial"/>
                <w:sz w:val="13"/>
                <w:szCs w:val="13"/>
                <w:b w:val="1"/>
                <w:bCs w:val="1"/>
                <w:color w:val="auto"/>
              </w:rPr>
              <w:t>2,346,170</w:t>
            </w:r>
          </w:p>
        </w:tc>
        <w:tc>
          <w:tcPr>
            <w:tcW w:w="1000" w:type="dxa"/>
            <w:vAlign w:val="bottom"/>
            <w:tcBorders>
              <w:bottom w:val="single" w:sz="8" w:color="auto"/>
            </w:tcBorders>
          </w:tcPr>
          <w:p>
            <w:pPr>
              <w:jc w:val="right"/>
              <w:ind w:right="75"/>
              <w:spacing w:after="0" w:line="146" w:lineRule="exact"/>
              <w:rPr>
                <w:sz w:val="20"/>
                <w:szCs w:val="20"/>
                <w:color w:val="auto"/>
              </w:rPr>
            </w:pPr>
            <w:r>
              <w:rPr>
                <w:rFonts w:ascii="Arial" w:cs="Arial" w:eastAsia="Arial" w:hAnsi="Arial"/>
                <w:sz w:val="13"/>
                <w:szCs w:val="13"/>
                <w:b w:val="1"/>
                <w:bCs w:val="1"/>
                <w:color w:val="auto"/>
              </w:rPr>
              <w:t>2,522,080</w:t>
            </w:r>
          </w:p>
        </w:tc>
        <w:tc>
          <w:tcPr>
            <w:tcW w:w="88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2,740,440</w:t>
            </w:r>
          </w:p>
        </w:tc>
        <w:tc>
          <w:tcPr>
            <w:tcW w:w="1280" w:type="dxa"/>
            <w:vAlign w:val="bottom"/>
            <w:tcBorders>
              <w:bottom w:val="single" w:sz="8" w:color="auto"/>
            </w:tcBorders>
          </w:tcPr>
          <w:p>
            <w:pPr>
              <w:jc w:val="right"/>
              <w:ind w:right="255"/>
              <w:spacing w:after="0" w:line="146" w:lineRule="exact"/>
              <w:rPr>
                <w:sz w:val="20"/>
                <w:szCs w:val="20"/>
                <w:color w:val="auto"/>
              </w:rPr>
            </w:pPr>
            <w:r>
              <w:rPr>
                <w:rFonts w:ascii="Arial" w:cs="Arial" w:eastAsia="Arial" w:hAnsi="Arial"/>
                <w:sz w:val="13"/>
                <w:szCs w:val="13"/>
                <w:b w:val="1"/>
                <w:bCs w:val="1"/>
                <w:color w:val="auto"/>
              </w:rPr>
              <w:t>8.7%</w:t>
            </w:r>
          </w:p>
        </w:tc>
        <w:tc>
          <w:tcPr>
            <w:tcW w:w="66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16.8%</w:t>
            </w:r>
          </w:p>
        </w:tc>
        <w:tc>
          <w:tcPr>
            <w:tcW w:w="1200" w:type="dxa"/>
            <w:vAlign w:val="bottom"/>
            <w:tcBorders>
              <w:bottom w:val="single" w:sz="8" w:color="auto"/>
            </w:tcBorders>
          </w:tcPr>
          <w:p>
            <w:pPr>
              <w:jc w:val="right"/>
              <w:ind w:right="155"/>
              <w:spacing w:after="0" w:line="146" w:lineRule="exact"/>
              <w:rPr>
                <w:sz w:val="20"/>
                <w:szCs w:val="20"/>
                <w:color w:val="auto"/>
              </w:rPr>
            </w:pPr>
            <w:r>
              <w:rPr>
                <w:rFonts w:ascii="Arial" w:cs="Arial" w:eastAsia="Arial" w:hAnsi="Arial"/>
                <w:sz w:val="13"/>
                <w:szCs w:val="13"/>
                <w:b w:val="1"/>
                <w:bCs w:val="1"/>
                <w:color w:val="auto"/>
              </w:rPr>
              <w:t>4,540,699</w:t>
            </w:r>
          </w:p>
        </w:tc>
        <w:tc>
          <w:tcPr>
            <w:tcW w:w="80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5,362,530</w:t>
            </w:r>
          </w:p>
        </w:tc>
        <w:tc>
          <w:tcPr>
            <w:tcW w:w="114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18.1%</w:t>
            </w:r>
          </w:p>
        </w:tc>
      </w:tr>
      <w:tr>
        <w:trPr>
          <w:trHeight w:val="151"/>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Risk-adjusted Net interest income</w:t>
            </w:r>
          </w:p>
        </w:tc>
        <w:tc>
          <w:tcPr>
            <w:tcW w:w="1080" w:type="dxa"/>
            <w:vAlign w:val="bottom"/>
            <w:tcBorders>
              <w:bottom w:val="single" w:sz="8" w:color="auto"/>
            </w:tcBorders>
          </w:tcPr>
          <w:p>
            <w:pPr>
              <w:jc w:val="right"/>
              <w:ind w:right="55"/>
              <w:spacing w:after="0" w:line="146" w:lineRule="exact"/>
              <w:rPr>
                <w:sz w:val="20"/>
                <w:szCs w:val="20"/>
                <w:color w:val="auto"/>
              </w:rPr>
            </w:pPr>
            <w:r>
              <w:rPr>
                <w:rFonts w:ascii="Arial" w:cs="Arial" w:eastAsia="Arial" w:hAnsi="Arial"/>
                <w:sz w:val="13"/>
                <w:szCs w:val="13"/>
                <w:b w:val="1"/>
                <w:bCs w:val="1"/>
                <w:color w:val="auto"/>
              </w:rPr>
              <w:t>1,945,662</w:t>
            </w:r>
          </w:p>
        </w:tc>
        <w:tc>
          <w:tcPr>
            <w:tcW w:w="1000" w:type="dxa"/>
            <w:vAlign w:val="bottom"/>
            <w:tcBorders>
              <w:bottom w:val="single" w:sz="8" w:color="auto"/>
            </w:tcBorders>
          </w:tcPr>
          <w:p>
            <w:pPr>
              <w:jc w:val="right"/>
              <w:ind w:right="75"/>
              <w:spacing w:after="0" w:line="146" w:lineRule="exact"/>
              <w:rPr>
                <w:sz w:val="20"/>
                <w:szCs w:val="20"/>
                <w:color w:val="auto"/>
              </w:rPr>
            </w:pPr>
            <w:r>
              <w:rPr>
                <w:rFonts w:ascii="Arial" w:cs="Arial" w:eastAsia="Arial" w:hAnsi="Arial"/>
                <w:sz w:val="13"/>
                <w:szCs w:val="13"/>
                <w:b w:val="1"/>
                <w:bCs w:val="1"/>
                <w:color w:val="auto"/>
              </w:rPr>
              <w:t>2,276,500</w:t>
            </w:r>
          </w:p>
        </w:tc>
        <w:tc>
          <w:tcPr>
            <w:tcW w:w="88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2,377,149</w:t>
            </w:r>
          </w:p>
        </w:tc>
        <w:tc>
          <w:tcPr>
            <w:tcW w:w="1280" w:type="dxa"/>
            <w:vAlign w:val="bottom"/>
            <w:tcBorders>
              <w:bottom w:val="single" w:sz="8" w:color="auto"/>
            </w:tcBorders>
          </w:tcPr>
          <w:p>
            <w:pPr>
              <w:jc w:val="right"/>
              <w:ind w:right="255"/>
              <w:spacing w:after="0" w:line="146" w:lineRule="exact"/>
              <w:rPr>
                <w:sz w:val="20"/>
                <w:szCs w:val="20"/>
                <w:color w:val="auto"/>
              </w:rPr>
            </w:pPr>
            <w:r>
              <w:rPr>
                <w:rFonts w:ascii="Arial" w:cs="Arial" w:eastAsia="Arial" w:hAnsi="Arial"/>
                <w:sz w:val="13"/>
                <w:szCs w:val="13"/>
                <w:b w:val="1"/>
                <w:bCs w:val="1"/>
                <w:color w:val="auto"/>
              </w:rPr>
              <w:t>4.4%</w:t>
            </w:r>
          </w:p>
        </w:tc>
        <w:tc>
          <w:tcPr>
            <w:tcW w:w="66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22.2%</w:t>
            </w:r>
          </w:p>
        </w:tc>
        <w:tc>
          <w:tcPr>
            <w:tcW w:w="1200" w:type="dxa"/>
            <w:vAlign w:val="bottom"/>
            <w:tcBorders>
              <w:bottom w:val="single" w:sz="8" w:color="auto"/>
            </w:tcBorders>
          </w:tcPr>
          <w:p>
            <w:pPr>
              <w:jc w:val="right"/>
              <w:ind w:right="155"/>
              <w:spacing w:after="0" w:line="146" w:lineRule="exact"/>
              <w:rPr>
                <w:sz w:val="20"/>
                <w:szCs w:val="20"/>
                <w:color w:val="auto"/>
              </w:rPr>
            </w:pPr>
            <w:r>
              <w:rPr>
                <w:rFonts w:ascii="Arial" w:cs="Arial" w:eastAsia="Arial" w:hAnsi="Arial"/>
                <w:sz w:val="13"/>
                <w:szCs w:val="13"/>
                <w:b w:val="1"/>
                <w:bCs w:val="1"/>
                <w:color w:val="auto"/>
              </w:rPr>
              <w:t>3,511,398</w:t>
            </w:r>
          </w:p>
        </w:tc>
        <w:tc>
          <w:tcPr>
            <w:tcW w:w="80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4,653,649</w:t>
            </w:r>
          </w:p>
        </w:tc>
        <w:tc>
          <w:tcPr>
            <w:tcW w:w="114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32.5%</w:t>
            </w:r>
          </w:p>
        </w:tc>
      </w:tr>
      <w:tr>
        <w:trPr>
          <w:trHeight w:val="151"/>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Average interest earning assets</w:t>
            </w:r>
          </w:p>
        </w:tc>
        <w:tc>
          <w:tcPr>
            <w:tcW w:w="1080" w:type="dxa"/>
            <w:vAlign w:val="bottom"/>
            <w:tcBorders>
              <w:bottom w:val="single" w:sz="8" w:color="auto"/>
            </w:tcBorders>
          </w:tcPr>
          <w:p>
            <w:pPr>
              <w:jc w:val="right"/>
              <w:ind w:right="55"/>
              <w:spacing w:after="0" w:line="146" w:lineRule="exact"/>
              <w:rPr>
                <w:sz w:val="20"/>
                <w:szCs w:val="20"/>
                <w:color w:val="auto"/>
              </w:rPr>
            </w:pPr>
            <w:r>
              <w:rPr>
                <w:rFonts w:ascii="Arial" w:cs="Arial" w:eastAsia="Arial" w:hAnsi="Arial"/>
                <w:sz w:val="13"/>
                <w:szCs w:val="13"/>
                <w:color w:val="auto"/>
              </w:rPr>
              <w:t>230,237,853</w:t>
            </w:r>
          </w:p>
        </w:tc>
        <w:tc>
          <w:tcPr>
            <w:tcW w:w="1000" w:type="dxa"/>
            <w:vAlign w:val="bottom"/>
            <w:tcBorders>
              <w:bottom w:val="single" w:sz="8" w:color="auto"/>
            </w:tcBorders>
          </w:tcPr>
          <w:p>
            <w:pPr>
              <w:jc w:val="right"/>
              <w:ind w:right="75"/>
              <w:spacing w:after="0" w:line="146" w:lineRule="exact"/>
              <w:rPr>
                <w:sz w:val="20"/>
                <w:szCs w:val="20"/>
                <w:color w:val="auto"/>
              </w:rPr>
            </w:pPr>
            <w:r>
              <w:rPr>
                <w:rFonts w:ascii="Arial" w:cs="Arial" w:eastAsia="Arial" w:hAnsi="Arial"/>
                <w:sz w:val="13"/>
                <w:szCs w:val="13"/>
                <w:color w:val="auto"/>
              </w:rPr>
              <w:t>228,195,289</w:t>
            </w:r>
          </w:p>
        </w:tc>
        <w:tc>
          <w:tcPr>
            <w:tcW w:w="88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223,529,737</w:t>
            </w:r>
          </w:p>
        </w:tc>
        <w:tc>
          <w:tcPr>
            <w:tcW w:w="1280" w:type="dxa"/>
            <w:vAlign w:val="bottom"/>
            <w:tcBorders>
              <w:bottom w:val="single" w:sz="8" w:color="auto"/>
            </w:tcBorders>
          </w:tcPr>
          <w:p>
            <w:pPr>
              <w:jc w:val="right"/>
              <w:ind w:right="255"/>
              <w:spacing w:after="0" w:line="146" w:lineRule="exact"/>
              <w:rPr>
                <w:sz w:val="20"/>
                <w:szCs w:val="20"/>
                <w:color w:val="auto"/>
              </w:rPr>
            </w:pPr>
            <w:r>
              <w:rPr>
                <w:rFonts w:ascii="Arial" w:cs="Arial" w:eastAsia="Arial" w:hAnsi="Arial"/>
                <w:sz w:val="13"/>
                <w:szCs w:val="13"/>
                <w:color w:val="auto"/>
              </w:rPr>
              <w:t>-2.0%</w:t>
            </w:r>
          </w:p>
        </w:tc>
        <w:tc>
          <w:tcPr>
            <w:tcW w:w="66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-2.9%</w:t>
            </w:r>
          </w:p>
        </w:tc>
        <w:tc>
          <w:tcPr>
            <w:tcW w:w="1200" w:type="dxa"/>
            <w:vAlign w:val="bottom"/>
            <w:tcBorders>
              <w:bottom w:val="single" w:sz="8" w:color="auto"/>
            </w:tcBorders>
          </w:tcPr>
          <w:p>
            <w:pPr>
              <w:jc w:val="right"/>
              <w:ind w:right="155"/>
              <w:spacing w:after="0" w:line="146" w:lineRule="exact"/>
              <w:rPr>
                <w:sz w:val="20"/>
                <w:szCs w:val="20"/>
                <w:color w:val="auto"/>
              </w:rPr>
            </w:pPr>
            <w:r>
              <w:rPr>
                <w:rFonts w:ascii="Arial" w:cs="Arial" w:eastAsia="Arial" w:hAnsi="Arial"/>
                <w:sz w:val="13"/>
                <w:szCs w:val="13"/>
                <w:color w:val="auto"/>
              </w:rPr>
              <w:t>227,052,978</w:t>
            </w:r>
          </w:p>
        </w:tc>
        <w:tc>
          <w:tcPr>
            <w:tcW w:w="80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227,021,380</w:t>
            </w:r>
          </w:p>
        </w:tc>
        <w:tc>
          <w:tcPr>
            <w:tcW w:w="1140" w:type="dxa"/>
            <w:vAlign w:val="bottom"/>
            <w:tcBorders>
              <w:bottom w:val="single" w:sz="8" w:color="auto"/>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0.0%</w:t>
            </w:r>
          </w:p>
        </w:tc>
      </w:tr>
      <w:tr>
        <w:trPr>
          <w:trHeight w:val="124"/>
        </w:trPr>
        <w:tc>
          <w:tcPr>
            <w:tcW w:w="40" w:type="dxa"/>
            <w:vAlign w:val="bottom"/>
            <w:tcBorders>
              <w:right w:val="single" w:sz="8" w:color="auto"/>
            </w:tcBorders>
          </w:tcPr>
          <w:p>
            <w:pPr>
              <w:spacing w:after="0"/>
              <w:rPr>
                <w:sz w:val="10"/>
                <w:szCs w:val="10"/>
                <w:color w:val="auto"/>
              </w:rPr>
            </w:pPr>
          </w:p>
        </w:tc>
        <w:tc>
          <w:tcPr>
            <w:tcW w:w="3180" w:type="dxa"/>
            <w:vAlign w:val="bottom"/>
            <w:tcBorders>
              <w:right w:val="single" w:sz="8" w:color="auto"/>
            </w:tcBorders>
          </w:tcPr>
          <w:p>
            <w:pPr>
              <w:spacing w:after="0" w:line="124" w:lineRule="exact"/>
              <w:rPr>
                <w:sz w:val="20"/>
                <w:szCs w:val="20"/>
                <w:color w:val="auto"/>
              </w:rPr>
            </w:pPr>
            <w:r>
              <w:rPr>
                <w:rFonts w:ascii="Arial" w:cs="Arial" w:eastAsia="Arial" w:hAnsi="Arial"/>
                <w:sz w:val="9"/>
                <w:szCs w:val="9"/>
                <w:b w:val="1"/>
                <w:bCs w:val="1"/>
                <w:color w:val="auto"/>
              </w:rPr>
              <w:t xml:space="preserve">Net interest margin </w:t>
            </w:r>
            <w:r>
              <w:rPr>
                <w:rFonts w:ascii="Arial" w:cs="Arial" w:eastAsia="Arial" w:hAnsi="Arial"/>
                <w:sz w:val="14"/>
                <w:szCs w:val="14"/>
                <w:color w:val="auto"/>
                <w:vertAlign w:val="superscript"/>
              </w:rPr>
              <w:t>(1)</w:t>
            </w:r>
          </w:p>
        </w:tc>
        <w:tc>
          <w:tcPr>
            <w:tcW w:w="1080" w:type="dxa"/>
            <w:vAlign w:val="bottom"/>
          </w:tcPr>
          <w:p>
            <w:pPr>
              <w:jc w:val="right"/>
              <w:ind w:right="55"/>
              <w:spacing w:after="0" w:line="124" w:lineRule="exact"/>
              <w:rPr>
                <w:sz w:val="20"/>
                <w:szCs w:val="20"/>
                <w:color w:val="auto"/>
              </w:rPr>
            </w:pPr>
            <w:r>
              <w:rPr>
                <w:rFonts w:ascii="Arial" w:cs="Arial" w:eastAsia="Arial" w:hAnsi="Arial"/>
                <w:sz w:val="13"/>
                <w:szCs w:val="13"/>
                <w:b w:val="1"/>
                <w:bCs w:val="1"/>
                <w:color w:val="auto"/>
              </w:rPr>
              <w:t>4.01%</w:t>
            </w:r>
          </w:p>
        </w:tc>
        <w:tc>
          <w:tcPr>
            <w:tcW w:w="1000" w:type="dxa"/>
            <w:vAlign w:val="bottom"/>
          </w:tcPr>
          <w:p>
            <w:pPr>
              <w:jc w:val="right"/>
              <w:ind w:right="75"/>
              <w:spacing w:after="0" w:line="124" w:lineRule="exact"/>
              <w:rPr>
                <w:sz w:val="20"/>
                <w:szCs w:val="20"/>
                <w:color w:val="auto"/>
              </w:rPr>
            </w:pPr>
            <w:r>
              <w:rPr>
                <w:rFonts w:ascii="Arial" w:cs="Arial" w:eastAsia="Arial" w:hAnsi="Arial"/>
                <w:sz w:val="13"/>
                <w:szCs w:val="13"/>
                <w:b w:val="1"/>
                <w:bCs w:val="1"/>
                <w:color w:val="auto"/>
              </w:rPr>
              <w:t>4.44%</w:t>
            </w:r>
          </w:p>
        </w:tc>
        <w:tc>
          <w:tcPr>
            <w:tcW w:w="8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4.90%</w:t>
            </w:r>
          </w:p>
        </w:tc>
        <w:tc>
          <w:tcPr>
            <w:tcW w:w="1280" w:type="dxa"/>
            <w:vAlign w:val="bottom"/>
          </w:tcPr>
          <w:p>
            <w:pPr>
              <w:jc w:val="right"/>
              <w:ind w:right="255"/>
              <w:spacing w:after="0" w:line="124" w:lineRule="exact"/>
              <w:rPr>
                <w:sz w:val="20"/>
                <w:szCs w:val="20"/>
                <w:color w:val="auto"/>
              </w:rPr>
            </w:pPr>
            <w:r>
              <w:rPr>
                <w:rFonts w:ascii="Arial" w:cs="Arial" w:eastAsia="Arial" w:hAnsi="Arial"/>
                <w:sz w:val="13"/>
                <w:szCs w:val="13"/>
                <w:b w:val="1"/>
                <w:bCs w:val="1"/>
                <w:color w:val="auto"/>
              </w:rPr>
              <w:t>46bps</w:t>
            </w:r>
          </w:p>
        </w:tc>
        <w:tc>
          <w:tcPr>
            <w:tcW w:w="66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89bps</w:t>
            </w:r>
          </w:p>
        </w:tc>
        <w:tc>
          <w:tcPr>
            <w:tcW w:w="1200" w:type="dxa"/>
            <w:vAlign w:val="bottom"/>
          </w:tcPr>
          <w:p>
            <w:pPr>
              <w:jc w:val="right"/>
              <w:ind w:right="155"/>
              <w:spacing w:after="0" w:line="124" w:lineRule="exact"/>
              <w:rPr>
                <w:sz w:val="20"/>
                <w:szCs w:val="20"/>
                <w:color w:val="auto"/>
              </w:rPr>
            </w:pPr>
            <w:r>
              <w:rPr>
                <w:rFonts w:ascii="Arial" w:cs="Arial" w:eastAsia="Arial" w:hAnsi="Arial"/>
                <w:sz w:val="13"/>
                <w:szCs w:val="13"/>
                <w:b w:val="1"/>
                <w:bCs w:val="1"/>
                <w:color w:val="auto"/>
              </w:rPr>
              <w:t>3.90%</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4.65%</w:t>
            </w:r>
          </w:p>
        </w:tc>
        <w:tc>
          <w:tcPr>
            <w:tcW w:w="11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75bps</w:t>
            </w:r>
          </w:p>
        </w:tc>
      </w:tr>
      <w:tr>
        <w:trPr>
          <w:trHeight w:val="161"/>
        </w:trPr>
        <w:tc>
          <w:tcPr>
            <w:tcW w:w="4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tcPr>
          <w:p>
            <w:pPr>
              <w:spacing w:after="0" w:line="161" w:lineRule="exact"/>
              <w:rPr>
                <w:sz w:val="20"/>
                <w:szCs w:val="20"/>
                <w:color w:val="auto"/>
              </w:rPr>
            </w:pPr>
            <w:r>
              <w:rPr>
                <w:rFonts w:ascii="Arial" w:cs="Arial" w:eastAsia="Arial" w:hAnsi="Arial"/>
                <w:sz w:val="11"/>
                <w:szCs w:val="11"/>
                <w:b w:val="1"/>
                <w:bCs w:val="1"/>
                <w:color w:val="auto"/>
              </w:rPr>
              <w:t xml:space="preserve">Risk-adjusted Net interest margin </w:t>
            </w:r>
            <w:r>
              <w:rPr>
                <w:rFonts w:ascii="Arial" w:cs="Arial" w:eastAsia="Arial" w:hAnsi="Arial"/>
                <w:sz w:val="18"/>
                <w:szCs w:val="18"/>
                <w:color w:val="auto"/>
                <w:vertAlign w:val="superscript"/>
              </w:rPr>
              <w:t>(1)</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3.38%</w:t>
            </w:r>
          </w:p>
        </w:tc>
        <w:tc>
          <w:tcPr>
            <w:tcW w:w="1000" w:type="dxa"/>
            <w:vAlign w:val="bottom"/>
          </w:tcPr>
          <w:p>
            <w:pPr>
              <w:jc w:val="right"/>
              <w:ind w:right="75"/>
              <w:spacing w:after="0"/>
              <w:rPr>
                <w:sz w:val="20"/>
                <w:szCs w:val="20"/>
                <w:color w:val="auto"/>
              </w:rPr>
            </w:pPr>
            <w:r>
              <w:rPr>
                <w:rFonts w:ascii="Arial" w:cs="Arial" w:eastAsia="Arial" w:hAnsi="Arial"/>
                <w:sz w:val="13"/>
                <w:szCs w:val="13"/>
                <w:b w:val="1"/>
                <w:bCs w:val="1"/>
                <w:color w:val="auto"/>
              </w:rPr>
              <w:t>3.99%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4.25%</w:t>
            </w:r>
          </w:p>
        </w:tc>
        <w:tc>
          <w:tcPr>
            <w:tcW w:w="1280" w:type="dxa"/>
            <w:vAlign w:val="bottom"/>
          </w:tcPr>
          <w:p>
            <w:pPr>
              <w:jc w:val="right"/>
              <w:ind w:right="255"/>
              <w:spacing w:after="0"/>
              <w:rPr>
                <w:sz w:val="20"/>
                <w:szCs w:val="20"/>
                <w:color w:val="auto"/>
              </w:rPr>
            </w:pPr>
            <w:r>
              <w:rPr>
                <w:rFonts w:ascii="Arial" w:cs="Arial" w:eastAsia="Arial" w:hAnsi="Arial"/>
                <w:sz w:val="13"/>
                <w:szCs w:val="13"/>
                <w:b w:val="1"/>
                <w:bCs w:val="1"/>
                <w:color w:val="auto"/>
              </w:rPr>
              <w:t>26bps</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87bps</w:t>
            </w:r>
          </w:p>
        </w:tc>
        <w:tc>
          <w:tcPr>
            <w:tcW w:w="1200" w:type="dxa"/>
            <w:vAlign w:val="bottom"/>
          </w:tcPr>
          <w:p>
            <w:pPr>
              <w:jc w:val="right"/>
              <w:ind w:right="155"/>
              <w:spacing w:after="0"/>
              <w:rPr>
                <w:sz w:val="20"/>
                <w:szCs w:val="20"/>
                <w:color w:val="auto"/>
              </w:rPr>
            </w:pPr>
            <w:r>
              <w:rPr>
                <w:rFonts w:ascii="Arial" w:cs="Arial" w:eastAsia="Arial" w:hAnsi="Arial"/>
                <w:sz w:val="13"/>
                <w:szCs w:val="13"/>
                <w:b w:val="1"/>
                <w:bCs w:val="1"/>
                <w:color w:val="auto"/>
              </w:rPr>
              <w:t>3.09%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4.10%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101bps</w:t>
            </w:r>
          </w:p>
        </w:tc>
      </w:tr>
      <w:tr>
        <w:trPr>
          <w:trHeight w:val="158"/>
        </w:trPr>
        <w:tc>
          <w:tcPr>
            <w:tcW w:w="4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Net provisions for loan losses / Net interest income</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15.74%</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10.16%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13.26%</w:t>
            </w: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3.1%</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20.78%</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11.77%</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-9.01%</w:t>
            </w:r>
          </w:p>
        </w:tc>
      </w:tr>
      <w:tr>
        <w:trPr>
          <w:trHeight w:val="147"/>
        </w:trPr>
        <w:tc>
          <w:tcPr>
            <w:tcW w:w="4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1"/>
                <w:szCs w:val="11"/>
                <w:color w:val="auto"/>
              </w:rPr>
              <w:t>13) Annualized.</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Net Interest Margin (NIM) and Risk Adjusted NIM by subsidiary</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700" w:type="dxa"/>
            <w:vAlign w:val="bottom"/>
            <w:tcBorders>
              <w:top w:val="single" w:sz="8" w:color="auto"/>
              <w:left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NIM Breakdown</w:t>
            </w:r>
          </w:p>
        </w:tc>
        <w:tc>
          <w:tcPr>
            <w:tcW w:w="10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BCP Stand-</w:t>
            </w:r>
          </w:p>
        </w:tc>
        <w:tc>
          <w:tcPr>
            <w:tcW w:w="90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Mibanco</w:t>
            </w:r>
          </w:p>
        </w:tc>
        <w:tc>
          <w:tcPr>
            <w:tcW w:w="106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BCP Bolivia</w:t>
            </w:r>
          </w:p>
        </w:tc>
        <w:tc>
          <w:tcPr>
            <w:tcW w:w="104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Credicorp</w:t>
            </w:r>
          </w:p>
        </w:tc>
        <w:tc>
          <w:tcPr>
            <w:tcW w:w="0" w:type="dxa"/>
            <w:vAlign w:val="bottom"/>
          </w:tcPr>
          <w:p>
            <w:pPr>
              <w:spacing w:after="0"/>
              <w:rPr>
                <w:sz w:val="1"/>
                <w:szCs w:val="1"/>
                <w:color w:val="auto"/>
              </w:rPr>
            </w:pPr>
          </w:p>
        </w:tc>
      </w:tr>
      <w:tr>
        <w:trPr>
          <w:trHeight w:val="158"/>
        </w:trPr>
        <w:tc>
          <w:tcPr>
            <w:tcW w:w="2700" w:type="dxa"/>
            <w:vAlign w:val="bottom"/>
            <w:tcBorders>
              <w:left w:val="single" w:sz="8" w:color="auto"/>
              <w:bottom w:val="single" w:sz="8" w:color="2AD2C9"/>
              <w:right w:val="single" w:sz="8" w:color="auto"/>
            </w:tcBorders>
            <w:vMerge w:val="continue"/>
            <w:shd w:val="clear" w:color="auto" w:fill="2AD2C9"/>
          </w:tcPr>
          <w:p>
            <w:pPr>
              <w:spacing w:after="0"/>
              <w:rPr>
                <w:sz w:val="13"/>
                <w:szCs w:val="13"/>
                <w:color w:val="auto"/>
              </w:rPr>
            </w:pPr>
          </w:p>
        </w:tc>
        <w:tc>
          <w:tcPr>
            <w:tcW w:w="104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alone</w:t>
            </w:r>
          </w:p>
        </w:tc>
        <w:tc>
          <w:tcPr>
            <w:tcW w:w="900" w:type="dxa"/>
            <w:vAlign w:val="bottom"/>
            <w:tcBorders>
              <w:bottom w:val="single" w:sz="8" w:color="2AD2C9"/>
            </w:tcBorders>
            <w:vMerge w:val="continue"/>
            <w:shd w:val="clear" w:color="auto" w:fill="2AD2C9"/>
          </w:tcPr>
          <w:p>
            <w:pPr>
              <w:spacing w:after="0"/>
              <w:rPr>
                <w:sz w:val="13"/>
                <w:szCs w:val="13"/>
                <w:color w:val="auto"/>
              </w:rPr>
            </w:pPr>
          </w:p>
        </w:tc>
        <w:tc>
          <w:tcPr>
            <w:tcW w:w="1060" w:type="dxa"/>
            <w:vAlign w:val="bottom"/>
            <w:tcBorders>
              <w:bottom w:val="single" w:sz="8" w:color="2AD2C9"/>
              <w:right w:val="single" w:sz="8" w:color="auto"/>
            </w:tcBorders>
            <w:vMerge w:val="continue"/>
            <w:shd w:val="clear" w:color="auto" w:fill="2AD2C9"/>
          </w:tcPr>
          <w:p>
            <w:pPr>
              <w:spacing w:after="0"/>
              <w:rPr>
                <w:sz w:val="13"/>
                <w:szCs w:val="13"/>
                <w:color w:val="auto"/>
              </w:rPr>
            </w:pPr>
          </w:p>
        </w:tc>
        <w:tc>
          <w:tcPr>
            <w:tcW w:w="1040" w:type="dxa"/>
            <w:vAlign w:val="bottom"/>
            <w:tcBorders>
              <w:bottom w:val="single" w:sz="8" w:color="2AD2C9"/>
              <w:right w:val="single" w:sz="8" w:color="auto"/>
            </w:tcBorders>
            <w:vMerge w:val="continue"/>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00" w:type="dxa"/>
            <w:vAlign w:val="bottom"/>
            <w:tcBorders>
              <w:top w:val="single" w:sz="8" w:color="auto"/>
              <w:left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2Q21</w:t>
            </w: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3.43%</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5"/>
              </w:rPr>
              <w:t>11.88%</w:t>
            </w:r>
          </w:p>
        </w:tc>
        <w:tc>
          <w:tcPr>
            <w:tcW w:w="10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2.83%</w:t>
            </w:r>
          </w:p>
        </w:tc>
        <w:tc>
          <w:tcPr>
            <w:tcW w:w="10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4.01%</w:t>
            </w:r>
          </w:p>
        </w:tc>
        <w:tc>
          <w:tcPr>
            <w:tcW w:w="0" w:type="dxa"/>
            <w:vAlign w:val="bottom"/>
          </w:tcPr>
          <w:p>
            <w:pPr>
              <w:spacing w:after="0"/>
              <w:rPr>
                <w:sz w:val="1"/>
                <w:szCs w:val="1"/>
                <w:color w:val="auto"/>
              </w:rPr>
            </w:pPr>
          </w:p>
        </w:tc>
      </w:tr>
      <w:tr>
        <w:trPr>
          <w:trHeight w:val="146"/>
        </w:trPr>
        <w:tc>
          <w:tcPr>
            <w:tcW w:w="270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1Q22</w:t>
            </w:r>
          </w:p>
        </w:tc>
        <w:tc>
          <w:tcPr>
            <w:tcW w:w="1040" w:type="dxa"/>
            <w:vAlign w:val="bottom"/>
          </w:tcPr>
          <w:p>
            <w:pPr>
              <w:jc w:val="center"/>
              <w:spacing w:after="0" w:line="146" w:lineRule="exact"/>
              <w:rPr>
                <w:sz w:val="20"/>
                <w:szCs w:val="20"/>
                <w:color w:val="auto"/>
              </w:rPr>
            </w:pPr>
            <w:r>
              <w:rPr>
                <w:rFonts w:ascii="Arial" w:cs="Arial" w:eastAsia="Arial" w:hAnsi="Arial"/>
                <w:sz w:val="13"/>
                <w:szCs w:val="13"/>
                <w:color w:val="auto"/>
                <w:w w:val="97"/>
              </w:rPr>
              <w:t>3.85%</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9"/>
              </w:rPr>
              <w:t>12.71%</w:t>
            </w:r>
          </w:p>
        </w:tc>
        <w:tc>
          <w:tcPr>
            <w:tcW w:w="10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2.76%</w:t>
            </w: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4.44%</w:t>
            </w:r>
          </w:p>
        </w:tc>
        <w:tc>
          <w:tcPr>
            <w:tcW w:w="0" w:type="dxa"/>
            <w:vAlign w:val="bottom"/>
          </w:tcPr>
          <w:p>
            <w:pPr>
              <w:spacing w:after="0"/>
              <w:rPr>
                <w:sz w:val="1"/>
                <w:szCs w:val="1"/>
                <w:color w:val="auto"/>
              </w:rPr>
            </w:pPr>
          </w:p>
        </w:tc>
      </w:tr>
      <w:tr>
        <w:trPr>
          <w:trHeight w:val="158"/>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2Q22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4.29%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12.95%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2.88%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4.90%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NIM: Annualized Net interest income / Average period end and period beginning interest earning assets.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840" w:type="dxa"/>
            <w:vAlign w:val="bottom"/>
            <w:tcBorders>
              <w:top w:val="single" w:sz="8" w:color="auto"/>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3"/>
                <w:szCs w:val="13"/>
                <w:b w:val="1"/>
                <w:bCs w:val="1"/>
                <w:color w:val="FFFFFF"/>
              </w:rPr>
              <w:t>Risk Adjusted NIM Breakdown</w:t>
            </w:r>
          </w:p>
        </w:tc>
        <w:tc>
          <w:tcPr>
            <w:tcW w:w="10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BCP Stand-</w:t>
            </w:r>
          </w:p>
        </w:tc>
        <w:tc>
          <w:tcPr>
            <w:tcW w:w="900" w:type="dxa"/>
            <w:vAlign w:val="bottom"/>
            <w:tcBorders>
              <w:top w:val="single" w:sz="8" w:color="auto"/>
            </w:tcBorders>
            <w:vMerge w:val="restart"/>
            <w:shd w:val="clear" w:color="auto" w:fill="2AD2C9"/>
          </w:tcPr>
          <w:p>
            <w:pPr>
              <w:ind w:left="180"/>
              <w:spacing w:after="0"/>
              <w:rPr>
                <w:sz w:val="20"/>
                <w:szCs w:val="20"/>
                <w:color w:val="auto"/>
              </w:rPr>
            </w:pPr>
            <w:r>
              <w:rPr>
                <w:rFonts w:ascii="Arial" w:cs="Arial" w:eastAsia="Arial" w:hAnsi="Arial"/>
                <w:sz w:val="13"/>
                <w:szCs w:val="13"/>
                <w:b w:val="1"/>
                <w:bCs w:val="1"/>
                <w:color w:val="FFFFFF"/>
              </w:rPr>
              <w:t>Mibanco</w:t>
            </w:r>
          </w:p>
        </w:tc>
        <w:tc>
          <w:tcPr>
            <w:tcW w:w="10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BCP Bolivia</w:t>
            </w:r>
          </w:p>
        </w:tc>
        <w:tc>
          <w:tcPr>
            <w:tcW w:w="100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rPr>
              <w:t>Credicorp</w:t>
            </w:r>
          </w:p>
        </w:tc>
        <w:tc>
          <w:tcPr>
            <w:tcW w:w="0" w:type="dxa"/>
            <w:vAlign w:val="bottom"/>
          </w:tcPr>
          <w:p>
            <w:pPr>
              <w:spacing w:after="0"/>
              <w:rPr>
                <w:sz w:val="1"/>
                <w:szCs w:val="1"/>
                <w:color w:val="auto"/>
              </w:rPr>
            </w:pPr>
          </w:p>
        </w:tc>
      </w:tr>
      <w:tr>
        <w:trPr>
          <w:trHeight w:val="158"/>
        </w:trPr>
        <w:tc>
          <w:tcPr>
            <w:tcW w:w="3840" w:type="dxa"/>
            <w:vAlign w:val="bottom"/>
            <w:tcBorders>
              <w:left w:val="single" w:sz="8" w:color="auto"/>
              <w:bottom w:val="single" w:sz="8" w:color="2AD2C9"/>
              <w:right w:val="single" w:sz="8" w:color="auto"/>
            </w:tcBorders>
            <w:vMerge w:val="continue"/>
            <w:shd w:val="clear" w:color="auto" w:fill="2AD2C9"/>
          </w:tcPr>
          <w:p>
            <w:pPr>
              <w:spacing w:after="0"/>
              <w:rPr>
                <w:sz w:val="13"/>
                <w:szCs w:val="13"/>
                <w:color w:val="auto"/>
              </w:rPr>
            </w:pPr>
          </w:p>
        </w:tc>
        <w:tc>
          <w:tcPr>
            <w:tcW w:w="104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alone</w:t>
            </w:r>
          </w:p>
        </w:tc>
        <w:tc>
          <w:tcPr>
            <w:tcW w:w="900" w:type="dxa"/>
            <w:vAlign w:val="bottom"/>
            <w:tcBorders>
              <w:bottom w:val="single" w:sz="8" w:color="2AD2C9"/>
            </w:tcBorders>
            <w:vMerge w:val="continue"/>
            <w:shd w:val="clear" w:color="auto" w:fill="2AD2C9"/>
          </w:tcPr>
          <w:p>
            <w:pPr>
              <w:spacing w:after="0"/>
              <w:rPr>
                <w:sz w:val="13"/>
                <w:szCs w:val="13"/>
                <w:color w:val="auto"/>
              </w:rPr>
            </w:pPr>
          </w:p>
        </w:tc>
        <w:tc>
          <w:tcPr>
            <w:tcW w:w="1080" w:type="dxa"/>
            <w:vAlign w:val="bottom"/>
            <w:tcBorders>
              <w:bottom w:val="single" w:sz="8" w:color="2AD2C9"/>
              <w:right w:val="single" w:sz="8" w:color="auto"/>
            </w:tcBorders>
            <w:vMerge w:val="continue"/>
            <w:shd w:val="clear" w:color="auto" w:fill="2AD2C9"/>
          </w:tcPr>
          <w:p>
            <w:pPr>
              <w:spacing w:after="0"/>
              <w:rPr>
                <w:sz w:val="13"/>
                <w:szCs w:val="13"/>
                <w:color w:val="auto"/>
              </w:rPr>
            </w:pPr>
          </w:p>
        </w:tc>
        <w:tc>
          <w:tcPr>
            <w:tcW w:w="1000" w:type="dxa"/>
            <w:vAlign w:val="bottom"/>
            <w:tcBorders>
              <w:bottom w:val="single" w:sz="8" w:color="2AD2C9"/>
              <w:right w:val="single" w:sz="8" w:color="auto"/>
            </w:tcBorders>
            <w:vMerge w:val="continue"/>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Borders>
              <w:top w:val="single" w:sz="8" w:color="auto"/>
              <w:left w:val="single" w:sz="8" w:color="auto"/>
              <w:right w:val="single" w:sz="8" w:color="auto"/>
            </w:tcBorders>
          </w:tcPr>
          <w:p>
            <w:pPr>
              <w:ind w:left="1780"/>
              <w:spacing w:after="0" w:line="139" w:lineRule="exact"/>
              <w:rPr>
                <w:sz w:val="20"/>
                <w:szCs w:val="20"/>
                <w:color w:val="auto"/>
              </w:rPr>
            </w:pPr>
            <w:r>
              <w:rPr>
                <w:rFonts w:ascii="Arial" w:cs="Arial" w:eastAsia="Arial" w:hAnsi="Arial"/>
                <w:sz w:val="13"/>
                <w:szCs w:val="13"/>
                <w:b w:val="1"/>
                <w:bCs w:val="1"/>
                <w:color w:val="auto"/>
              </w:rPr>
              <w:t>2Q21</w:t>
            </w: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2.81%</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rPr>
              <w:t>8.66%</w:t>
            </w:r>
          </w:p>
        </w:tc>
        <w:tc>
          <w:tcPr>
            <w:tcW w:w="10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color w:val="auto"/>
              </w:rPr>
              <w:t>4.57%</w:t>
            </w:r>
          </w:p>
        </w:tc>
        <w:tc>
          <w:tcPr>
            <w:tcW w:w="10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3.38%</w:t>
            </w: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1780"/>
              <w:spacing w:after="0" w:line="146" w:lineRule="exact"/>
              <w:rPr>
                <w:sz w:val="20"/>
                <w:szCs w:val="20"/>
                <w:color w:val="auto"/>
              </w:rPr>
            </w:pPr>
            <w:r>
              <w:rPr>
                <w:rFonts w:ascii="Arial" w:cs="Arial" w:eastAsia="Arial" w:hAnsi="Arial"/>
                <w:sz w:val="13"/>
                <w:szCs w:val="13"/>
                <w:b w:val="1"/>
                <w:bCs w:val="1"/>
                <w:color w:val="auto"/>
              </w:rPr>
              <w:t>1Q22</w:t>
            </w:r>
          </w:p>
        </w:tc>
        <w:tc>
          <w:tcPr>
            <w:tcW w:w="1040" w:type="dxa"/>
            <w:vAlign w:val="bottom"/>
          </w:tcPr>
          <w:p>
            <w:pPr>
              <w:jc w:val="center"/>
              <w:spacing w:after="0" w:line="146" w:lineRule="exact"/>
              <w:rPr>
                <w:sz w:val="20"/>
                <w:szCs w:val="20"/>
                <w:color w:val="auto"/>
              </w:rPr>
            </w:pPr>
            <w:r>
              <w:rPr>
                <w:rFonts w:ascii="Arial" w:cs="Arial" w:eastAsia="Arial" w:hAnsi="Arial"/>
                <w:sz w:val="13"/>
                <w:szCs w:val="13"/>
                <w:color w:val="auto"/>
                <w:w w:val="97"/>
              </w:rPr>
              <w:t>3.52%</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9"/>
              </w:rPr>
              <w:t>10.10%</w:t>
            </w:r>
          </w:p>
        </w:tc>
        <w:tc>
          <w:tcPr>
            <w:tcW w:w="10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2.86%</w:t>
            </w:r>
          </w:p>
        </w:tc>
        <w:tc>
          <w:tcPr>
            <w:tcW w:w="10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rPr>
              <w:t>3.99%</w:t>
            </w:r>
          </w:p>
        </w:tc>
        <w:tc>
          <w:tcPr>
            <w:tcW w:w="0" w:type="dxa"/>
            <w:vAlign w:val="bottom"/>
          </w:tcPr>
          <w:p>
            <w:pPr>
              <w:spacing w:after="0"/>
              <w:rPr>
                <w:sz w:val="1"/>
                <w:szCs w:val="1"/>
                <w:color w:val="auto"/>
              </w:rPr>
            </w:pPr>
          </w:p>
        </w:tc>
      </w:tr>
      <w:tr>
        <w:trPr>
          <w:trHeight w:val="158"/>
        </w:trPr>
        <w:tc>
          <w:tcPr>
            <w:tcW w:w="3840" w:type="dxa"/>
            <w:vAlign w:val="bottom"/>
            <w:tcBorders>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3"/>
                <w:szCs w:val="13"/>
                <w:b w:val="1"/>
                <w:bCs w:val="1"/>
                <w:color w:val="auto"/>
              </w:rPr>
              <w:t>2Q22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3.79%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10.41%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Risk-Adjusted NIM: (Annualized Net interest income - annualized provisions) / Average period end and period beginning interest earning assets.</w:t>
      </w:r>
    </w:p>
    <w:p>
      <w:pPr>
        <w:spacing w:after="0" w:line="349"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51" w:name="page52"/>
    <w:bookmarkEnd w:id="5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12.4. Regulatory Capital</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Adequary Ratios</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240" w:type="dxa"/>
            <w:vAlign w:val="bottom"/>
            <w:tcBorders>
              <w:right w:val="single" w:sz="8" w:color="auto"/>
            </w:tcBorders>
          </w:tcPr>
          <w:p>
            <w:pPr>
              <w:spacing w:after="0"/>
              <w:rPr>
                <w:sz w:val="16"/>
                <w:szCs w:val="16"/>
                <w:color w:val="auto"/>
              </w:rPr>
            </w:pPr>
          </w:p>
        </w:tc>
        <w:tc>
          <w:tcPr>
            <w:tcW w:w="1080" w:type="dxa"/>
            <w:vAlign w:val="bottom"/>
            <w:tcBorders>
              <w:top w:val="single" w:sz="8" w:color="auto"/>
            </w:tcBorders>
            <w:shd w:val="clear" w:color="auto" w:fill="2AD2C9"/>
          </w:tcPr>
          <w:p>
            <w:pPr>
              <w:spacing w:after="0"/>
              <w:rPr>
                <w:sz w:val="16"/>
                <w:szCs w:val="16"/>
                <w:color w:val="auto"/>
              </w:rPr>
            </w:pPr>
          </w:p>
        </w:tc>
        <w:tc>
          <w:tcPr>
            <w:tcW w:w="1000" w:type="dxa"/>
            <w:vAlign w:val="bottom"/>
            <w:tcBorders>
              <w:top w:val="single" w:sz="8" w:color="auto"/>
            </w:tcBorders>
            <w:shd w:val="clear" w:color="auto" w:fill="2AD2C9"/>
          </w:tcPr>
          <w:p>
            <w:pPr>
              <w:jc w:val="right"/>
              <w:ind w:right="319"/>
              <w:spacing w:after="0"/>
              <w:rPr>
                <w:sz w:val="20"/>
                <w:szCs w:val="20"/>
                <w:color w:val="auto"/>
              </w:rPr>
            </w:pPr>
            <w:r>
              <w:rPr>
                <w:rFonts w:ascii="Arial" w:cs="Arial" w:eastAsia="Arial" w:hAnsi="Arial"/>
                <w:sz w:val="16"/>
                <w:szCs w:val="16"/>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16"/>
                <w:szCs w:val="16"/>
                <w:color w:val="auto"/>
              </w:rPr>
            </w:pPr>
          </w:p>
        </w:tc>
        <w:tc>
          <w:tcPr>
            <w:tcW w:w="2040" w:type="dxa"/>
            <w:vAlign w:val="bottom"/>
            <w:tcBorders>
              <w:top w:val="single" w:sz="8" w:color="auto"/>
              <w:right w:val="single" w:sz="8" w:color="auto"/>
            </w:tcBorders>
            <w:gridSpan w:val="2"/>
            <w:shd w:val="clear" w:color="auto" w:fill="2AD2C9"/>
          </w:tcPr>
          <w:p>
            <w:pPr>
              <w:jc w:val="right"/>
              <w:ind w:right="559"/>
              <w:spacing w:after="0"/>
              <w:rPr>
                <w:sz w:val="20"/>
                <w:szCs w:val="20"/>
                <w:color w:val="auto"/>
              </w:rPr>
            </w:pPr>
            <w:r>
              <w:rPr>
                <w:rFonts w:ascii="Arial" w:cs="Arial" w:eastAsia="Arial" w:hAnsi="Arial"/>
                <w:sz w:val="16"/>
                <w:szCs w:val="16"/>
                <w:b w:val="1"/>
                <w:bCs w:val="1"/>
                <w:color w:val="FFFFFF"/>
              </w:rPr>
              <w:t>% Change</w:t>
            </w:r>
          </w:p>
        </w:tc>
      </w:tr>
      <w:tr>
        <w:trPr>
          <w:trHeight w:val="204"/>
        </w:trPr>
        <w:tc>
          <w:tcPr>
            <w:tcW w:w="62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Jun 21</w:t>
            </w:r>
          </w:p>
        </w:tc>
        <w:tc>
          <w:tcPr>
            <w:tcW w:w="1000" w:type="dxa"/>
            <w:vAlign w:val="bottom"/>
            <w:tcBorders>
              <w:bottom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Mar 22</w:t>
            </w:r>
          </w:p>
        </w:tc>
        <w:tc>
          <w:tcPr>
            <w:tcW w:w="920" w:type="dxa"/>
            <w:vAlign w:val="bottom"/>
            <w:tcBorders>
              <w:bottom w:val="single" w:sz="8" w:color="auto"/>
              <w:right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rPr>
              <w:t>Jun 22</w:t>
            </w:r>
          </w:p>
        </w:tc>
        <w:tc>
          <w:tcPr>
            <w:tcW w:w="118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166"/>
        </w:trPr>
        <w:tc>
          <w:tcPr>
            <w:tcW w:w="624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Capital Stock</w:t>
            </w:r>
          </w:p>
        </w:tc>
        <w:tc>
          <w:tcPr>
            <w:tcW w:w="1080" w:type="dxa"/>
            <w:vAlign w:val="bottom"/>
          </w:tcPr>
          <w:p>
            <w:pPr>
              <w:jc w:val="right"/>
              <w:ind w:right="19"/>
              <w:spacing w:after="0" w:line="166" w:lineRule="exact"/>
              <w:rPr>
                <w:sz w:val="20"/>
                <w:szCs w:val="20"/>
                <w:color w:val="auto"/>
              </w:rPr>
            </w:pPr>
            <w:r>
              <w:rPr>
                <w:rFonts w:ascii="Arial" w:cs="Arial" w:eastAsia="Arial" w:hAnsi="Arial"/>
                <w:sz w:val="16"/>
                <w:szCs w:val="16"/>
                <w:color w:val="auto"/>
              </w:rPr>
              <w:t>1,318,993</w:t>
            </w:r>
          </w:p>
        </w:tc>
        <w:tc>
          <w:tcPr>
            <w:tcW w:w="1000" w:type="dxa"/>
            <w:vAlign w:val="bottom"/>
          </w:tcPr>
          <w:p>
            <w:pPr>
              <w:jc w:val="right"/>
              <w:ind w:right="19"/>
              <w:spacing w:after="0" w:line="166" w:lineRule="exact"/>
              <w:rPr>
                <w:sz w:val="20"/>
                <w:szCs w:val="20"/>
                <w:color w:val="auto"/>
              </w:rPr>
            </w:pPr>
            <w:r>
              <w:rPr>
                <w:rFonts w:ascii="Arial" w:cs="Arial" w:eastAsia="Arial" w:hAnsi="Arial"/>
                <w:sz w:val="16"/>
                <w:szCs w:val="16"/>
                <w:color w:val="auto"/>
              </w:rPr>
              <w:t>1,318,993</w:t>
            </w:r>
          </w:p>
        </w:tc>
        <w:tc>
          <w:tcPr>
            <w:tcW w:w="9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1,318,993</w:t>
            </w:r>
          </w:p>
        </w:tc>
        <w:tc>
          <w:tcPr>
            <w:tcW w:w="1180" w:type="dxa"/>
            <w:vAlign w:val="bottom"/>
          </w:tcPr>
          <w:p>
            <w:pPr>
              <w:jc w:val="right"/>
              <w:ind w:right="99"/>
              <w:spacing w:after="0" w:line="166" w:lineRule="exact"/>
              <w:rPr>
                <w:sz w:val="20"/>
                <w:szCs w:val="20"/>
                <w:color w:val="auto"/>
              </w:rPr>
            </w:pPr>
            <w:r>
              <w:rPr>
                <w:rFonts w:ascii="Arial" w:cs="Arial" w:eastAsia="Arial" w:hAnsi="Arial"/>
                <w:sz w:val="16"/>
                <w:szCs w:val="16"/>
                <w:color w:val="auto"/>
              </w:rPr>
              <w:t>0.0%</w:t>
            </w:r>
          </w:p>
        </w:tc>
        <w:tc>
          <w:tcPr>
            <w:tcW w:w="86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0.0%</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Treasury Stocks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(207,756)</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(207,700)</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(207,518)</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-0.1%</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r>
      <w:tr>
        <w:trPr>
          <w:trHeight w:val="175"/>
        </w:trPr>
        <w:tc>
          <w:tcPr>
            <w:tcW w:w="62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Capital Surplus</w:t>
            </w:r>
          </w:p>
        </w:tc>
        <w:tc>
          <w:tcPr>
            <w:tcW w:w="108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224,103</w:t>
            </w:r>
          </w:p>
        </w:tc>
        <w:tc>
          <w:tcPr>
            <w:tcW w:w="10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227,361</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231,179</w:t>
            </w:r>
          </w:p>
        </w:tc>
        <w:tc>
          <w:tcPr>
            <w:tcW w:w="1180" w:type="dxa"/>
            <w:vAlign w:val="bottom"/>
          </w:tcPr>
          <w:p>
            <w:pPr>
              <w:jc w:val="right"/>
              <w:ind w:right="99"/>
              <w:spacing w:after="0" w:line="175" w:lineRule="exact"/>
              <w:rPr>
                <w:sz w:val="20"/>
                <w:szCs w:val="20"/>
                <w:color w:val="auto"/>
              </w:rPr>
            </w:pPr>
            <w:r>
              <w:rPr>
                <w:rFonts w:ascii="Arial" w:cs="Arial" w:eastAsia="Arial" w:hAnsi="Arial"/>
                <w:sz w:val="16"/>
                <w:szCs w:val="16"/>
                <w:color w:val="auto"/>
              </w:rPr>
              <w:t>1.7%</w:t>
            </w:r>
          </w:p>
        </w:tc>
        <w:tc>
          <w:tcPr>
            <w:tcW w:w="8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3.2%</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Legal and Other capital reserves </w:t>
            </w:r>
            <w:r>
              <w:rPr>
                <w:rFonts w:ascii="Arial" w:cs="Arial" w:eastAsia="Arial" w:hAnsi="Arial"/>
                <w:sz w:val="21"/>
                <w:szCs w:val="21"/>
                <w:color w:val="auto"/>
                <w:vertAlign w:val="superscript"/>
              </w:rPr>
              <w:t>(1)</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21,725,663</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21,292,614</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23,666,823</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11.2%</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Minority interest </w:t>
            </w:r>
            <w:r>
              <w:rPr>
                <w:rFonts w:ascii="Arial" w:cs="Arial" w:eastAsia="Arial" w:hAnsi="Arial"/>
                <w:sz w:val="21"/>
                <w:szCs w:val="21"/>
                <w:color w:val="auto"/>
                <w:vertAlign w:val="superscript"/>
              </w:rPr>
              <w:t>(2)</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429,448</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493,113</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490,576</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-0.5%</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14.2%</w:t>
            </w:r>
          </w:p>
        </w:tc>
      </w:tr>
      <w:tr>
        <w:trPr>
          <w:trHeight w:val="191"/>
        </w:trPr>
        <w:tc>
          <w:tcPr>
            <w:tcW w:w="624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2"/>
                <w:szCs w:val="22"/>
                <w:color w:val="auto"/>
                <w:vertAlign w:val="superscript"/>
              </w:rPr>
              <w:t>(3)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1,913,045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1,971,343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2,074,630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Perpetual subordinated debt</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Subordinated Debt</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5,979,619</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5,695,192</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5,863,208</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3.0%</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Investments in equity and subordinated debt of financial and insurance companies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(717,711)</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(727,620)</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(829,315)</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14.0%</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Goodwill</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(813,492)</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(809,980)</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(802,622)</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-0.9%</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r>
      <w:tr>
        <w:trPr>
          <w:trHeight w:val="175"/>
        </w:trPr>
        <w:tc>
          <w:tcPr>
            <w:tcW w:w="62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Current year Net Loss</w:t>
            </w:r>
          </w:p>
        </w:tc>
        <w:tc>
          <w:tcPr>
            <w:tcW w:w="108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Deduction for subordinated debt limit (50% of Tier I excluding deductions) </w:t>
            </w:r>
            <w:r>
              <w:rPr>
                <w:rFonts w:ascii="Arial" w:cs="Arial" w:eastAsia="Arial" w:hAnsi="Arial"/>
                <w:sz w:val="21"/>
                <w:szCs w:val="21"/>
                <w:color w:val="auto"/>
                <w:vertAlign w:val="superscript"/>
              </w:rPr>
              <w:t>(4)</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212"/>
        </w:trPr>
        <w:tc>
          <w:tcPr>
            <w:tcW w:w="6240" w:type="dxa"/>
            <w:vAlign w:val="bottom"/>
            <w:tcBorders>
              <w:left w:val="single" w:sz="8" w:color="auto"/>
              <w:bottom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Deduction for Tier I Limit (50% of Regulatory capital) </w:t>
            </w:r>
            <w:r>
              <w:rPr>
                <w:rFonts w:ascii="Arial" w:cs="Arial" w:eastAsia="Arial" w:hAnsi="Arial"/>
                <w:sz w:val="24"/>
                <w:szCs w:val="24"/>
                <w:color w:val="auto"/>
                <w:vertAlign w:val="superscript"/>
              </w:rPr>
              <w:t>(4)</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62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Regulatory Capital (A)</w:t>
            </w: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29,851,912</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29,253,316</w:t>
            </w:r>
          </w:p>
        </w:tc>
        <w:tc>
          <w:tcPr>
            <w:tcW w:w="9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31,805,954</w:t>
            </w:r>
          </w:p>
        </w:tc>
        <w:tc>
          <w:tcPr>
            <w:tcW w:w="11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8.7%</w:t>
            </w:r>
          </w:p>
        </w:tc>
        <w:tc>
          <w:tcPr>
            <w:tcW w:w="8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6.5%</w:t>
            </w:r>
          </w:p>
        </w:tc>
      </w:tr>
      <w:tr>
        <w:trPr>
          <w:trHeight w:val="175"/>
        </w:trPr>
        <w:tc>
          <w:tcPr>
            <w:tcW w:w="6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8"/>
        </w:trPr>
        <w:tc>
          <w:tcPr>
            <w:tcW w:w="624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2"/>
                <w:szCs w:val="12"/>
                <w:color w:val="auto"/>
              </w:rPr>
              <w:t xml:space="preserve">Tier 1 </w:t>
            </w:r>
            <w:r>
              <w:rPr>
                <w:rFonts w:ascii="Arial" w:cs="Arial" w:eastAsia="Arial" w:hAnsi="Arial"/>
                <w:sz w:val="18"/>
                <w:szCs w:val="18"/>
                <w:color w:val="auto"/>
                <w:vertAlign w:val="superscript"/>
              </w:rPr>
              <w:t>(5)</w:t>
            </w:r>
          </w:p>
        </w:tc>
        <w:tc>
          <w:tcPr>
            <w:tcW w:w="108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15,337,348</w:t>
            </w:r>
          </w:p>
        </w:tc>
        <w:tc>
          <w:tcPr>
            <w:tcW w:w="10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15,402,884</w:t>
            </w:r>
          </w:p>
        </w:tc>
        <w:tc>
          <w:tcPr>
            <w:tcW w:w="9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16,973,919</w:t>
            </w:r>
          </w:p>
        </w:tc>
        <w:tc>
          <w:tcPr>
            <w:tcW w:w="1180" w:type="dxa"/>
            <w:vAlign w:val="bottom"/>
          </w:tcPr>
          <w:p>
            <w:pPr>
              <w:jc w:val="right"/>
              <w:ind w:right="99"/>
              <w:spacing w:after="0" w:line="158" w:lineRule="exact"/>
              <w:rPr>
                <w:sz w:val="20"/>
                <w:szCs w:val="20"/>
                <w:color w:val="auto"/>
              </w:rPr>
            </w:pPr>
            <w:r>
              <w:rPr>
                <w:rFonts w:ascii="Arial" w:cs="Arial" w:eastAsia="Arial" w:hAnsi="Arial"/>
                <w:sz w:val="16"/>
                <w:szCs w:val="16"/>
                <w:color w:val="auto"/>
              </w:rPr>
              <w:t>10.2%</w:t>
            </w:r>
          </w:p>
        </w:tc>
        <w:tc>
          <w:tcPr>
            <w:tcW w:w="8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10.7%</w:t>
            </w:r>
          </w:p>
        </w:tc>
      </w:tr>
      <w:tr>
        <w:trPr>
          <w:trHeight w:val="212"/>
        </w:trPr>
        <w:tc>
          <w:tcPr>
            <w:tcW w:w="6240" w:type="dxa"/>
            <w:vAlign w:val="bottom"/>
            <w:tcBorders>
              <w:left w:val="single" w:sz="8" w:color="auto"/>
              <w:bottom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Tier 2 </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 Tier 3 </w:t>
            </w:r>
            <w:r>
              <w:rPr>
                <w:rFonts w:ascii="Arial" w:cs="Arial" w:eastAsia="Arial" w:hAnsi="Arial"/>
                <w:sz w:val="24"/>
                <w:szCs w:val="24"/>
                <w:color w:val="auto"/>
                <w:vertAlign w:val="superscript"/>
              </w:rPr>
              <w:t>(7)</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14,514,564</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13,850,433</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14,832,035</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75"/>
        </w:trPr>
        <w:tc>
          <w:tcPr>
            <w:tcW w:w="6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8"/>
        </w:trPr>
        <w:tc>
          <w:tcPr>
            <w:tcW w:w="624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2"/>
                <w:szCs w:val="12"/>
                <w:color w:val="auto"/>
              </w:rPr>
              <w:t xml:space="preserve">Financial Consolidated Group (FCG) Regulatory Capital Requirements </w:t>
            </w:r>
            <w:r>
              <w:rPr>
                <w:rFonts w:ascii="Arial" w:cs="Arial" w:eastAsia="Arial" w:hAnsi="Arial"/>
                <w:sz w:val="18"/>
                <w:szCs w:val="18"/>
                <w:color w:val="auto"/>
                <w:vertAlign w:val="superscript"/>
              </w:rPr>
              <w:t>(8)</w:t>
            </w:r>
          </w:p>
        </w:tc>
        <w:tc>
          <w:tcPr>
            <w:tcW w:w="108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17,894,230</w:t>
            </w:r>
          </w:p>
        </w:tc>
        <w:tc>
          <w:tcPr>
            <w:tcW w:w="10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18,372,067</w:t>
            </w:r>
          </w:p>
        </w:tc>
        <w:tc>
          <w:tcPr>
            <w:tcW w:w="9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19,270,916</w:t>
            </w:r>
          </w:p>
        </w:tc>
        <w:tc>
          <w:tcPr>
            <w:tcW w:w="1180" w:type="dxa"/>
            <w:vAlign w:val="bottom"/>
          </w:tcPr>
          <w:p>
            <w:pPr>
              <w:jc w:val="right"/>
              <w:ind w:right="99"/>
              <w:spacing w:after="0" w:line="158" w:lineRule="exact"/>
              <w:rPr>
                <w:sz w:val="20"/>
                <w:szCs w:val="20"/>
                <w:color w:val="auto"/>
              </w:rPr>
            </w:pPr>
            <w:r>
              <w:rPr>
                <w:rFonts w:ascii="Arial" w:cs="Arial" w:eastAsia="Arial" w:hAnsi="Arial"/>
                <w:sz w:val="16"/>
                <w:szCs w:val="16"/>
                <w:color w:val="auto"/>
              </w:rPr>
              <w:t>4.9%</w:t>
            </w:r>
          </w:p>
        </w:tc>
        <w:tc>
          <w:tcPr>
            <w:tcW w:w="86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7.7%</w:t>
            </w:r>
          </w:p>
        </w:tc>
      </w:tr>
      <w:tr>
        <w:trPr>
          <w:trHeight w:val="191"/>
        </w:trPr>
        <w:tc>
          <w:tcPr>
            <w:tcW w:w="624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Insurance Consolidated Group (ICG) Capital Requirements </w:t>
            </w:r>
            <w:r>
              <w:rPr>
                <w:rFonts w:ascii="Arial" w:cs="Arial" w:eastAsia="Arial" w:hAnsi="Arial"/>
                <w:sz w:val="22"/>
                <w:szCs w:val="22"/>
                <w:color w:val="auto"/>
                <w:vertAlign w:val="superscript"/>
              </w:rPr>
              <w:t>(9)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1,325,595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1,450,871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1,512,297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FCG Capital Requirements related to operations with ICG</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(471,394)</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(446,149)</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(449,113)</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0.7%</w:t>
            </w:r>
          </w:p>
        </w:tc>
        <w:tc>
          <w:tcPr>
            <w:tcW w:w="8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-4.7%</w:t>
            </w:r>
          </w:p>
        </w:tc>
      </w:tr>
      <w:tr>
        <w:trPr>
          <w:trHeight w:val="204"/>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ICG Capital Requirements related to operations with FCG</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62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Regulatory Capital Requirements (B)</w:t>
            </w: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18,748,432</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19,376,789</w:t>
            </w:r>
          </w:p>
        </w:tc>
        <w:tc>
          <w:tcPr>
            <w:tcW w:w="9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20,334,099</w:t>
            </w:r>
          </w:p>
        </w:tc>
        <w:tc>
          <w:tcPr>
            <w:tcW w:w="11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4.9%</w:t>
            </w:r>
          </w:p>
        </w:tc>
        <w:tc>
          <w:tcPr>
            <w:tcW w:w="8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8.5%</w:t>
            </w:r>
          </w:p>
        </w:tc>
      </w:tr>
      <w:tr>
        <w:trPr>
          <w:trHeight w:val="187"/>
        </w:trPr>
        <w:tc>
          <w:tcPr>
            <w:tcW w:w="62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Regulatory Capital Ratio (A) / (B)</w:t>
            </w: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1.59</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1.51</w:t>
            </w:r>
          </w:p>
        </w:tc>
        <w:tc>
          <w:tcPr>
            <w:tcW w:w="9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1.56</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7"/>
        </w:trPr>
        <w:tc>
          <w:tcPr>
            <w:tcW w:w="62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b w:val="1"/>
                <w:bCs w:val="1"/>
                <w:color w:val="auto"/>
              </w:rPr>
              <w:t xml:space="preserve">Required Regulatory Capital Ratio </w:t>
            </w:r>
            <w:r>
              <w:rPr>
                <w:rFonts w:ascii="Arial" w:cs="Arial" w:eastAsia="Arial" w:hAnsi="Arial"/>
                <w:sz w:val="21"/>
                <w:szCs w:val="21"/>
                <w:color w:val="auto"/>
                <w:vertAlign w:val="superscript"/>
              </w:rPr>
              <w:t>(10)</w:t>
            </w: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1.00</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1.00</w:t>
            </w:r>
          </w:p>
        </w:tc>
        <w:tc>
          <w:tcPr>
            <w:tcW w:w="9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11" w:lineRule="exact"/>
        <w:rPr>
          <w:sz w:val="20"/>
          <w:szCs w:val="20"/>
          <w:color w:val="auto"/>
        </w:rPr>
      </w:pPr>
    </w:p>
    <w:p>
      <w:pPr>
        <w:ind w:left="160" w:hanging="143"/>
        <w:spacing w:after="0"/>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Legal and other capital reserves include restricted capital reserves (PEN 14,745 million) and optional capital reserves (PEN 6,661 million).</w:t>
      </w:r>
    </w:p>
    <w:p>
      <w:pPr>
        <w:spacing w:after="0" w:line="7" w:lineRule="exact"/>
        <w:rPr>
          <w:rFonts w:ascii="Times New Roman" w:cs="Times New Roman" w:eastAsia="Times New Roman" w:hAnsi="Times New Roman"/>
          <w:sz w:val="11"/>
          <w:szCs w:val="11"/>
          <w:i w:val="1"/>
          <w:iCs w:val="1"/>
          <w:color w:val="auto"/>
        </w:rPr>
      </w:pP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Minority interest includes Tier I (PEN 421 million)</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Up to 1.25% of total risk-weighted assets of Banco de Credito del Peru, Solucion Empresa Administradora Hipotecaria, Mibanco and ASB Bank Corp.</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Tier II + Tier III can not be more than 50% of total regulatory capital.</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Tier I = capital + restricted capital reserves + Tier I minority interest - goodwill - (0.5 x investment in equity and subordinated debt of financial and insurance companies)+ perpetual subordinated debt.</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Tier II = subordinated debt + TierII minority interest tier + loan loss reserves - (0.5 x investment in equity and subordinated debt of financial and insurance companies).</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Tier III = Subordinated debt covering market risk only.</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Includes regulatory capital requirements of the financial consolidated group.</w:t>
      </w:r>
    </w:p>
    <w:p>
      <w:pPr>
        <w:ind w:left="160" w:hanging="143"/>
        <w:spacing w:after="0" w:line="231" w:lineRule="auto"/>
        <w:tabs>
          <w:tab w:leader="none" w:pos="16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Includes regulatory capital requirements of the insurance consolidated group.</w:t>
      </w:r>
    </w:p>
    <w:p>
      <w:pPr>
        <w:ind w:left="220" w:hanging="203"/>
        <w:spacing w:after="0"/>
        <w:tabs>
          <w:tab w:leader="none" w:pos="220" w:val="left"/>
        </w:tabs>
        <w:numPr>
          <w:ilvl w:val="0"/>
          <w:numId w:val="4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Regulatory Capital / Total Regulatory Capital Requirements (legal minimum = 1.00).</w:t>
      </w:r>
    </w:p>
    <w:p>
      <w:pPr>
        <w:spacing w:after="0" w:line="33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52" w:name="page53"/>
    <w:bookmarkEnd w:id="52"/>
    <w:p>
      <w:pPr>
        <w:ind w:left="2043"/>
        <w:spacing w:after="0"/>
        <w:tabs>
          <w:tab w:leader="none" w:pos="7922"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5655" cy="1854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3"/>
        <w:spacing w:after="0"/>
        <w:rPr>
          <w:sz w:val="20"/>
          <w:szCs w:val="20"/>
          <w:color w:val="auto"/>
        </w:rPr>
      </w:pPr>
      <w:r>
        <w:rPr>
          <w:rFonts w:ascii="Arial" w:cs="Arial" w:eastAsia="Arial" w:hAnsi="Arial"/>
          <w:sz w:val="19"/>
          <w:szCs w:val="19"/>
          <w:b w:val="1"/>
          <w:bCs w:val="1"/>
          <w:color w:val="FFFFFF"/>
        </w:rPr>
        <w:t>12. Appendix</w:t>
      </w:r>
    </w:p>
    <w:p>
      <w:pPr>
        <w:spacing w:after="0" w:line="1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Regulatory and Capital Adecuacy Ratios at BCP Stand-alone</w:t>
      </w:r>
    </w:p>
    <w:p>
      <w:pPr>
        <w:spacing w:after="0" w:line="2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(In S/ thousands)</w:t>
      </w:r>
    </w:p>
    <w:p>
      <w:pPr>
        <w:spacing w:after="0" w:line="333" w:lineRule="exact"/>
        <w:rPr>
          <w:sz w:val="20"/>
          <w:szCs w:val="20"/>
          <w:color w:val="auto"/>
        </w:rPr>
      </w:pPr>
    </w:p>
    <w:tbl>
      <w:tblPr>
        <w:tblLayout w:type="fixed"/>
        <w:tblInd w:w="13" w:type="dxa"/>
        <w:tblCellMar>
          <w:top w:w="0" w:type="dxa"/>
          <w:left w:w="0" w:type="dxa"/>
          <w:bottom w:w="0" w:type="dxa"/>
          <w:right w:w="0" w:type="dxa"/>
        </w:tblCellMar>
      </w:tblPr>
      <w:tr>
        <w:trPr>
          <w:trHeight w:val="190"/>
        </w:trPr>
        <w:tc>
          <w:tcPr>
            <w:tcW w:w="622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Regulatory Capital and Capital Adequacy Ratios - SBS</w:t>
            </w:r>
          </w:p>
        </w:tc>
        <w:tc>
          <w:tcPr>
            <w:tcW w:w="1040" w:type="dxa"/>
            <w:vAlign w:val="bottom"/>
            <w:tcBorders>
              <w:top w:val="single" w:sz="8" w:color="auto"/>
            </w:tcBorders>
            <w:shd w:val="clear" w:color="auto" w:fill="2AD2C9"/>
          </w:tcPr>
          <w:p>
            <w:pPr>
              <w:spacing w:after="0"/>
              <w:rPr>
                <w:sz w:val="16"/>
                <w:szCs w:val="16"/>
                <w:color w:val="auto"/>
              </w:rPr>
            </w:pPr>
          </w:p>
        </w:tc>
        <w:tc>
          <w:tcPr>
            <w:tcW w:w="1000" w:type="dxa"/>
            <w:vAlign w:val="bottom"/>
            <w:tcBorders>
              <w:top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As of</w:t>
            </w:r>
          </w:p>
        </w:tc>
        <w:tc>
          <w:tcPr>
            <w:tcW w:w="1000" w:type="dxa"/>
            <w:vAlign w:val="bottom"/>
            <w:tcBorders>
              <w:top w:val="single" w:sz="8" w:color="auto"/>
              <w:right w:val="single" w:sz="8" w:color="auto"/>
            </w:tcBorders>
            <w:shd w:val="clear" w:color="auto" w:fill="2AD2C9"/>
          </w:tcPr>
          <w:p>
            <w:pPr>
              <w:spacing w:after="0"/>
              <w:rPr>
                <w:sz w:val="16"/>
                <w:szCs w:val="16"/>
                <w:color w:val="auto"/>
              </w:rPr>
            </w:pPr>
          </w:p>
        </w:tc>
        <w:tc>
          <w:tcPr>
            <w:tcW w:w="2000" w:type="dxa"/>
            <w:vAlign w:val="bottom"/>
            <w:tcBorders>
              <w:top w:val="single" w:sz="8" w:color="auto"/>
              <w:right w:val="single" w:sz="8" w:color="auto"/>
            </w:tcBorders>
            <w:gridSpan w:val="2"/>
            <w:shd w:val="clear" w:color="auto" w:fill="2AD2C9"/>
          </w:tcPr>
          <w:p>
            <w:pPr>
              <w:jc w:val="right"/>
              <w:ind w:right="55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040" w:type="dxa"/>
            <w:vAlign w:val="bottom"/>
            <w:tcBorders>
              <w:bottom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Jun 21</w:t>
            </w:r>
          </w:p>
        </w:tc>
        <w:tc>
          <w:tcPr>
            <w:tcW w:w="1000" w:type="dxa"/>
            <w:vAlign w:val="bottom"/>
            <w:tcBorders>
              <w:bottom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Mar 22</w:t>
            </w:r>
          </w:p>
        </w:tc>
        <w:tc>
          <w:tcPr>
            <w:tcW w:w="100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Jun 22</w:t>
            </w:r>
          </w:p>
        </w:tc>
        <w:tc>
          <w:tcPr>
            <w:tcW w:w="116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Capital Stock</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11,317,387</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12,176,365</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12,176,365</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Legal and Other capital reserves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6,707,831</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7,516,510</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7,516,897</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Accumulated earnings with capitalization agreement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Loan loss reserves (1)</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1,676,768</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1,707,458</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1,797,358</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5.3%</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Perpetual subordinated debt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Subordinated Debt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5,223,300</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5,007,300</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5,163,750</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3.1%</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Investment in subsidiaries and others, net of unrealized profit and net income</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(2,263,859)</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(2,432,571)</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(2,436,525)</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0.2%</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Investment in subsidiaries and others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(2,326,241)</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(2,535,289)</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(2,674,646)</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5.5%</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Unrealized profit and net income in subsidiaries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62,381</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102,718</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238,121</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131.8%</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Goodwill</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(122,083)</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(122,083)</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(122,083)</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Regulatory Capital - SBS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22,539,343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23,852,979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24,095,761</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Off-balance sheet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96,842,778</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87,775,815</w:t>
            </w:r>
          </w:p>
        </w:tc>
        <w:tc>
          <w:tcPr>
            <w:tcW w:w="10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91,019,217</w:t>
            </w:r>
          </w:p>
        </w:tc>
        <w:tc>
          <w:tcPr>
            <w:tcW w:w="11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3.7%</w:t>
            </w:r>
          </w:p>
        </w:tc>
        <w:tc>
          <w:tcPr>
            <w:tcW w:w="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Regulatory Tier 1 Capital (2)</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15,142,961</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16,220,724</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16,219,133</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Regulatory Tier 2 Capital (3)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7,396,382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7,632,256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7,876,628</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Total risk-weighted assets - SBS (4)</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146,936,014</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151,045,319</w:t>
            </w:r>
          </w:p>
        </w:tc>
        <w:tc>
          <w:tcPr>
            <w:tcW w:w="10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158,176,424</w:t>
            </w:r>
          </w:p>
        </w:tc>
        <w:tc>
          <w:tcPr>
            <w:tcW w:w="11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4.7%</w:t>
            </w:r>
          </w:p>
        </w:tc>
        <w:tc>
          <w:tcPr>
            <w:tcW w:w="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Credit risk-weighted assets</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132,013,903</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135,397,192</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142,632,376</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5.3%</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Market risk-weighted assets (5)</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3,127,460</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2,231,891</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1,868,921</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-16.3%</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Operational risk-weighted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11,794,652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13,416,236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13,675,127</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Total capital requirement - SBS</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13,925,638</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14,355,691</w:t>
            </w:r>
          </w:p>
        </w:tc>
        <w:tc>
          <w:tcPr>
            <w:tcW w:w="10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15,023,680</w:t>
            </w:r>
          </w:p>
        </w:tc>
        <w:tc>
          <w:tcPr>
            <w:tcW w:w="11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4.7%</w:t>
            </w:r>
          </w:p>
        </w:tc>
        <w:tc>
          <w:tcPr>
            <w:tcW w:w="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Credit risk capital requirement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10,561,112</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10,831,775</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11,410,590</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5.3%</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Market risk capital requirement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312,746</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223,189</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186,892</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-16.3%</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Operational risk capital requirement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1,179,465</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1,341,624</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1,367,513</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1.9%</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Additional capital requirements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1,872,315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1,959,102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2,058,686</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Common Equity Tier 1 - Basel IFRS (6)</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15,557,626</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16,477,382</w:t>
            </w:r>
          </w:p>
        </w:tc>
        <w:tc>
          <w:tcPr>
            <w:tcW w:w="10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17,160,382</w:t>
            </w:r>
          </w:p>
        </w:tc>
        <w:tc>
          <w:tcPr>
            <w:tcW w:w="11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4.1%</w:t>
            </w:r>
          </w:p>
        </w:tc>
        <w:tc>
          <w:tcPr>
            <w:tcW w:w="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Capital and reserves</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17,512,975</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19,180,633</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19,181,019</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Retained earnings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1,522,687</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1,740,668</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2,897,372</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66.5%</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Unrealized gains (losses)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(123,542)</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(780,063)</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(1,089,747)</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39.7%</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Goodwill and intangibles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(1,230,017)</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(1,266,218)</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(1,312,578)</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3.7%</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Investments in subsidiaries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(2,124,477)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(2,397,638)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(2,515,685)</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Risk-Weighted Assets - Basel IFRS (7)</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138,825,472</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141,697,998</w:t>
            </w:r>
          </w:p>
        </w:tc>
        <w:tc>
          <w:tcPr>
            <w:tcW w:w="10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148,378,629</w:t>
            </w:r>
          </w:p>
        </w:tc>
        <w:tc>
          <w:tcPr>
            <w:tcW w:w="11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4.7%</w:t>
            </w:r>
          </w:p>
        </w:tc>
        <w:tc>
          <w:tcPr>
            <w:tcW w:w="8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Total risk-weighted assets</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146,936,014</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151,045,319</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158,176,424</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4.7%</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 RWA Intangible assets, excluding goodwill.</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10,013,815</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10,798,886</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11,347,690</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5.1%</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 RWA Deferred tax assets generated as a result of temporary differences in</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1,383,156</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882,435</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904,457</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color w:val="auto"/>
              </w:rPr>
              <w:t>2.5%</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17"/>
        </w:trPr>
        <w:tc>
          <w:tcPr>
            <w:tcW w:w="6220" w:type="dxa"/>
            <w:vAlign w:val="bottom"/>
            <w:tcBorders>
              <w:left w:val="single" w:sz="8" w:color="auto"/>
              <w:right w:val="single" w:sz="8" w:color="auto"/>
            </w:tcBorders>
            <w:vMerge w:val="restart"/>
          </w:tcPr>
          <w:p>
            <w:pPr>
              <w:ind w:left="160"/>
              <w:spacing w:after="0" w:line="183" w:lineRule="exact"/>
              <w:rPr>
                <w:sz w:val="20"/>
                <w:szCs w:val="20"/>
                <w:color w:val="auto"/>
              </w:rPr>
            </w:pPr>
            <w:r>
              <w:rPr>
                <w:rFonts w:ascii="Arial" w:cs="Arial" w:eastAsia="Arial" w:hAnsi="Arial"/>
                <w:sz w:val="16"/>
                <w:szCs w:val="16"/>
                <w:color w:val="auto"/>
              </w:rPr>
              <w:t>income tax, in excess of 10% of CET1</w:t>
            </w:r>
          </w:p>
        </w:tc>
        <w:tc>
          <w:tcPr>
            <w:tcW w:w="10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22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 RWA Deferred tax assets generated as a result of past losses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 IFRS Adjustments (11)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520,116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569,130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645,439</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13.4%</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58"/>
        </w:trPr>
        <w:tc>
          <w:tcPr>
            <w:tcW w:w="6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Capital ratios</w:t>
            </w: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Regulatory Tier 1 ratio (8)</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10.31%</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10.74%</w:t>
            </w:r>
          </w:p>
        </w:tc>
        <w:tc>
          <w:tcPr>
            <w:tcW w:w="10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10.25%</w:t>
            </w:r>
          </w:p>
        </w:tc>
        <w:tc>
          <w:tcPr>
            <w:tcW w:w="1160" w:type="dxa"/>
            <w:vAlign w:val="bottom"/>
          </w:tcPr>
          <w:p>
            <w:pPr>
              <w:jc w:val="right"/>
              <w:ind w:right="99"/>
              <w:spacing w:after="0" w:line="166" w:lineRule="exact"/>
              <w:rPr>
                <w:sz w:val="20"/>
                <w:szCs w:val="20"/>
                <w:color w:val="auto"/>
              </w:rPr>
            </w:pPr>
            <w:r>
              <w:rPr>
                <w:rFonts w:ascii="Arial" w:cs="Arial" w:eastAsia="Arial" w:hAnsi="Arial"/>
                <w:sz w:val="16"/>
                <w:szCs w:val="16"/>
                <w:color w:val="auto"/>
              </w:rPr>
              <w:t>-49 bps</w:t>
            </w:r>
          </w:p>
        </w:tc>
        <w:tc>
          <w:tcPr>
            <w:tcW w:w="8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-6 bps</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Common Equity Tier 1 ratio (9)(12)</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11.21%</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11.63%</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11.57%</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-6 bps</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36 bps</w:t>
            </w:r>
          </w:p>
        </w:tc>
        <w:tc>
          <w:tcPr>
            <w:tcW w:w="0" w:type="dxa"/>
            <w:vAlign w:val="bottom"/>
          </w:tcPr>
          <w:p>
            <w:pPr>
              <w:spacing w:after="0"/>
              <w:rPr>
                <w:sz w:val="1"/>
                <w:szCs w:val="1"/>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Regulatory Global Capital ratio (10)</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15.34%</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15.79%</w:t>
            </w:r>
          </w:p>
        </w:tc>
        <w:tc>
          <w:tcPr>
            <w:tcW w:w="10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15.23%</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-56 bps</w:t>
            </w:r>
          </w:p>
        </w:tc>
        <w:tc>
          <w:tcPr>
            <w:tcW w:w="8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 bps</w:t>
            </w:r>
          </w:p>
        </w:tc>
        <w:tc>
          <w:tcPr>
            <w:tcW w:w="0" w:type="dxa"/>
            <w:vAlign w:val="bottom"/>
          </w:tcPr>
          <w:p>
            <w:pPr>
              <w:spacing w:after="0"/>
              <w:rPr>
                <w:sz w:val="1"/>
                <w:szCs w:val="1"/>
                <w:color w:val="auto"/>
              </w:rPr>
            </w:pP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Risk-weighted assets / Regulatory capital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43" w:hanging="143"/>
        <w:spacing w:after="0"/>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Up to 1.25% of total risk-weighted assets.</w:t>
      </w:r>
    </w:p>
    <w:p>
      <w:pPr>
        <w:spacing w:after="0" w:line="7" w:lineRule="exact"/>
        <w:rPr>
          <w:rFonts w:ascii="Times New Roman" w:cs="Times New Roman" w:eastAsia="Times New Roman" w:hAnsi="Times New Roman"/>
          <w:sz w:val="11"/>
          <w:szCs w:val="11"/>
          <w:i w:val="1"/>
          <w:iCs w:val="1"/>
          <w:color w:val="auto"/>
        </w:rPr>
      </w:pPr>
    </w:p>
    <w:p>
      <w:pPr>
        <w:ind w:left="3" w:right="200" w:hanging="3"/>
        <w:spacing w:after="0" w:line="231" w:lineRule="auto"/>
        <w:tabs>
          <w:tab w:leader="none" w:pos="152"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43" w:hanging="143"/>
        <w:spacing w:after="0" w:line="231" w:lineRule="auto"/>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Regulatory Tier 2 Capital = Subordinated debt + Loan loss reserves + Unrestricted Reserves + (0.5 x Unrealized profit and net income in subsidiaries) - (0.5 x Investment in subsidiaries).</w:t>
      </w:r>
    </w:p>
    <w:p>
      <w:pPr>
        <w:ind w:left="143" w:hanging="143"/>
        <w:spacing w:after="0" w:line="231" w:lineRule="auto"/>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Since July 2012, Total Risk-weighted assets = Credit risk-weighted assets * 1.00 + Capital requirement to cover market risk * 10 + Capital requirement to cover operational risk * 10 * 1.00 (since July 2014)</w:t>
      </w:r>
    </w:p>
    <w:p>
      <w:pPr>
        <w:ind w:left="143" w:hanging="143"/>
        <w:spacing w:after="0" w:line="231" w:lineRule="auto"/>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It includes capital requirement to cover price and rate risk.</w:t>
      </w:r>
    </w:p>
    <w:p>
      <w:pPr>
        <w:ind w:left="3" w:right="20" w:hanging="3"/>
        <w:spacing w:after="0" w:line="231" w:lineRule="auto"/>
        <w:tabs>
          <w:tab w:leader="none" w:pos="152"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Common Equity Tier I = Capital + Reserves – 100% of applicable deductions (investment in subsidiaries, goodwill, intangibles and net deferred taxes that rely on future profitability) + retained earnings + unrealized gains. Figures differ from previously reported cause current calculations are based on IFRS figures.</w:t>
      </w:r>
    </w:p>
    <w:p>
      <w:pPr>
        <w:ind w:left="3" w:right="160" w:hanging="3"/>
        <w:spacing w:after="0" w:line="231" w:lineRule="auto"/>
        <w:tabs>
          <w:tab w:leader="none" w:pos="152"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43" w:hanging="143"/>
        <w:spacing w:after="0" w:line="231" w:lineRule="auto"/>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Regulatory Tier 1 Capital / Total Risk-weighted assets</w:t>
      </w:r>
    </w:p>
    <w:p>
      <w:pPr>
        <w:ind w:left="143" w:hanging="143"/>
        <w:spacing w:after="0" w:line="231" w:lineRule="auto"/>
        <w:tabs>
          <w:tab w:leader="none" w:pos="14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Common Equity Tier I / Adjusted Risk-Weighted Assets Risk-Weighted Assets</w:t>
      </w:r>
    </w:p>
    <w:p>
      <w:pPr>
        <w:ind w:left="203" w:hanging="203"/>
        <w:spacing w:after="0" w:line="231" w:lineRule="auto"/>
        <w:tabs>
          <w:tab w:leader="none" w:pos="20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Total Regulatory Capital / Total Risk-weighted assets (legal minimum = 10% since July 2011)</w:t>
      </w:r>
    </w:p>
    <w:p>
      <w:pPr>
        <w:ind w:left="3" w:right="40" w:hanging="3"/>
        <w:spacing w:after="0" w:line="231" w:lineRule="auto"/>
        <w:tabs>
          <w:tab w:leader="none" w:pos="197"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Adjustments for differences in balance assets under Local Accounting (which regulatory Rwas are calculated) and IFRS in the Right of use account (lease). As of March 2022, the 'Right of Use' account increased to S/ 364M, explained the 64% of the adjustment. The rest adjustments correspond to differences in stock of provisions and Deferred Taxes.</w:t>
      </w:r>
    </w:p>
    <w:p>
      <w:pPr>
        <w:ind w:left="203" w:hanging="203"/>
        <w:spacing w:after="0"/>
        <w:tabs>
          <w:tab w:leader="none" w:pos="20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Common Equity Tier I calculated based on IFRS Accounting</w:t>
      </w:r>
    </w:p>
    <w:p>
      <w:pPr>
        <w:spacing w:after="0" w:line="240"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53" w:name="page54"/>
    <w:bookmarkEnd w:id="53"/>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Adequacy Ratios at Mibanco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 thousands)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120" w:type="dxa"/>
            <w:vAlign w:val="bottom"/>
            <w:tcBorders>
              <w:right w:val="single" w:sz="8" w:color="auto"/>
            </w:tcBorders>
          </w:tcPr>
          <w:p>
            <w:pPr>
              <w:spacing w:after="0"/>
              <w:rPr>
                <w:sz w:val="16"/>
                <w:szCs w:val="16"/>
                <w:color w:val="auto"/>
              </w:rPr>
            </w:pPr>
          </w:p>
        </w:tc>
        <w:tc>
          <w:tcPr>
            <w:tcW w:w="1100" w:type="dxa"/>
            <w:vAlign w:val="bottom"/>
            <w:tcBorders>
              <w:top w:val="single" w:sz="8" w:color="auto"/>
            </w:tcBorders>
            <w:shd w:val="clear" w:color="auto" w:fill="2AD2C9"/>
          </w:tcPr>
          <w:p>
            <w:pPr>
              <w:spacing w:after="0"/>
              <w:rPr>
                <w:sz w:val="16"/>
                <w:szCs w:val="16"/>
                <w:color w:val="auto"/>
              </w:rPr>
            </w:pPr>
          </w:p>
        </w:tc>
        <w:tc>
          <w:tcPr>
            <w:tcW w:w="1000" w:type="dxa"/>
            <w:vAlign w:val="bottom"/>
            <w:tcBorders>
              <w:top w:val="single" w:sz="8" w:color="auto"/>
            </w:tcBorders>
            <w:shd w:val="clear" w:color="auto" w:fill="2AD2C9"/>
          </w:tcPr>
          <w:p>
            <w:pPr>
              <w:jc w:val="right"/>
              <w:ind w:right="319"/>
              <w:spacing w:after="0"/>
              <w:rPr>
                <w:sz w:val="20"/>
                <w:szCs w:val="20"/>
                <w:color w:val="auto"/>
              </w:rPr>
            </w:pPr>
            <w:r>
              <w:rPr>
                <w:rFonts w:ascii="Arial" w:cs="Arial" w:eastAsia="Arial" w:hAnsi="Arial"/>
                <w:sz w:val="16"/>
                <w:szCs w:val="16"/>
                <w:b w:val="1"/>
                <w:bCs w:val="1"/>
                <w:color w:val="FFFFFF"/>
              </w:rPr>
              <w:t>As of</w:t>
            </w:r>
          </w:p>
        </w:tc>
        <w:tc>
          <w:tcPr>
            <w:tcW w:w="940" w:type="dxa"/>
            <w:vAlign w:val="bottom"/>
            <w:tcBorders>
              <w:top w:val="single" w:sz="8" w:color="auto"/>
              <w:right w:val="single" w:sz="8" w:color="auto"/>
            </w:tcBorders>
            <w:shd w:val="clear" w:color="auto" w:fill="2AD2C9"/>
          </w:tcPr>
          <w:p>
            <w:pPr>
              <w:spacing w:after="0"/>
              <w:rPr>
                <w:sz w:val="16"/>
                <w:szCs w:val="16"/>
                <w:color w:val="auto"/>
              </w:rPr>
            </w:pPr>
          </w:p>
        </w:tc>
        <w:tc>
          <w:tcPr>
            <w:tcW w:w="1980" w:type="dxa"/>
            <w:vAlign w:val="bottom"/>
            <w:tcBorders>
              <w:top w:val="single" w:sz="8" w:color="auto"/>
              <w:right w:val="single" w:sz="8" w:color="auto"/>
            </w:tcBorders>
            <w:gridSpan w:val="2"/>
            <w:shd w:val="clear" w:color="auto" w:fill="2AD2C9"/>
          </w:tcPr>
          <w:p>
            <w:pPr>
              <w:jc w:val="right"/>
              <w:ind w:right="53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51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Jun 21</w:t>
            </w:r>
          </w:p>
        </w:tc>
        <w:tc>
          <w:tcPr>
            <w:tcW w:w="1000" w:type="dxa"/>
            <w:vAlign w:val="bottom"/>
            <w:tcBorders>
              <w:bottom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Mar 22</w:t>
            </w:r>
          </w:p>
        </w:tc>
        <w:tc>
          <w:tcPr>
            <w:tcW w:w="94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Jun 22</w:t>
            </w:r>
          </w:p>
        </w:tc>
        <w:tc>
          <w:tcPr>
            <w:tcW w:w="116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QoQ</w:t>
            </w:r>
          </w:p>
        </w:tc>
        <w:tc>
          <w:tcPr>
            <w:tcW w:w="820" w:type="dxa"/>
            <w:vAlign w:val="bottom"/>
            <w:tcBorders>
              <w:bottom w:val="single" w:sz="8" w:color="auto"/>
              <w:right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66"/>
        </w:trPr>
        <w:tc>
          <w:tcPr>
            <w:tcW w:w="51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Capital Stock</w:t>
            </w:r>
          </w:p>
        </w:tc>
        <w:tc>
          <w:tcPr>
            <w:tcW w:w="1100" w:type="dxa"/>
            <w:vAlign w:val="bottom"/>
          </w:tcPr>
          <w:p>
            <w:pPr>
              <w:jc w:val="right"/>
              <w:ind w:right="19"/>
              <w:spacing w:after="0" w:line="166" w:lineRule="exact"/>
              <w:rPr>
                <w:sz w:val="20"/>
                <w:szCs w:val="20"/>
                <w:color w:val="auto"/>
              </w:rPr>
            </w:pPr>
            <w:r>
              <w:rPr>
                <w:rFonts w:ascii="Arial" w:cs="Arial" w:eastAsia="Arial" w:hAnsi="Arial"/>
                <w:sz w:val="16"/>
                <w:szCs w:val="16"/>
                <w:color w:val="auto"/>
              </w:rPr>
              <w:t>1,714,577</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1,840,606</w:t>
            </w:r>
          </w:p>
        </w:tc>
        <w:tc>
          <w:tcPr>
            <w:tcW w:w="9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1,840,606</w:t>
            </w:r>
          </w:p>
        </w:tc>
        <w:tc>
          <w:tcPr>
            <w:tcW w:w="1160" w:type="dxa"/>
            <w:vAlign w:val="bottom"/>
          </w:tcPr>
          <w:p>
            <w:pPr>
              <w:jc w:val="right"/>
              <w:ind w:right="79"/>
              <w:spacing w:after="0" w:line="166" w:lineRule="exact"/>
              <w:rPr>
                <w:sz w:val="20"/>
                <w:szCs w:val="20"/>
                <w:color w:val="auto"/>
              </w:rPr>
            </w:pPr>
            <w:r>
              <w:rPr>
                <w:rFonts w:ascii="Arial" w:cs="Arial" w:eastAsia="Arial" w:hAnsi="Arial"/>
                <w:sz w:val="16"/>
                <w:szCs w:val="16"/>
                <w:color w:val="auto"/>
              </w:rPr>
              <w:t>0.0%</w:t>
            </w:r>
          </w:p>
        </w:tc>
        <w:tc>
          <w:tcPr>
            <w:tcW w:w="8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Legal and Other capital reserves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246,305</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264,221</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264,221</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0.0%</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5"/>
        </w:trPr>
        <w:tc>
          <w:tcPr>
            <w:tcW w:w="512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Accumulated earnings with capitalization agreement</w:t>
            </w:r>
          </w:p>
        </w:tc>
        <w:tc>
          <w:tcPr>
            <w:tcW w:w="11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46,524</w:t>
            </w:r>
          </w:p>
        </w:tc>
        <w:tc>
          <w:tcPr>
            <w:tcW w:w="10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512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2"/>
                <w:szCs w:val="22"/>
                <w:color w:val="auto"/>
                <w:vertAlign w:val="superscript"/>
              </w:rPr>
              <w:t>(1)</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138,555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163,711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171,843</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Perpetual subordinated debt</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Subordinated Debt</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185,000</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185,000</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179,000</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-3.2%</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Investment in subsidiaries and others, net of unrealized profit and net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7"/>
        </w:trPr>
        <w:tc>
          <w:tcPr>
            <w:tcW w:w="5120" w:type="dxa"/>
            <w:vAlign w:val="bottom"/>
            <w:tcBorders>
              <w:left w:val="single" w:sz="8" w:color="auto"/>
              <w:right w:val="single" w:sz="8" w:color="auto"/>
            </w:tcBorders>
            <w:vMerge w:val="restart"/>
          </w:tcPr>
          <w:p>
            <w:pPr>
              <w:ind w:left="180"/>
              <w:spacing w:after="0" w:line="183" w:lineRule="exact"/>
              <w:rPr>
                <w:sz w:val="20"/>
                <w:szCs w:val="20"/>
                <w:color w:val="auto"/>
              </w:rPr>
            </w:pPr>
            <w:r>
              <w:rPr>
                <w:rFonts w:ascii="Arial" w:cs="Arial" w:eastAsia="Arial" w:hAnsi="Arial"/>
                <w:sz w:val="16"/>
                <w:szCs w:val="16"/>
                <w:color w:val="auto"/>
              </w:rPr>
              <w:t>income</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12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Investment in subsidiaries and others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Unrealized profit and net income in subsidiaries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Goodwill</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(139,180)</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(139,180)</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(139,180)</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0.0%</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Accumulated Losses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Regulatory Capital - SBS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2,191,781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2,314,357</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2,316,490</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0.1%</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12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2"/>
                <w:szCs w:val="12"/>
                <w:color w:val="auto"/>
              </w:rPr>
              <w:t xml:space="preserve">Regulatory Tier 1 Capital </w:t>
            </w:r>
            <w:r>
              <w:rPr>
                <w:rFonts w:ascii="Arial" w:cs="Arial" w:eastAsia="Arial" w:hAnsi="Arial"/>
                <w:sz w:val="18"/>
                <w:szCs w:val="18"/>
                <w:color w:val="auto"/>
                <w:vertAlign w:val="superscript"/>
              </w:rPr>
              <w:t>(2)</w:t>
            </w: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1,865,495</w:t>
            </w:r>
          </w:p>
        </w:tc>
        <w:tc>
          <w:tcPr>
            <w:tcW w:w="1000" w:type="dxa"/>
            <w:vAlign w:val="bottom"/>
          </w:tcPr>
          <w:p>
            <w:pPr>
              <w:jc w:val="right"/>
              <w:spacing w:after="0" w:line="158" w:lineRule="exact"/>
              <w:rPr>
                <w:sz w:val="20"/>
                <w:szCs w:val="20"/>
                <w:color w:val="auto"/>
              </w:rPr>
            </w:pPr>
            <w:r>
              <w:rPr>
                <w:rFonts w:ascii="Arial" w:cs="Arial" w:eastAsia="Arial" w:hAnsi="Arial"/>
                <w:sz w:val="16"/>
                <w:szCs w:val="16"/>
                <w:color w:val="auto"/>
              </w:rPr>
              <w:t>1,962,906</w:t>
            </w:r>
          </w:p>
        </w:tc>
        <w:tc>
          <w:tcPr>
            <w:tcW w:w="94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1,962,906</w:t>
            </w:r>
          </w:p>
        </w:tc>
        <w:tc>
          <w:tcPr>
            <w:tcW w:w="11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0.0%</w:t>
            </w:r>
          </w:p>
        </w:tc>
        <w:tc>
          <w:tcPr>
            <w:tcW w:w="8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5120" w:type="dxa"/>
            <w:vAlign w:val="bottom"/>
            <w:tcBorders>
              <w:left w:val="single" w:sz="8" w:color="auto"/>
              <w:bottom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Regulatory Tier 2 Capital </w:t>
            </w:r>
            <w:r>
              <w:rPr>
                <w:rFonts w:ascii="Arial" w:cs="Arial" w:eastAsia="Arial" w:hAnsi="Arial"/>
                <w:sz w:val="24"/>
                <w:szCs w:val="24"/>
                <w:color w:val="auto"/>
                <w:vertAlign w:val="superscript"/>
              </w:rPr>
              <w:t>(3)</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326,287</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351,451</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353,583</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b w:val="1"/>
                <w:bCs w:val="1"/>
                <w:color w:val="auto"/>
              </w:rPr>
              <w:t xml:space="preserve">Total risk-weighted assets - SBS </w:t>
            </w:r>
            <w:r>
              <w:rPr>
                <w:rFonts w:ascii="Arial" w:cs="Arial" w:eastAsia="Arial" w:hAnsi="Arial"/>
                <w:sz w:val="21"/>
                <w:szCs w:val="21"/>
                <w:b w:val="1"/>
                <w:bCs w:val="1"/>
                <w:color w:val="auto"/>
                <w:vertAlign w:val="superscript"/>
              </w:rPr>
              <w:t>(4)</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12,703,309</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14,825,319</w:t>
            </w:r>
          </w:p>
        </w:tc>
        <w:tc>
          <w:tcPr>
            <w:tcW w:w="9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15,638,132</w:t>
            </w: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5.5%</w:t>
            </w:r>
          </w:p>
        </w:tc>
        <w:tc>
          <w:tcPr>
            <w:tcW w:w="8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23.1%</w:t>
            </w:r>
          </w:p>
        </w:tc>
        <w:tc>
          <w:tcPr>
            <w:tcW w:w="0" w:type="dxa"/>
            <w:vAlign w:val="bottom"/>
          </w:tcPr>
          <w:p>
            <w:pPr>
              <w:spacing w:after="0"/>
              <w:rPr>
                <w:sz w:val="1"/>
                <w:szCs w:val="1"/>
                <w:color w:val="auto"/>
              </w:rPr>
            </w:pPr>
          </w:p>
        </w:tc>
      </w:tr>
      <w:tr>
        <w:trPr>
          <w:trHeight w:val="158"/>
        </w:trPr>
        <w:tc>
          <w:tcPr>
            <w:tcW w:w="512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Credit risk-weighted assets</w:t>
            </w: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10,662,694</w:t>
            </w:r>
          </w:p>
        </w:tc>
        <w:tc>
          <w:tcPr>
            <w:tcW w:w="100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12,747,979</w:t>
            </w:r>
          </w:p>
        </w:tc>
        <w:tc>
          <w:tcPr>
            <w:tcW w:w="94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13,605,110</w:t>
            </w:r>
          </w:p>
        </w:tc>
        <w:tc>
          <w:tcPr>
            <w:tcW w:w="11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6.7%</w:t>
            </w:r>
          </w:p>
        </w:tc>
        <w:tc>
          <w:tcPr>
            <w:tcW w:w="8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1"/>
        </w:trPr>
        <w:tc>
          <w:tcPr>
            <w:tcW w:w="512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Market risk-weighted assets </w:t>
            </w:r>
            <w:r>
              <w:rPr>
                <w:rFonts w:ascii="Arial" w:cs="Arial" w:eastAsia="Arial" w:hAnsi="Arial"/>
                <w:sz w:val="22"/>
                <w:szCs w:val="22"/>
                <w:color w:val="auto"/>
                <w:vertAlign w:val="superscript"/>
              </w:rPr>
              <w:t>(5)</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170,320</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177,097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105,570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-40.4%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Operational risk-weighted assets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1,870,294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1,900,243</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1,927,452</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Total capital requirement</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1,384,066</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1,618,510</w:t>
            </w:r>
          </w:p>
        </w:tc>
        <w:tc>
          <w:tcPr>
            <w:tcW w:w="9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1,708,934</w:t>
            </w: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5.6%</w:t>
            </w:r>
          </w:p>
        </w:tc>
        <w:tc>
          <w:tcPr>
            <w:tcW w:w="8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166"/>
        </w:trPr>
        <w:tc>
          <w:tcPr>
            <w:tcW w:w="51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Credit risk capital requirement</w:t>
            </w:r>
          </w:p>
        </w:tc>
        <w:tc>
          <w:tcPr>
            <w:tcW w:w="1100" w:type="dxa"/>
            <w:vAlign w:val="bottom"/>
          </w:tcPr>
          <w:p>
            <w:pPr>
              <w:jc w:val="right"/>
              <w:ind w:right="19"/>
              <w:spacing w:after="0" w:line="166" w:lineRule="exact"/>
              <w:rPr>
                <w:sz w:val="20"/>
                <w:szCs w:val="20"/>
                <w:color w:val="auto"/>
              </w:rPr>
            </w:pPr>
            <w:r>
              <w:rPr>
                <w:rFonts w:ascii="Arial" w:cs="Arial" w:eastAsia="Arial" w:hAnsi="Arial"/>
                <w:sz w:val="16"/>
                <w:szCs w:val="16"/>
                <w:b w:val="1"/>
                <w:bCs w:val="1"/>
                <w:color w:val="auto"/>
              </w:rPr>
              <w:t>1,066,269</w:t>
            </w:r>
          </w:p>
        </w:tc>
        <w:tc>
          <w:tcPr>
            <w:tcW w:w="100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1,274,798</w:t>
            </w:r>
          </w:p>
        </w:tc>
        <w:tc>
          <w:tcPr>
            <w:tcW w:w="9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1,360,511</w:t>
            </w:r>
          </w:p>
        </w:tc>
        <w:tc>
          <w:tcPr>
            <w:tcW w:w="1160" w:type="dxa"/>
            <w:vAlign w:val="bottom"/>
          </w:tcPr>
          <w:p>
            <w:pPr>
              <w:jc w:val="right"/>
              <w:ind w:right="79"/>
              <w:spacing w:after="0" w:line="166" w:lineRule="exact"/>
              <w:rPr>
                <w:sz w:val="20"/>
                <w:szCs w:val="20"/>
                <w:color w:val="auto"/>
              </w:rPr>
            </w:pPr>
            <w:r>
              <w:rPr>
                <w:rFonts w:ascii="Arial" w:cs="Arial" w:eastAsia="Arial" w:hAnsi="Arial"/>
                <w:sz w:val="16"/>
                <w:szCs w:val="16"/>
                <w:color w:val="auto"/>
              </w:rPr>
              <w:t>6.7%</w:t>
            </w:r>
          </w:p>
        </w:tc>
        <w:tc>
          <w:tcPr>
            <w:tcW w:w="8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Market risk-weighted assets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17,032</w:t>
            </w:r>
          </w:p>
        </w:tc>
        <w:tc>
          <w:tcPr>
            <w:tcW w:w="10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17,710</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10,557</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-40.4%</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Operational risk capital requirement</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187,029</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190,024</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192,745</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1.4%</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Additional capital requirements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113,735</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135,978</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145,121</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b w:val="1"/>
                <w:bCs w:val="1"/>
                <w:color w:val="auto"/>
              </w:rPr>
              <w:t xml:space="preserve">Common Equity Tier 1 - Basel IFRS </w:t>
            </w:r>
            <w:r>
              <w:rPr>
                <w:rFonts w:ascii="Arial" w:cs="Arial" w:eastAsia="Arial" w:hAnsi="Arial"/>
                <w:sz w:val="21"/>
                <w:szCs w:val="21"/>
                <w:b w:val="1"/>
                <w:bCs w:val="1"/>
                <w:color w:val="auto"/>
                <w:vertAlign w:val="superscript"/>
              </w:rPr>
              <w:t>(6)</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1,827,004</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2,133,203</w:t>
            </w:r>
          </w:p>
        </w:tc>
        <w:tc>
          <w:tcPr>
            <w:tcW w:w="9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2,254,712</w:t>
            </w: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5.7%</w:t>
            </w:r>
          </w:p>
        </w:tc>
        <w:tc>
          <w:tcPr>
            <w:tcW w:w="8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23.4%</w:t>
            </w:r>
          </w:p>
        </w:tc>
        <w:tc>
          <w:tcPr>
            <w:tcW w:w="0" w:type="dxa"/>
            <w:vAlign w:val="bottom"/>
          </w:tcPr>
          <w:p>
            <w:pPr>
              <w:spacing w:after="0"/>
              <w:rPr>
                <w:sz w:val="1"/>
                <w:szCs w:val="1"/>
                <w:color w:val="auto"/>
              </w:rPr>
            </w:pPr>
          </w:p>
        </w:tc>
      </w:tr>
      <w:tr>
        <w:trPr>
          <w:trHeight w:val="166"/>
        </w:trPr>
        <w:tc>
          <w:tcPr>
            <w:tcW w:w="51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Capital and reserves</w:t>
            </w:r>
          </w:p>
        </w:tc>
        <w:tc>
          <w:tcPr>
            <w:tcW w:w="1100" w:type="dxa"/>
            <w:vAlign w:val="bottom"/>
          </w:tcPr>
          <w:p>
            <w:pPr>
              <w:jc w:val="right"/>
              <w:ind w:right="19"/>
              <w:spacing w:after="0" w:line="166" w:lineRule="exact"/>
              <w:rPr>
                <w:sz w:val="20"/>
                <w:szCs w:val="20"/>
                <w:color w:val="auto"/>
              </w:rPr>
            </w:pPr>
            <w:r>
              <w:rPr>
                <w:rFonts w:ascii="Arial" w:cs="Arial" w:eastAsia="Arial" w:hAnsi="Arial"/>
                <w:sz w:val="16"/>
                <w:szCs w:val="16"/>
                <w:color w:val="auto"/>
              </w:rPr>
              <w:t>2,489,011</w:t>
            </w: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2,632,956</w:t>
            </w:r>
          </w:p>
        </w:tc>
        <w:tc>
          <w:tcPr>
            <w:tcW w:w="9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2,632,956</w:t>
            </w:r>
          </w:p>
        </w:tc>
        <w:tc>
          <w:tcPr>
            <w:tcW w:w="1160" w:type="dxa"/>
            <w:vAlign w:val="bottom"/>
          </w:tcPr>
          <w:p>
            <w:pPr>
              <w:jc w:val="right"/>
              <w:ind w:right="79"/>
              <w:spacing w:after="0" w:line="166" w:lineRule="exact"/>
              <w:rPr>
                <w:sz w:val="20"/>
                <w:szCs w:val="20"/>
                <w:color w:val="auto"/>
              </w:rPr>
            </w:pPr>
            <w:r>
              <w:rPr>
                <w:rFonts w:ascii="Arial" w:cs="Arial" w:eastAsia="Arial" w:hAnsi="Arial"/>
                <w:sz w:val="16"/>
                <w:szCs w:val="16"/>
                <w:color w:val="auto"/>
              </w:rPr>
              <w:t>0.0%</w:t>
            </w:r>
          </w:p>
        </w:tc>
        <w:tc>
          <w:tcPr>
            <w:tcW w:w="8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Retained earnings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(316,452)</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(160,683)</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(32,701)</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79.6%</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Unrealized gains (losses)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697</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(8,191)</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(13,045)</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59.3%</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Goodwill and intangibles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(321,948)</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(330,879)</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(332,498)</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0.5%</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Excess DT of 10% CET1 Basilea</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(24,304)</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b w:val="1"/>
                <w:bCs w:val="1"/>
                <w:color w:val="auto"/>
              </w:rPr>
              <w:t xml:space="preserve">Adjusted Risk-Weighted Assets </w:t>
            </w:r>
            <w:r>
              <w:rPr>
                <w:rFonts w:ascii="Arial" w:cs="Arial" w:eastAsia="Arial" w:hAnsi="Arial"/>
                <w:sz w:val="13"/>
                <w:szCs w:val="13"/>
                <w:color w:val="auto"/>
              </w:rPr>
              <w:t>-</w:t>
            </w:r>
            <w:r>
              <w:rPr>
                <w:rFonts w:ascii="Arial" w:cs="Arial" w:eastAsia="Arial" w:hAnsi="Arial"/>
                <w:sz w:val="13"/>
                <w:szCs w:val="13"/>
                <w:b w:val="1"/>
                <w:bCs w:val="1"/>
                <w:color w:val="auto"/>
              </w:rPr>
              <w:t xml:space="preserve"> Basel IFRS </w:t>
            </w:r>
            <w:r>
              <w:rPr>
                <w:rFonts w:ascii="Arial" w:cs="Arial" w:eastAsia="Arial" w:hAnsi="Arial"/>
                <w:sz w:val="21"/>
                <w:szCs w:val="21"/>
                <w:b w:val="1"/>
                <w:bCs w:val="1"/>
                <w:color w:val="auto"/>
                <w:vertAlign w:val="superscript"/>
              </w:rPr>
              <w:t>(7)</w:t>
            </w: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12,052,925</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14,022,901</w:t>
            </w:r>
          </w:p>
        </w:tc>
        <w:tc>
          <w:tcPr>
            <w:tcW w:w="9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14,787,085</w:t>
            </w: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5.4%</w:t>
            </w:r>
          </w:p>
        </w:tc>
        <w:tc>
          <w:tcPr>
            <w:tcW w:w="8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22.7%</w:t>
            </w:r>
          </w:p>
        </w:tc>
        <w:tc>
          <w:tcPr>
            <w:tcW w:w="0" w:type="dxa"/>
            <w:vAlign w:val="bottom"/>
          </w:tcPr>
          <w:p>
            <w:pPr>
              <w:spacing w:after="0"/>
              <w:rPr>
                <w:sz w:val="1"/>
                <w:szCs w:val="1"/>
                <w:color w:val="auto"/>
              </w:rPr>
            </w:pPr>
          </w:p>
        </w:tc>
      </w:tr>
      <w:tr>
        <w:trPr>
          <w:trHeight w:val="166"/>
        </w:trPr>
        <w:tc>
          <w:tcPr>
            <w:tcW w:w="51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Total risk-weighted assets</w:t>
            </w:r>
          </w:p>
        </w:tc>
        <w:tc>
          <w:tcPr>
            <w:tcW w:w="1100" w:type="dxa"/>
            <w:vAlign w:val="bottom"/>
          </w:tcPr>
          <w:p>
            <w:pPr>
              <w:jc w:val="right"/>
              <w:ind w:right="19"/>
              <w:spacing w:after="0" w:line="166" w:lineRule="exact"/>
              <w:rPr>
                <w:sz w:val="20"/>
                <w:szCs w:val="20"/>
                <w:color w:val="auto"/>
              </w:rPr>
            </w:pPr>
            <w:r>
              <w:rPr>
                <w:rFonts w:ascii="Arial" w:cs="Arial" w:eastAsia="Arial" w:hAnsi="Arial"/>
                <w:sz w:val="16"/>
                <w:szCs w:val="16"/>
                <w:color w:val="auto"/>
              </w:rPr>
              <w:t>12,703,309</w:t>
            </w:r>
          </w:p>
        </w:tc>
        <w:tc>
          <w:tcPr>
            <w:tcW w:w="1000" w:type="dxa"/>
            <w:vAlign w:val="bottom"/>
          </w:tcPr>
          <w:p>
            <w:pPr>
              <w:jc w:val="right"/>
              <w:ind w:right="19"/>
              <w:spacing w:after="0" w:line="166" w:lineRule="exact"/>
              <w:rPr>
                <w:sz w:val="20"/>
                <w:szCs w:val="20"/>
                <w:color w:val="auto"/>
              </w:rPr>
            </w:pPr>
            <w:r>
              <w:rPr>
                <w:rFonts w:ascii="Arial" w:cs="Arial" w:eastAsia="Arial" w:hAnsi="Arial"/>
                <w:sz w:val="16"/>
                <w:szCs w:val="16"/>
                <w:color w:val="auto"/>
              </w:rPr>
              <w:t>14,825,319</w:t>
            </w:r>
          </w:p>
        </w:tc>
        <w:tc>
          <w:tcPr>
            <w:tcW w:w="94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15,638,132</w:t>
            </w:r>
          </w:p>
        </w:tc>
        <w:tc>
          <w:tcPr>
            <w:tcW w:w="1160" w:type="dxa"/>
            <w:vAlign w:val="bottom"/>
          </w:tcPr>
          <w:p>
            <w:pPr>
              <w:jc w:val="right"/>
              <w:ind w:right="79"/>
              <w:spacing w:after="0" w:line="166" w:lineRule="exact"/>
              <w:rPr>
                <w:sz w:val="20"/>
                <w:szCs w:val="20"/>
                <w:color w:val="auto"/>
              </w:rPr>
            </w:pPr>
            <w:r>
              <w:rPr>
                <w:rFonts w:ascii="Arial" w:cs="Arial" w:eastAsia="Arial" w:hAnsi="Arial"/>
                <w:sz w:val="16"/>
                <w:szCs w:val="16"/>
                <w:color w:val="auto"/>
              </w:rPr>
              <w:t>5.5%</w:t>
            </w:r>
          </w:p>
        </w:tc>
        <w:tc>
          <w:tcPr>
            <w:tcW w:w="82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Intangible assets, excluding goodwill.</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836,447</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1,166,501</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1,199,443</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2.8%</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Deferred tax assets generated as a result of temporary</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232,440</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161,572</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175,275</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8.5%</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17"/>
        </w:trPr>
        <w:tc>
          <w:tcPr>
            <w:tcW w:w="5120" w:type="dxa"/>
            <w:vAlign w:val="bottom"/>
            <w:tcBorders>
              <w:left w:val="single" w:sz="8" w:color="auto"/>
              <w:right w:val="single" w:sz="8" w:color="auto"/>
            </w:tcBorders>
            <w:vMerge w:val="restart"/>
          </w:tcPr>
          <w:p>
            <w:pPr>
              <w:ind w:left="180"/>
              <w:spacing w:after="0" w:line="183" w:lineRule="exact"/>
              <w:rPr>
                <w:sz w:val="20"/>
                <w:szCs w:val="20"/>
                <w:color w:val="auto"/>
              </w:rPr>
            </w:pPr>
            <w:r>
              <w:rPr>
                <w:rFonts w:ascii="Arial" w:cs="Arial" w:eastAsia="Arial" w:hAnsi="Arial"/>
                <w:sz w:val="16"/>
                <w:szCs w:val="16"/>
                <w:color w:val="auto"/>
              </w:rPr>
              <w:t>differences in income tax, in excess of 10% of CET1</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12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IFRS Adjustments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269,854</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168,871</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151,442</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-10.3%</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for Market Risk difference (exchange risk) for temporary</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25,202</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33,640</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21,679</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-35.6%</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17"/>
        </w:trPr>
        <w:tc>
          <w:tcPr>
            <w:tcW w:w="5120" w:type="dxa"/>
            <w:vAlign w:val="bottom"/>
            <w:tcBorders>
              <w:left w:val="single" w:sz="8" w:color="auto"/>
              <w:right w:val="single" w:sz="8" w:color="auto"/>
            </w:tcBorders>
            <w:vMerge w:val="restart"/>
          </w:tcPr>
          <w:p>
            <w:pPr>
              <w:ind w:left="180"/>
              <w:spacing w:after="0" w:line="183" w:lineRule="exact"/>
              <w:rPr>
                <w:sz w:val="20"/>
                <w:szCs w:val="20"/>
                <w:color w:val="auto"/>
              </w:rPr>
            </w:pPr>
            <w:r>
              <w:rPr>
                <w:rFonts w:ascii="Arial" w:cs="Arial" w:eastAsia="Arial" w:hAnsi="Arial"/>
                <w:sz w:val="16"/>
                <w:szCs w:val="16"/>
                <w:color w:val="auto"/>
              </w:rPr>
              <w:t>difference</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12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assets that exceed 10% of CET1 SBS</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352,031</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difference between excees SBS and Basel methodology</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(10,598)</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 RWA adjustment for state coverage, originated by temporary</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7"/>
        </w:trPr>
        <w:tc>
          <w:tcPr>
            <w:tcW w:w="5120" w:type="dxa"/>
            <w:vAlign w:val="bottom"/>
            <w:tcBorders>
              <w:left w:val="single" w:sz="8" w:color="auto"/>
              <w:right w:val="single" w:sz="8" w:color="auto"/>
            </w:tcBorders>
            <w:vMerge w:val="restart"/>
          </w:tcPr>
          <w:p>
            <w:pPr>
              <w:ind w:left="180"/>
              <w:spacing w:after="0" w:line="183" w:lineRule="exact"/>
              <w:rPr>
                <w:sz w:val="20"/>
                <w:szCs w:val="20"/>
                <w:color w:val="auto"/>
              </w:rPr>
            </w:pPr>
            <w:r>
              <w:rPr>
                <w:rFonts w:ascii="Arial" w:cs="Arial" w:eastAsia="Arial" w:hAnsi="Arial"/>
                <w:sz w:val="16"/>
                <w:szCs w:val="16"/>
                <w:color w:val="auto"/>
              </w:rPr>
              <w:t>difference</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12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 RWA Deferred tax assets generated as a result of past losses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Capital ratios</w:t>
            </w: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2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2"/>
                <w:szCs w:val="12"/>
                <w:color w:val="auto"/>
              </w:rPr>
              <w:t xml:space="preserve">Regulatory Tier 1 ratio </w:t>
            </w:r>
            <w:r>
              <w:rPr>
                <w:rFonts w:ascii="Arial" w:cs="Arial" w:eastAsia="Arial" w:hAnsi="Arial"/>
                <w:sz w:val="18"/>
                <w:szCs w:val="18"/>
                <w:color w:val="auto"/>
                <w:vertAlign w:val="superscript"/>
              </w:rPr>
              <w:t>(8)</w:t>
            </w: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14.69%</w:t>
            </w:r>
          </w:p>
        </w:tc>
        <w:tc>
          <w:tcPr>
            <w:tcW w:w="1000" w:type="dxa"/>
            <w:vAlign w:val="bottom"/>
          </w:tcPr>
          <w:p>
            <w:pPr>
              <w:jc w:val="right"/>
              <w:ind w:right="19"/>
              <w:spacing w:after="0" w:line="158" w:lineRule="exact"/>
              <w:rPr>
                <w:sz w:val="20"/>
                <w:szCs w:val="20"/>
                <w:color w:val="auto"/>
              </w:rPr>
            </w:pPr>
            <w:r>
              <w:rPr>
                <w:rFonts w:ascii="Arial" w:cs="Arial" w:eastAsia="Arial" w:hAnsi="Arial"/>
                <w:sz w:val="16"/>
                <w:szCs w:val="16"/>
                <w:color w:val="auto"/>
              </w:rPr>
              <w:t>13.24%</w:t>
            </w:r>
          </w:p>
        </w:tc>
        <w:tc>
          <w:tcPr>
            <w:tcW w:w="94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12.55%</w:t>
            </w:r>
          </w:p>
        </w:tc>
        <w:tc>
          <w:tcPr>
            <w:tcW w:w="1160" w:type="dxa"/>
            <w:vAlign w:val="bottom"/>
          </w:tcPr>
          <w:p>
            <w:pPr>
              <w:jc w:val="right"/>
              <w:ind w:right="79"/>
              <w:spacing w:after="0" w:line="158" w:lineRule="exact"/>
              <w:rPr>
                <w:sz w:val="20"/>
                <w:szCs w:val="20"/>
                <w:color w:val="auto"/>
              </w:rPr>
            </w:pPr>
            <w:r>
              <w:rPr>
                <w:rFonts w:ascii="Arial" w:cs="Arial" w:eastAsia="Arial" w:hAnsi="Arial"/>
                <w:sz w:val="16"/>
                <w:szCs w:val="16"/>
                <w:color w:val="auto"/>
              </w:rPr>
              <w:t>-69 bps</w:t>
            </w:r>
          </w:p>
        </w:tc>
        <w:tc>
          <w:tcPr>
            <w:tcW w:w="8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6"/>
                <w:szCs w:val="16"/>
                <w:color w:val="auto"/>
              </w:rPr>
              <w:t>-214 bps</w:t>
            </w:r>
          </w:p>
        </w:tc>
        <w:tc>
          <w:tcPr>
            <w:tcW w:w="0" w:type="dxa"/>
            <w:vAlign w:val="bottom"/>
          </w:tcPr>
          <w:p>
            <w:pPr>
              <w:spacing w:after="0"/>
              <w:rPr>
                <w:sz w:val="1"/>
                <w:szCs w:val="1"/>
                <w:color w:val="auto"/>
              </w:rPr>
            </w:pPr>
          </w:p>
        </w:tc>
      </w:tr>
      <w:tr>
        <w:trPr>
          <w:trHeight w:val="183"/>
        </w:trPr>
        <w:tc>
          <w:tcPr>
            <w:tcW w:w="51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(9)(11)</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15.16%</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15.21%</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15.25%</w:t>
            </w:r>
          </w:p>
        </w:tc>
        <w:tc>
          <w:tcPr>
            <w:tcW w:w="11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 bps</w:t>
            </w:r>
          </w:p>
        </w:tc>
        <w:tc>
          <w:tcPr>
            <w:tcW w:w="8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 bps</w:t>
            </w:r>
          </w:p>
        </w:tc>
        <w:tc>
          <w:tcPr>
            <w:tcW w:w="0" w:type="dxa"/>
            <w:vAlign w:val="bottom"/>
          </w:tcPr>
          <w:p>
            <w:pPr>
              <w:spacing w:after="0"/>
              <w:rPr>
                <w:sz w:val="1"/>
                <w:szCs w:val="1"/>
                <w:color w:val="auto"/>
              </w:rPr>
            </w:pPr>
          </w:p>
        </w:tc>
      </w:tr>
      <w:tr>
        <w:trPr>
          <w:trHeight w:val="191"/>
        </w:trPr>
        <w:tc>
          <w:tcPr>
            <w:tcW w:w="512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Regulatory Global Capital ratio </w:t>
            </w:r>
            <w:r>
              <w:rPr>
                <w:rFonts w:ascii="Arial" w:cs="Arial" w:eastAsia="Arial" w:hAnsi="Arial"/>
                <w:sz w:val="22"/>
                <w:szCs w:val="22"/>
                <w:color w:val="auto"/>
                <w:vertAlign w:val="superscript"/>
              </w:rPr>
              <w:t>(10)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-80 bps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-244 bps</w:t>
            </w:r>
          </w:p>
        </w:tc>
        <w:tc>
          <w:tcPr>
            <w:tcW w:w="0" w:type="dxa"/>
            <w:vAlign w:val="bottom"/>
          </w:tcPr>
          <w:p>
            <w:pPr>
              <w:spacing w:after="0"/>
              <w:rPr>
                <w:sz w:val="1"/>
                <w:szCs w:val="1"/>
                <w:color w:val="auto"/>
              </w:rPr>
            </w:pPr>
          </w:p>
        </w:tc>
      </w:tr>
      <w:tr>
        <w:trPr>
          <w:trHeight w:val="204"/>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Risk-weighted assets / Regulatory capital</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60" w:hanging="143"/>
        <w:spacing w:after="0"/>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Up to 1.25% of total risk-weighted assets.</w:t>
      </w:r>
    </w:p>
    <w:p>
      <w:pPr>
        <w:spacing w:after="0" w:line="7" w:lineRule="exact"/>
        <w:rPr>
          <w:rFonts w:ascii="Times New Roman" w:cs="Times New Roman" w:eastAsia="Times New Roman" w:hAnsi="Times New Roman"/>
          <w:sz w:val="11"/>
          <w:szCs w:val="11"/>
          <w:color w:val="auto"/>
        </w:rPr>
      </w:pPr>
    </w:p>
    <w:p>
      <w:pPr>
        <w:ind w:left="20" w:right="120" w:hanging="3"/>
        <w:spacing w:after="0" w:line="231" w:lineRule="auto"/>
        <w:tabs>
          <w:tab w:leader="none" w:pos="169"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Regulatory Tier 2 Capital = Subordinated debt + Loan loss reserves + Unrestricted Reserves + (0.5 x Unrealized profit and net income in subsidiaries) - (0.5 x Investment in subsidiaries).</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July 2012, Total Risk-weighted assets = Credit risk-weighted assets * 1.00 + Capital requirement to cover market risk * 10 + Capital requirement to cover operational risk * 10 * 1.00 (since July 2014)</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It includes capital requirement to cover price and rate risk.</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I = Capital + Reserves – 100% of applicable deductions (investment in subsidiaries, goodwill, intangibles and net deferred taxes that rely on future profitability) + retained earnings + unrealized gains.</w:t>
      </w:r>
    </w:p>
    <w:p>
      <w:pPr>
        <w:ind w:left="20" w:right="100" w:hanging="3"/>
        <w:spacing w:after="0" w:line="231" w:lineRule="auto"/>
        <w:tabs>
          <w:tab w:leader="none" w:pos="169"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Regulatory Tier 1 Capital / Total Risk-weighted assets</w:t>
      </w:r>
    </w:p>
    <w:p>
      <w:pPr>
        <w:ind w:left="160" w:hanging="143"/>
        <w:spacing w:after="0" w:line="231" w:lineRule="auto"/>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I / Adjusted Risk-Weighted Assets Risk-Weighted Assets</w:t>
      </w:r>
    </w:p>
    <w:p>
      <w:pPr>
        <w:ind w:left="220" w:hanging="203"/>
        <w:spacing w:after="0" w:line="231" w:lineRule="auto"/>
        <w:tabs>
          <w:tab w:leader="none" w:pos="22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Regulatory Capital / Total Risk-weighted assets (legal minimum = 10% since July 2011)</w:t>
      </w:r>
    </w:p>
    <w:p>
      <w:pPr>
        <w:ind w:left="220" w:hanging="203"/>
        <w:spacing w:after="0"/>
        <w:tabs>
          <w:tab w:leader="none" w:pos="22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Equity Tier I calculated based on IFRS Accounting</w:t>
      </w:r>
    </w:p>
    <w:p>
      <w:pPr>
        <w:spacing w:after="0" w:line="33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54" w:name="page55"/>
    <w:bookmarkEnd w:id="54"/>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 Financial Statements and Ratios by Business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12.5.1. Credicorp Consolidated</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S/ thousands, IFRS)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220" w:type="dxa"/>
            <w:vAlign w:val="bottom"/>
            <w:tcBorders>
              <w:right w:val="single" w:sz="8" w:color="auto"/>
            </w:tcBorders>
          </w:tcPr>
          <w:p>
            <w:pPr>
              <w:spacing w:after="0"/>
              <w:rPr>
                <w:sz w:val="16"/>
                <w:szCs w:val="16"/>
                <w:color w:val="auto"/>
              </w:rPr>
            </w:pPr>
          </w:p>
        </w:tc>
        <w:tc>
          <w:tcPr>
            <w:tcW w:w="1040" w:type="dxa"/>
            <w:vAlign w:val="bottom"/>
            <w:tcBorders>
              <w:top w:val="single" w:sz="8" w:color="auto"/>
            </w:tcBorders>
            <w:shd w:val="clear" w:color="auto" w:fill="2AD2C9"/>
          </w:tcPr>
          <w:p>
            <w:pPr>
              <w:spacing w:after="0"/>
              <w:rPr>
                <w:sz w:val="16"/>
                <w:szCs w:val="16"/>
                <w:color w:val="auto"/>
              </w:rPr>
            </w:pPr>
          </w:p>
        </w:tc>
        <w:tc>
          <w:tcPr>
            <w:tcW w:w="1020" w:type="dxa"/>
            <w:vAlign w:val="bottom"/>
            <w:tcBorders>
              <w:top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As of</w:t>
            </w:r>
          </w:p>
        </w:tc>
        <w:tc>
          <w:tcPr>
            <w:tcW w:w="960" w:type="dxa"/>
            <w:vAlign w:val="bottom"/>
            <w:tcBorders>
              <w:top w:val="single" w:sz="8" w:color="auto"/>
              <w:right w:val="single" w:sz="8" w:color="auto"/>
            </w:tcBorders>
            <w:shd w:val="clear" w:color="auto" w:fill="2AD2C9"/>
          </w:tcPr>
          <w:p>
            <w:pPr>
              <w:spacing w:after="0"/>
              <w:rPr>
                <w:sz w:val="16"/>
                <w:szCs w:val="16"/>
                <w:color w:val="auto"/>
              </w:rPr>
            </w:pPr>
          </w:p>
        </w:tc>
        <w:tc>
          <w:tcPr>
            <w:tcW w:w="140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 change</w:t>
            </w:r>
          </w:p>
        </w:tc>
        <w:tc>
          <w:tcPr>
            <w:tcW w:w="640" w:type="dxa"/>
            <w:vAlign w:val="bottom"/>
            <w:tcBorders>
              <w:top w:val="single" w:sz="8" w:color="auto"/>
              <w:right w:val="single" w:sz="8" w:color="auto"/>
            </w:tcBorders>
            <w:shd w:val="clear" w:color="auto" w:fill="2AD2C9"/>
          </w:tcPr>
          <w:p>
            <w:pPr>
              <w:spacing w:after="0"/>
              <w:rPr>
                <w:sz w:val="16"/>
                <w:szCs w:val="16"/>
                <w:color w:val="auto"/>
              </w:rPr>
            </w:pPr>
          </w:p>
        </w:tc>
      </w:tr>
      <w:tr>
        <w:trPr>
          <w:trHeight w:val="204"/>
        </w:trPr>
        <w:tc>
          <w:tcPr>
            <w:tcW w:w="622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Jun 21</w:t>
            </w:r>
          </w:p>
        </w:tc>
        <w:tc>
          <w:tcPr>
            <w:tcW w:w="1020" w:type="dxa"/>
            <w:vAlign w:val="bottom"/>
            <w:tcBorders>
              <w:bottom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Mar 22</w:t>
            </w:r>
          </w:p>
        </w:tc>
        <w:tc>
          <w:tcPr>
            <w:tcW w:w="96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Jun 22</w:t>
            </w:r>
          </w:p>
        </w:tc>
        <w:tc>
          <w:tcPr>
            <w:tcW w:w="1400" w:type="dxa"/>
            <w:vAlign w:val="bottom"/>
            <w:tcBorders>
              <w:bottom w:val="single" w:sz="8" w:color="auto"/>
            </w:tcBorders>
            <w:shd w:val="clear" w:color="auto" w:fill="2AD2C9"/>
          </w:tcPr>
          <w:p>
            <w:pPr>
              <w:jc w:val="right"/>
              <w:ind w:right="319"/>
              <w:spacing w:after="0"/>
              <w:rPr>
                <w:sz w:val="20"/>
                <w:szCs w:val="20"/>
                <w:color w:val="auto"/>
              </w:rPr>
            </w:pPr>
            <w:r>
              <w:rPr>
                <w:rFonts w:ascii="Arial" w:cs="Arial" w:eastAsia="Arial" w:hAnsi="Arial"/>
                <w:sz w:val="16"/>
                <w:szCs w:val="16"/>
                <w:b w:val="1"/>
                <w:bCs w:val="1"/>
                <w:color w:val="FFFFFF"/>
              </w:rPr>
              <w:t>QoQ</w:t>
            </w:r>
          </w:p>
        </w:tc>
        <w:tc>
          <w:tcPr>
            <w:tcW w:w="64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YoY</w:t>
            </w:r>
          </w:p>
        </w:tc>
      </w:tr>
      <w:tr>
        <w:trPr>
          <w:trHeight w:val="166"/>
        </w:trPr>
        <w:tc>
          <w:tcPr>
            <w:tcW w:w="622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ASSETS</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Cash and due from banks</w:t>
            </w: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Non-interest bearing</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8,883,164</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6,748,517</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7,017,129</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-21.0%</w:t>
            </w:r>
          </w:p>
        </w:tc>
      </w:tr>
      <w:tr>
        <w:trPr>
          <w:trHeight w:val="215"/>
        </w:trPr>
        <w:tc>
          <w:tcPr>
            <w:tcW w:w="6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Interest bearing</w:t>
            </w:r>
          </w:p>
        </w:tc>
        <w:tc>
          <w:tcPr>
            <w:tcW w:w="1040" w:type="dxa"/>
            <w:vAlign w:val="bottom"/>
          </w:tcPr>
          <w:p>
            <w:pPr>
              <w:jc w:val="right"/>
              <w:spacing w:after="0"/>
              <w:rPr>
                <w:sz w:val="20"/>
                <w:szCs w:val="20"/>
                <w:color w:val="auto"/>
              </w:rPr>
            </w:pPr>
            <w:r>
              <w:rPr>
                <w:rFonts w:ascii="Arial" w:cs="Arial" w:eastAsia="Arial" w:hAnsi="Arial"/>
                <w:sz w:val="16"/>
                <w:szCs w:val="16"/>
                <w:color w:val="auto"/>
              </w:rPr>
              <w:t>29,075,474</w:t>
            </w:r>
          </w:p>
        </w:tc>
        <w:tc>
          <w:tcPr>
            <w:tcW w:w="1020" w:type="dxa"/>
            <w:vAlign w:val="bottom"/>
          </w:tcPr>
          <w:p>
            <w:pPr>
              <w:jc w:val="right"/>
              <w:spacing w:after="0"/>
              <w:rPr>
                <w:sz w:val="20"/>
                <w:szCs w:val="20"/>
                <w:color w:val="auto"/>
              </w:rPr>
            </w:pPr>
            <w:r>
              <w:rPr>
                <w:rFonts w:ascii="Arial" w:cs="Arial" w:eastAsia="Arial" w:hAnsi="Arial"/>
                <w:sz w:val="16"/>
                <w:szCs w:val="16"/>
                <w:color w:val="auto"/>
              </w:rPr>
              <w:t>29,563,512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23,831,465</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-19.4%</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361"/>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cash and due from banks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37,958,638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36,312,029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30,848,594</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-15.0%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r>
      <w:tr>
        <w:trPr>
          <w:trHeight w:val="34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1040" w:type="dxa"/>
            <w:vAlign w:val="bottom"/>
          </w:tcPr>
          <w:p>
            <w:pPr>
              <w:jc w:val="right"/>
              <w:spacing w:after="0"/>
              <w:rPr>
                <w:sz w:val="20"/>
                <w:szCs w:val="20"/>
                <w:color w:val="auto"/>
              </w:rPr>
            </w:pPr>
            <w:r>
              <w:rPr>
                <w:rFonts w:ascii="Arial" w:cs="Arial" w:eastAsia="Arial" w:hAnsi="Arial"/>
                <w:sz w:val="16"/>
                <w:szCs w:val="16"/>
                <w:color w:val="auto"/>
              </w:rPr>
              <w:t>1,616,654</w:t>
            </w:r>
          </w:p>
        </w:tc>
        <w:tc>
          <w:tcPr>
            <w:tcW w:w="1020" w:type="dxa"/>
            <w:vAlign w:val="bottom"/>
          </w:tcPr>
          <w:p>
            <w:pPr>
              <w:jc w:val="right"/>
              <w:spacing w:after="0"/>
              <w:rPr>
                <w:sz w:val="20"/>
                <w:szCs w:val="20"/>
                <w:color w:val="auto"/>
              </w:rPr>
            </w:pPr>
            <w:r>
              <w:rPr>
                <w:rFonts w:ascii="Arial" w:cs="Arial" w:eastAsia="Arial" w:hAnsi="Arial"/>
                <w:sz w:val="16"/>
                <w:szCs w:val="16"/>
                <w:color w:val="auto"/>
              </w:rPr>
              <w:t>1,516,855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2,046,209</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34.9%</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32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Fair value through profit or loss investments</w:t>
            </w:r>
          </w:p>
        </w:tc>
        <w:tc>
          <w:tcPr>
            <w:tcW w:w="1040" w:type="dxa"/>
            <w:vAlign w:val="bottom"/>
          </w:tcPr>
          <w:p>
            <w:pPr>
              <w:jc w:val="right"/>
              <w:spacing w:after="0"/>
              <w:rPr>
                <w:sz w:val="20"/>
                <w:szCs w:val="20"/>
                <w:color w:val="auto"/>
              </w:rPr>
            </w:pPr>
            <w:r>
              <w:rPr>
                <w:rFonts w:ascii="Arial" w:cs="Arial" w:eastAsia="Arial" w:hAnsi="Arial"/>
                <w:sz w:val="16"/>
                <w:szCs w:val="16"/>
                <w:color w:val="auto"/>
              </w:rPr>
              <w:t>6,791,288</w:t>
            </w:r>
          </w:p>
        </w:tc>
        <w:tc>
          <w:tcPr>
            <w:tcW w:w="1020" w:type="dxa"/>
            <w:vAlign w:val="bottom"/>
          </w:tcPr>
          <w:p>
            <w:pPr>
              <w:jc w:val="right"/>
              <w:spacing w:after="0"/>
              <w:rPr>
                <w:sz w:val="20"/>
                <w:szCs w:val="20"/>
                <w:color w:val="auto"/>
              </w:rPr>
            </w:pPr>
            <w:r>
              <w:rPr>
                <w:rFonts w:ascii="Arial" w:cs="Arial" w:eastAsia="Arial" w:hAnsi="Arial"/>
                <w:sz w:val="16"/>
                <w:szCs w:val="16"/>
                <w:color w:val="auto"/>
              </w:rPr>
              <w:t>4,628,870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4,187,000</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-9.6%</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Fair value through other comprehensive income investments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40,273,400</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35,452,509</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32,955,721</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-7.0%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-18.2%</w:t>
            </w:r>
          </w:p>
        </w:tc>
      </w:tr>
      <w:tr>
        <w:trPr>
          <w:trHeight w:val="21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Amortized cost investments</w:t>
            </w:r>
          </w:p>
        </w:tc>
        <w:tc>
          <w:tcPr>
            <w:tcW w:w="1040" w:type="dxa"/>
            <w:vAlign w:val="bottom"/>
          </w:tcPr>
          <w:p>
            <w:pPr>
              <w:jc w:val="right"/>
              <w:spacing w:after="0"/>
              <w:rPr>
                <w:sz w:val="20"/>
                <w:szCs w:val="20"/>
                <w:color w:val="auto"/>
              </w:rPr>
            </w:pPr>
            <w:r>
              <w:rPr>
                <w:rFonts w:ascii="Arial" w:cs="Arial" w:eastAsia="Arial" w:hAnsi="Arial"/>
                <w:sz w:val="16"/>
                <w:szCs w:val="16"/>
                <w:color w:val="auto"/>
              </w:rPr>
              <w:t>7,707,956</w:t>
            </w:r>
          </w:p>
        </w:tc>
        <w:tc>
          <w:tcPr>
            <w:tcW w:w="1020" w:type="dxa"/>
            <w:vAlign w:val="bottom"/>
          </w:tcPr>
          <w:p>
            <w:pPr>
              <w:jc w:val="right"/>
              <w:spacing w:after="0"/>
              <w:rPr>
                <w:sz w:val="20"/>
                <w:szCs w:val="20"/>
                <w:color w:val="auto"/>
              </w:rPr>
            </w:pPr>
            <w:r>
              <w:rPr>
                <w:rFonts w:ascii="Arial" w:cs="Arial" w:eastAsia="Arial" w:hAnsi="Arial"/>
                <w:sz w:val="16"/>
                <w:szCs w:val="16"/>
                <w:color w:val="auto"/>
              </w:rPr>
              <w:t>8,064,050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8,200,054</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1.7%</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32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1040" w:type="dxa"/>
            <w:vAlign w:val="bottom"/>
          </w:tcPr>
          <w:p>
            <w:pPr>
              <w:jc w:val="right"/>
              <w:spacing w:after="0"/>
              <w:rPr>
                <w:sz w:val="20"/>
                <w:szCs w:val="20"/>
                <w:color w:val="auto"/>
              </w:rPr>
            </w:pPr>
            <w:r>
              <w:rPr>
                <w:rFonts w:ascii="Arial" w:cs="Arial" w:eastAsia="Arial" w:hAnsi="Arial"/>
                <w:sz w:val="16"/>
                <w:szCs w:val="16"/>
                <w:color w:val="auto"/>
              </w:rPr>
              <w:t>143,091,752</w:t>
            </w:r>
          </w:p>
        </w:tc>
        <w:tc>
          <w:tcPr>
            <w:tcW w:w="1020" w:type="dxa"/>
            <w:vAlign w:val="bottom"/>
          </w:tcPr>
          <w:p>
            <w:pPr>
              <w:jc w:val="right"/>
              <w:spacing w:after="0"/>
              <w:rPr>
                <w:sz w:val="20"/>
                <w:szCs w:val="20"/>
                <w:color w:val="auto"/>
              </w:rPr>
            </w:pPr>
            <w:r>
              <w:rPr>
                <w:rFonts w:ascii="Arial" w:cs="Arial" w:eastAsia="Arial" w:hAnsi="Arial"/>
                <w:sz w:val="16"/>
                <w:szCs w:val="16"/>
                <w:color w:val="auto"/>
              </w:rPr>
              <w:t>144,621,513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150,370,184</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4.0%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Current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138,037,399</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138,748,514</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144,264,928</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4.5%</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Internal overdue loans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5,054,353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5,872,999</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6,105,256</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20.8%</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Less - allowance for loan losses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(9,391,151)</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(8,262,383)</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(8,306,500)</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0.5%</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-11.5%</w:t>
            </w:r>
          </w:p>
        </w:tc>
      </w:tr>
      <w:tr>
        <w:trPr>
          <w:trHeight w:val="21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Loans, net</w:t>
            </w:r>
          </w:p>
        </w:tc>
        <w:tc>
          <w:tcPr>
            <w:tcW w:w="1040" w:type="dxa"/>
            <w:vAlign w:val="bottom"/>
          </w:tcPr>
          <w:p>
            <w:pPr>
              <w:jc w:val="right"/>
              <w:spacing w:after="0"/>
              <w:rPr>
                <w:sz w:val="20"/>
                <w:szCs w:val="20"/>
                <w:color w:val="auto"/>
              </w:rPr>
            </w:pPr>
            <w:r>
              <w:rPr>
                <w:rFonts w:ascii="Arial" w:cs="Arial" w:eastAsia="Arial" w:hAnsi="Arial"/>
                <w:sz w:val="16"/>
                <w:szCs w:val="16"/>
                <w:color w:val="auto"/>
              </w:rPr>
              <w:t>133,700,601</w:t>
            </w:r>
          </w:p>
        </w:tc>
        <w:tc>
          <w:tcPr>
            <w:tcW w:w="1020" w:type="dxa"/>
            <w:vAlign w:val="bottom"/>
          </w:tcPr>
          <w:p>
            <w:pPr>
              <w:jc w:val="right"/>
              <w:spacing w:after="0"/>
              <w:rPr>
                <w:sz w:val="20"/>
                <w:szCs w:val="20"/>
                <w:color w:val="auto"/>
              </w:rPr>
            </w:pPr>
            <w:r>
              <w:rPr>
                <w:rFonts w:ascii="Arial" w:cs="Arial" w:eastAsia="Arial" w:hAnsi="Arial"/>
                <w:sz w:val="16"/>
                <w:szCs w:val="16"/>
                <w:color w:val="auto"/>
              </w:rPr>
              <w:t>136,359,130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142,063,684</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4.2%</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32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Financial assets designated at fair value through profit or loss</w:t>
            </w:r>
          </w:p>
        </w:tc>
        <w:tc>
          <w:tcPr>
            <w:tcW w:w="1040" w:type="dxa"/>
            <w:vAlign w:val="bottom"/>
          </w:tcPr>
          <w:p>
            <w:pPr>
              <w:jc w:val="right"/>
              <w:spacing w:after="0"/>
              <w:rPr>
                <w:sz w:val="20"/>
                <w:szCs w:val="20"/>
                <w:color w:val="auto"/>
              </w:rPr>
            </w:pPr>
            <w:r>
              <w:rPr>
                <w:rFonts w:ascii="Arial" w:cs="Arial" w:eastAsia="Arial" w:hAnsi="Arial"/>
                <w:sz w:val="16"/>
                <w:szCs w:val="16"/>
                <w:color w:val="auto"/>
              </w:rPr>
              <w:t>921,851</w:t>
            </w:r>
          </w:p>
        </w:tc>
        <w:tc>
          <w:tcPr>
            <w:tcW w:w="1020" w:type="dxa"/>
            <w:vAlign w:val="bottom"/>
          </w:tcPr>
          <w:p>
            <w:pPr>
              <w:jc w:val="right"/>
              <w:spacing w:after="0"/>
              <w:rPr>
                <w:sz w:val="20"/>
                <w:szCs w:val="20"/>
                <w:color w:val="auto"/>
              </w:rPr>
            </w:pPr>
            <w:r>
              <w:rPr>
                <w:rFonts w:ascii="Arial" w:cs="Arial" w:eastAsia="Arial" w:hAnsi="Arial"/>
                <w:sz w:val="16"/>
                <w:szCs w:val="16"/>
                <w:color w:val="auto"/>
              </w:rPr>
              <w:t>856,337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765,195</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-10.6%</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Accounts receivable from reinsurers and coinsurers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1,043,042</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1,166,096</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1,105,527</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-5.2%</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6.0%</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Premiums and other policyholder receivables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780,824</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873,505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816,076</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-6.6%</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4.5%</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Property, plant and equipment, net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1,944,127</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1,864,825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1,837,436</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-1.5%</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-5.5%</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Due from customers on acceptances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558,934</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524,448</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743,925</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41.8%</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33.1%</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Investments in associates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627,683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629,009</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636,217</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1.1%</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w:t>
            </w:r>
          </w:p>
        </w:tc>
      </w:tr>
      <w:tr>
        <w:trPr>
          <w:trHeight w:val="175"/>
        </w:trPr>
        <w:tc>
          <w:tcPr>
            <w:tcW w:w="622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Intangible assets and goodwill, net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2,647,676</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2,703,238</w:t>
            </w:r>
          </w:p>
        </w:tc>
        <w:tc>
          <w:tcPr>
            <w:tcW w:w="9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2,729,593</w:t>
            </w:r>
          </w:p>
        </w:tc>
        <w:tc>
          <w:tcPr>
            <w:tcW w:w="1400" w:type="dxa"/>
            <w:vAlign w:val="bottom"/>
          </w:tcPr>
          <w:p>
            <w:pPr>
              <w:jc w:val="right"/>
              <w:ind w:right="319"/>
              <w:spacing w:after="0" w:line="175" w:lineRule="exact"/>
              <w:rPr>
                <w:sz w:val="20"/>
                <w:szCs w:val="20"/>
                <w:color w:val="auto"/>
              </w:rPr>
            </w:pPr>
            <w:r>
              <w:rPr>
                <w:rFonts w:ascii="Arial" w:cs="Arial" w:eastAsia="Arial" w:hAnsi="Arial"/>
                <w:sz w:val="16"/>
                <w:szCs w:val="16"/>
                <w:color w:val="auto"/>
              </w:rPr>
              <w:t>1.0%</w:t>
            </w:r>
          </w:p>
        </w:tc>
        <w:tc>
          <w:tcPr>
            <w:tcW w:w="6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3.1%</w:t>
            </w:r>
          </w:p>
        </w:tc>
      </w:tr>
      <w:tr>
        <w:trPr>
          <w:trHeight w:val="360"/>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7"/>
                <w:szCs w:val="27"/>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8,455,556</w:t>
            </w:r>
          </w:p>
        </w:tc>
        <w:tc>
          <w:tcPr>
            <w:tcW w:w="1020" w:type="dxa"/>
            <w:vAlign w:val="bottom"/>
          </w:tcPr>
          <w:p>
            <w:pPr>
              <w:jc w:val="right"/>
              <w:spacing w:after="0"/>
              <w:rPr>
                <w:sz w:val="20"/>
                <w:szCs w:val="20"/>
                <w:color w:val="auto"/>
              </w:rPr>
            </w:pPr>
            <w:r>
              <w:rPr>
                <w:rFonts w:ascii="Arial" w:cs="Arial" w:eastAsia="Arial" w:hAnsi="Arial"/>
                <w:sz w:val="16"/>
                <w:szCs w:val="16"/>
                <w:color w:val="auto"/>
              </w:rPr>
              <w:t>6,949,490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7,645,232</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10.0%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24"/>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Assets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245,028,230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237,900,391</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236,580,463</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-0.6%</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r>
      <w:tr>
        <w:trPr>
          <w:trHeight w:val="31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Deposits and obligations</w:t>
            </w: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Non-interest bearing</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52,879,988</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50,939,859</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46,043,988</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-9.6%</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-12.9%</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Interest bearing</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96,281,815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96,976,105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101,396,587</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4.6%</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r>
      <w:tr>
        <w:trPr>
          <w:trHeight w:val="215"/>
        </w:trPr>
        <w:tc>
          <w:tcPr>
            <w:tcW w:w="6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Total deposits and obligations</w:t>
            </w:r>
          </w:p>
        </w:tc>
        <w:tc>
          <w:tcPr>
            <w:tcW w:w="1040" w:type="dxa"/>
            <w:vAlign w:val="bottom"/>
          </w:tcPr>
          <w:p>
            <w:pPr>
              <w:jc w:val="right"/>
              <w:spacing w:after="0"/>
              <w:rPr>
                <w:sz w:val="20"/>
                <w:szCs w:val="20"/>
                <w:color w:val="auto"/>
              </w:rPr>
            </w:pPr>
            <w:r>
              <w:rPr>
                <w:rFonts w:ascii="Arial" w:cs="Arial" w:eastAsia="Arial" w:hAnsi="Arial"/>
                <w:sz w:val="16"/>
                <w:szCs w:val="16"/>
                <w:color w:val="auto"/>
              </w:rPr>
              <w:t>149,161,803</w:t>
            </w:r>
          </w:p>
        </w:tc>
        <w:tc>
          <w:tcPr>
            <w:tcW w:w="1020" w:type="dxa"/>
            <w:vAlign w:val="bottom"/>
          </w:tcPr>
          <w:p>
            <w:pPr>
              <w:jc w:val="right"/>
              <w:spacing w:after="0"/>
              <w:rPr>
                <w:sz w:val="20"/>
                <w:szCs w:val="20"/>
                <w:color w:val="auto"/>
              </w:rPr>
            </w:pPr>
            <w:r>
              <w:rPr>
                <w:rFonts w:ascii="Arial" w:cs="Arial" w:eastAsia="Arial" w:hAnsi="Arial"/>
                <w:sz w:val="16"/>
                <w:szCs w:val="16"/>
                <w:color w:val="auto"/>
              </w:rPr>
              <w:t>147,915,964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147,440,575</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-0.3%</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2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Payables from repurchase agreements and securities lending</w:t>
            </w:r>
          </w:p>
        </w:tc>
        <w:tc>
          <w:tcPr>
            <w:tcW w:w="1040" w:type="dxa"/>
            <w:vAlign w:val="bottom"/>
          </w:tcPr>
          <w:p>
            <w:pPr>
              <w:jc w:val="right"/>
              <w:spacing w:after="0"/>
              <w:rPr>
                <w:sz w:val="20"/>
                <w:szCs w:val="20"/>
                <w:color w:val="auto"/>
              </w:rPr>
            </w:pPr>
            <w:r>
              <w:rPr>
                <w:rFonts w:ascii="Arial" w:cs="Arial" w:eastAsia="Arial" w:hAnsi="Arial"/>
                <w:sz w:val="16"/>
                <w:szCs w:val="16"/>
                <w:color w:val="auto"/>
              </w:rPr>
              <w:t>25,963,227</w:t>
            </w:r>
          </w:p>
        </w:tc>
        <w:tc>
          <w:tcPr>
            <w:tcW w:w="1020" w:type="dxa"/>
            <w:vAlign w:val="bottom"/>
          </w:tcPr>
          <w:p>
            <w:pPr>
              <w:jc w:val="right"/>
              <w:spacing w:after="0"/>
              <w:rPr>
                <w:sz w:val="20"/>
                <w:szCs w:val="20"/>
                <w:color w:val="auto"/>
              </w:rPr>
            </w:pPr>
            <w:r>
              <w:rPr>
                <w:rFonts w:ascii="Arial" w:cs="Arial" w:eastAsia="Arial" w:hAnsi="Arial"/>
                <w:sz w:val="16"/>
                <w:szCs w:val="16"/>
                <w:color w:val="auto"/>
              </w:rPr>
              <w:t>19,388,995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18,138,863</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-6.4%</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BCRP instruments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23,329,990</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17,532,350</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16,031,618</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-8.6%</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-31.3%</w:t>
            </w:r>
          </w:p>
        </w:tc>
      </w:tr>
      <w:tr>
        <w:trPr>
          <w:trHeight w:val="183"/>
        </w:trPr>
        <w:tc>
          <w:tcPr>
            <w:tcW w:w="622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Repurchase agreements with third parties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1,276,678</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1,218,028</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1,340,423</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10.0%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5.0%</w:t>
            </w:r>
          </w:p>
        </w:tc>
      </w:tr>
      <w:tr>
        <w:trPr>
          <w:trHeight w:val="215"/>
        </w:trPr>
        <w:tc>
          <w:tcPr>
            <w:tcW w:w="6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Repurchase agreements with customers</w:t>
            </w:r>
          </w:p>
        </w:tc>
        <w:tc>
          <w:tcPr>
            <w:tcW w:w="1040" w:type="dxa"/>
            <w:vAlign w:val="bottom"/>
          </w:tcPr>
          <w:p>
            <w:pPr>
              <w:jc w:val="right"/>
              <w:spacing w:after="0"/>
              <w:rPr>
                <w:sz w:val="20"/>
                <w:szCs w:val="20"/>
                <w:color w:val="auto"/>
              </w:rPr>
            </w:pPr>
            <w:r>
              <w:rPr>
                <w:rFonts w:ascii="Arial" w:cs="Arial" w:eastAsia="Arial" w:hAnsi="Arial"/>
                <w:sz w:val="16"/>
                <w:szCs w:val="16"/>
                <w:color w:val="auto"/>
              </w:rPr>
              <w:t>1,356,559</w:t>
            </w:r>
          </w:p>
        </w:tc>
        <w:tc>
          <w:tcPr>
            <w:tcW w:w="1020" w:type="dxa"/>
            <w:vAlign w:val="bottom"/>
          </w:tcPr>
          <w:p>
            <w:pPr>
              <w:jc w:val="right"/>
              <w:spacing w:after="0"/>
              <w:rPr>
                <w:sz w:val="20"/>
                <w:szCs w:val="20"/>
                <w:color w:val="auto"/>
              </w:rPr>
            </w:pPr>
            <w:r>
              <w:rPr>
                <w:rFonts w:ascii="Arial" w:cs="Arial" w:eastAsia="Arial" w:hAnsi="Arial"/>
                <w:sz w:val="16"/>
                <w:szCs w:val="16"/>
                <w:color w:val="auto"/>
              </w:rPr>
              <w:t>638,617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766,822</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20.1%</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32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Due to banks and correspondents</w:t>
            </w:r>
          </w:p>
        </w:tc>
        <w:tc>
          <w:tcPr>
            <w:tcW w:w="1040" w:type="dxa"/>
            <w:vAlign w:val="bottom"/>
          </w:tcPr>
          <w:p>
            <w:pPr>
              <w:jc w:val="right"/>
              <w:spacing w:after="0"/>
              <w:rPr>
                <w:sz w:val="20"/>
                <w:szCs w:val="20"/>
                <w:color w:val="auto"/>
              </w:rPr>
            </w:pPr>
            <w:r>
              <w:rPr>
                <w:rFonts w:ascii="Arial" w:cs="Arial" w:eastAsia="Arial" w:hAnsi="Arial"/>
                <w:sz w:val="16"/>
                <w:szCs w:val="16"/>
                <w:color w:val="auto"/>
              </w:rPr>
              <w:t>6,239,161</w:t>
            </w:r>
          </w:p>
        </w:tc>
        <w:tc>
          <w:tcPr>
            <w:tcW w:w="1020" w:type="dxa"/>
            <w:vAlign w:val="bottom"/>
          </w:tcPr>
          <w:p>
            <w:pPr>
              <w:jc w:val="right"/>
              <w:spacing w:after="0"/>
              <w:rPr>
                <w:sz w:val="20"/>
                <w:szCs w:val="20"/>
                <w:color w:val="auto"/>
              </w:rPr>
            </w:pPr>
            <w:r>
              <w:rPr>
                <w:rFonts w:ascii="Arial" w:cs="Arial" w:eastAsia="Arial" w:hAnsi="Arial"/>
                <w:sz w:val="16"/>
                <w:szCs w:val="16"/>
                <w:color w:val="auto"/>
              </w:rPr>
              <w:t>6,362,990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6,456,360</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1.5%</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Bonds and notes issued</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16,951,481</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16,044,671</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16,579,674</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3.3%</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Banker’s acceptances outstanding</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558,934</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524,448</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743,925</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41.8%</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33.1%</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Reserves for property and casualty claims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2,492,303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2,475,580</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2,551,089</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3.1%</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Reserve for unearned premiums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9,664,914</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9,482,582</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9,150,249</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-3.5%</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Accounts payable to reinsurers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317,185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414,506</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343,959</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-17.0%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8.4%</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Financial liabilities at fair value through profit or loss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313,256</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232,185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527,541</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127.2%</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68.4%</w:t>
            </w:r>
          </w:p>
        </w:tc>
      </w:tr>
      <w:tr>
        <w:trPr>
          <w:trHeight w:val="21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liabilities</w:t>
            </w:r>
          </w:p>
        </w:tc>
        <w:tc>
          <w:tcPr>
            <w:tcW w:w="1040" w:type="dxa"/>
            <w:vAlign w:val="bottom"/>
          </w:tcPr>
          <w:p>
            <w:pPr>
              <w:jc w:val="right"/>
              <w:spacing w:after="0"/>
              <w:rPr>
                <w:sz w:val="20"/>
                <w:szCs w:val="20"/>
                <w:color w:val="auto"/>
              </w:rPr>
            </w:pPr>
            <w:r>
              <w:rPr>
                <w:rFonts w:ascii="Arial" w:cs="Arial" w:eastAsia="Arial" w:hAnsi="Arial"/>
                <w:sz w:val="16"/>
                <w:szCs w:val="16"/>
                <w:color w:val="auto"/>
              </w:rPr>
              <w:t>7,789,038</w:t>
            </w:r>
          </w:p>
        </w:tc>
        <w:tc>
          <w:tcPr>
            <w:tcW w:w="1020" w:type="dxa"/>
            <w:vAlign w:val="bottom"/>
          </w:tcPr>
          <w:p>
            <w:pPr>
              <w:jc w:val="right"/>
              <w:spacing w:after="0"/>
              <w:rPr>
                <w:sz w:val="20"/>
                <w:szCs w:val="20"/>
                <w:color w:val="auto"/>
              </w:rPr>
            </w:pPr>
            <w:r>
              <w:rPr>
                <w:rFonts w:ascii="Arial" w:cs="Arial" w:eastAsia="Arial" w:hAnsi="Arial"/>
                <w:sz w:val="16"/>
                <w:szCs w:val="16"/>
                <w:color w:val="auto"/>
              </w:rPr>
              <w:t>7,656,939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7,927,550</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3.5%</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361"/>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Liabilities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219,451,302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210,498,860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209,894,043</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-0.3%</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r>
      <w:tr>
        <w:trPr>
          <w:trHeight w:val="31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25,073,706</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25,192,569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26,175,222</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-2.6%</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Capital stock</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1,318,993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1,318,993</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1,318,993</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0.0%</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0.0%</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Treasury stock</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(207,756)</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(207,745)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(207,518)</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-0.1%</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Capital surplus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224,103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215,071</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231,179</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1.7%</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Reserves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21,725,663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21,350,150</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23,666,823</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11.2%</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Unrealized gains and losses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677,159</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19,435</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(1,098,325)</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144.4%</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-262.2%</w:t>
            </w:r>
          </w:p>
        </w:tc>
      </w:tr>
      <w:tr>
        <w:trPr>
          <w:trHeight w:val="21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jc w:val="right"/>
              <w:spacing w:after="0"/>
              <w:rPr>
                <w:sz w:val="20"/>
                <w:szCs w:val="20"/>
                <w:color w:val="auto"/>
              </w:rPr>
            </w:pPr>
            <w:r>
              <w:rPr>
                <w:rFonts w:ascii="Arial" w:cs="Arial" w:eastAsia="Arial" w:hAnsi="Arial"/>
                <w:sz w:val="16"/>
                <w:szCs w:val="16"/>
                <w:color w:val="auto"/>
              </w:rPr>
              <w:t>347,152</w:t>
            </w:r>
          </w:p>
        </w:tc>
        <w:tc>
          <w:tcPr>
            <w:tcW w:w="1020" w:type="dxa"/>
            <w:vAlign w:val="bottom"/>
          </w:tcPr>
          <w:p>
            <w:pPr>
              <w:jc w:val="right"/>
              <w:spacing w:after="0"/>
              <w:rPr>
                <w:sz w:val="20"/>
                <w:szCs w:val="20"/>
                <w:color w:val="auto"/>
              </w:rPr>
            </w:pPr>
            <w:r>
              <w:rPr>
                <w:rFonts w:ascii="Arial" w:cs="Arial" w:eastAsia="Arial" w:hAnsi="Arial"/>
                <w:sz w:val="16"/>
                <w:szCs w:val="16"/>
                <w:color w:val="auto"/>
              </w:rPr>
              <w:t>2,496,665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3,556,281</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-51.7%</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69.5%</w:t>
            </w:r>
          </w:p>
        </w:tc>
      </w:tr>
      <w:tr>
        <w:trPr>
          <w:trHeight w:val="35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040" w:type="dxa"/>
            <w:vAlign w:val="bottom"/>
          </w:tcPr>
          <w:p>
            <w:pPr>
              <w:jc w:val="right"/>
              <w:spacing w:after="0"/>
              <w:rPr>
                <w:sz w:val="20"/>
                <w:szCs w:val="20"/>
                <w:color w:val="auto"/>
              </w:rPr>
            </w:pPr>
            <w:r>
              <w:rPr>
                <w:rFonts w:ascii="Arial" w:cs="Arial" w:eastAsia="Arial" w:hAnsi="Arial"/>
                <w:sz w:val="16"/>
                <w:szCs w:val="16"/>
                <w:color w:val="auto"/>
              </w:rPr>
              <w:t>503,222</w:t>
            </w:r>
          </w:p>
        </w:tc>
        <w:tc>
          <w:tcPr>
            <w:tcW w:w="1020" w:type="dxa"/>
            <w:vAlign w:val="bottom"/>
          </w:tcPr>
          <w:p>
            <w:pPr>
              <w:jc w:val="right"/>
              <w:spacing w:after="0"/>
              <w:rPr>
                <w:sz w:val="20"/>
                <w:szCs w:val="20"/>
                <w:color w:val="auto"/>
              </w:rPr>
            </w:pPr>
            <w:r>
              <w:rPr>
                <w:rFonts w:ascii="Arial" w:cs="Arial" w:eastAsia="Arial" w:hAnsi="Arial"/>
                <w:sz w:val="16"/>
                <w:szCs w:val="16"/>
                <w:color w:val="auto"/>
              </w:rPr>
              <w:t>528,905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545,456</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3.1%</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361"/>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Net Equity</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25,576,928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27,401,531</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26,720,678</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-2.5%</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r>
      <w:tr>
        <w:trPr>
          <w:trHeight w:val="35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245,028,230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237,900,391</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236,614,721</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-0.5%</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r>
      <w:tr>
        <w:trPr>
          <w:trHeight w:val="31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Off-balance sheet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149,828,527</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142,337,944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142,573,498</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0.2%</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Total performance bonds, stand-by and L/Cs.</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22,723,385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21,196,817</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21,331,467</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0.6%</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-6.1%</w:t>
            </w:r>
          </w:p>
        </w:tc>
      </w:tr>
      <w:tr>
        <w:trPr>
          <w:trHeight w:val="183"/>
        </w:trPr>
        <w:tc>
          <w:tcPr>
            <w:tcW w:w="62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Undrawn credit lines, advised but not committed</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91,280,633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80,155,277</w:t>
            </w:r>
          </w:p>
        </w:tc>
        <w:tc>
          <w:tcPr>
            <w:tcW w:w="96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84,820,503</w:t>
            </w:r>
          </w:p>
        </w:tc>
        <w:tc>
          <w:tcPr>
            <w:tcW w:w="14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5.8%</w:t>
            </w:r>
          </w:p>
        </w:tc>
        <w:tc>
          <w:tcPr>
            <w:tcW w:w="6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-7.1%</w:t>
            </w:r>
          </w:p>
        </w:tc>
      </w:tr>
      <w:tr>
        <w:trPr>
          <w:trHeight w:val="20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derivatives (notional) and others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35,824,509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40,985,850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36,421,528</w:t>
            </w: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-11.1%</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w:t>
            </w:r>
          </w:p>
        </w:tc>
      </w:tr>
    </w:tbl>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 Includes mainly accounts receivables from brokerage and others.</w:t>
      </w:r>
    </w:p>
    <w:p>
      <w:pPr>
        <w:spacing w:after="0" w:line="38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5655" cy="5715"/>
                    </a:xfrm>
                    <a:prstGeom prst="rect">
                      <a:avLst/>
                    </a:prstGeom>
                    <a:noFill/>
                  </pic:spPr>
                </pic:pic>
              </a:graphicData>
            </a:graphic>
          </wp:anchor>
        </w:drawing>
      </w:r>
    </w:p>
    <w:p>
      <w:pPr>
        <w:sectPr>
          <w:pgSz w:w="11900" w:h="16838" w:orient="portrait"/>
          <w:cols w:equalWidth="0" w:num="1">
            <w:col w:w="11280"/>
          </w:cols>
          <w:pgMar w:left="300" w:top="313" w:right="319" w:bottom="0" w:gutter="0" w:footer="0" w:header="0"/>
        </w:sectPr>
      </w:pPr>
    </w:p>
    <w:bookmarkStart w:id="55" w:name="page56"/>
    <w:bookmarkEnd w:id="55"/>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260350</wp:posOffset>
            </wp:positionV>
            <wp:extent cx="7084060" cy="1854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84060"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FFFFFF"/>
        </w:rPr>
        <w:t>12. Appendix</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 OF INCOME</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S/ thousands, IFRS)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580" w:type="dxa"/>
            <w:vAlign w:val="bottom"/>
            <w:tcBorders>
              <w:right w:val="single" w:sz="8" w:color="auto"/>
            </w:tcBorders>
          </w:tcPr>
          <w:p>
            <w:pPr>
              <w:spacing w:after="0"/>
              <w:rPr>
                <w:sz w:val="16"/>
                <w:szCs w:val="16"/>
                <w:color w:val="auto"/>
              </w:rPr>
            </w:pPr>
          </w:p>
        </w:tc>
        <w:tc>
          <w:tcPr>
            <w:tcW w:w="980" w:type="dxa"/>
            <w:vAlign w:val="bottom"/>
            <w:tcBorders>
              <w:top w:val="single" w:sz="8" w:color="auto"/>
            </w:tcBorders>
            <w:shd w:val="clear" w:color="auto" w:fill="2AD2C9"/>
          </w:tcPr>
          <w:p>
            <w:pPr>
              <w:spacing w:after="0"/>
              <w:rPr>
                <w:sz w:val="16"/>
                <w:szCs w:val="16"/>
                <w:color w:val="auto"/>
              </w:rPr>
            </w:pPr>
          </w:p>
        </w:tc>
        <w:tc>
          <w:tcPr>
            <w:tcW w:w="940" w:type="dxa"/>
            <w:vAlign w:val="bottom"/>
            <w:tcBorders>
              <w:top w:val="single" w:sz="8" w:color="auto"/>
            </w:tcBorders>
            <w:shd w:val="clear" w:color="auto" w:fill="2AD2C9"/>
          </w:tcPr>
          <w:p>
            <w:pPr>
              <w:jc w:val="right"/>
              <w:ind w:right="139"/>
              <w:spacing w:after="0"/>
              <w:rPr>
                <w:sz w:val="20"/>
                <w:szCs w:val="20"/>
                <w:color w:val="auto"/>
              </w:rPr>
            </w:pPr>
            <w:r>
              <w:rPr>
                <w:rFonts w:ascii="Arial" w:cs="Arial" w:eastAsia="Arial" w:hAnsi="Arial"/>
                <w:sz w:val="16"/>
                <w:szCs w:val="16"/>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6"/>
                <w:szCs w:val="16"/>
                <w:color w:val="auto"/>
              </w:rPr>
            </w:pPr>
          </w:p>
        </w:tc>
        <w:tc>
          <w:tcPr>
            <w:tcW w:w="1760" w:type="dxa"/>
            <w:vAlign w:val="bottom"/>
            <w:tcBorders>
              <w:top w:val="single" w:sz="8" w:color="auto"/>
              <w:right w:val="single" w:sz="8" w:color="auto"/>
            </w:tcBorders>
            <w:gridSpan w:val="2"/>
            <w:shd w:val="clear" w:color="auto" w:fill="2AD2C9"/>
          </w:tcPr>
          <w:p>
            <w:pPr>
              <w:jc w:val="right"/>
              <w:ind w:right="439"/>
              <w:spacing w:after="0"/>
              <w:rPr>
                <w:sz w:val="20"/>
                <w:szCs w:val="20"/>
                <w:color w:val="auto"/>
              </w:rPr>
            </w:pPr>
            <w:r>
              <w:rPr>
                <w:rFonts w:ascii="Arial" w:cs="Arial" w:eastAsia="Arial" w:hAnsi="Arial"/>
                <w:sz w:val="16"/>
                <w:szCs w:val="16"/>
                <w:b w:val="1"/>
                <w:bCs w:val="1"/>
                <w:color w:val="FFFFFF"/>
              </w:rPr>
              <w:t>% change</w:t>
            </w:r>
          </w:p>
        </w:tc>
        <w:tc>
          <w:tcPr>
            <w:tcW w:w="1920" w:type="dxa"/>
            <w:vAlign w:val="bottom"/>
            <w:tcBorders>
              <w:top w:val="single" w:sz="8" w:color="auto"/>
              <w:right w:val="single" w:sz="8" w:color="auto"/>
            </w:tcBorders>
            <w:gridSpan w:val="2"/>
            <w:shd w:val="clear" w:color="auto" w:fill="2AD2C9"/>
          </w:tcPr>
          <w:p>
            <w:pPr>
              <w:jc w:val="right"/>
              <w:ind w:right="679"/>
              <w:spacing w:after="0"/>
              <w:rPr>
                <w:sz w:val="20"/>
                <w:szCs w:val="20"/>
                <w:color w:val="auto"/>
              </w:rPr>
            </w:pPr>
            <w:r>
              <w:rPr>
                <w:rFonts w:ascii="Arial" w:cs="Arial" w:eastAsia="Arial" w:hAnsi="Arial"/>
                <w:sz w:val="16"/>
                <w:szCs w:val="16"/>
                <w:b w:val="1"/>
                <w:bCs w:val="1"/>
                <w:color w:val="FFFFFF"/>
              </w:rPr>
              <w:t>As of</w:t>
            </w:r>
          </w:p>
        </w:tc>
        <w:tc>
          <w:tcPr>
            <w:tcW w:w="1180" w:type="dxa"/>
            <w:vAlign w:val="bottom"/>
            <w:tcBorders>
              <w:top w:val="single" w:sz="8" w:color="auto"/>
              <w:right w:val="single" w:sz="8" w:color="auto"/>
            </w:tcBorders>
            <w:shd w:val="clear" w:color="auto" w:fill="2AD2C9"/>
          </w:tcPr>
          <w:p>
            <w:pPr>
              <w:jc w:val="right"/>
              <w:ind w:right="13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35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shd w:val="clear" w:color="auto" w:fill="2AD2C9"/>
          </w:tcPr>
          <w:p>
            <w:pPr>
              <w:jc w:val="right"/>
              <w:ind w:right="239"/>
              <w:spacing w:after="0"/>
              <w:rPr>
                <w:sz w:val="20"/>
                <w:szCs w:val="20"/>
                <w:color w:val="auto"/>
              </w:rPr>
            </w:pPr>
            <w:r>
              <w:rPr>
                <w:rFonts w:ascii="Arial" w:cs="Arial" w:eastAsia="Arial" w:hAnsi="Arial"/>
                <w:sz w:val="16"/>
                <w:szCs w:val="16"/>
                <w:b w:val="1"/>
                <w:bCs w:val="1"/>
                <w:color w:val="FFFFFF"/>
              </w:rPr>
              <w:t>2Q21</w:t>
            </w:r>
          </w:p>
        </w:tc>
        <w:tc>
          <w:tcPr>
            <w:tcW w:w="940" w:type="dxa"/>
            <w:vAlign w:val="bottom"/>
            <w:tcBorders>
              <w:bottom w:val="single" w:sz="8" w:color="auto"/>
            </w:tcBorders>
            <w:shd w:val="clear" w:color="auto" w:fill="2AD2C9"/>
          </w:tcPr>
          <w:p>
            <w:pPr>
              <w:jc w:val="right"/>
              <w:ind w:right="239"/>
              <w:spacing w:after="0"/>
              <w:rPr>
                <w:sz w:val="20"/>
                <w:szCs w:val="20"/>
                <w:color w:val="auto"/>
              </w:rPr>
            </w:pPr>
            <w:r>
              <w:rPr>
                <w:rFonts w:ascii="Arial" w:cs="Arial" w:eastAsia="Arial" w:hAnsi="Arial"/>
                <w:sz w:val="16"/>
                <w:szCs w:val="16"/>
                <w:b w:val="1"/>
                <w:bCs w:val="1"/>
                <w:color w:val="FFFFFF"/>
              </w:rPr>
              <w:t>1Q22</w:t>
            </w:r>
          </w:p>
        </w:tc>
        <w:tc>
          <w:tcPr>
            <w:tcW w:w="920" w:type="dxa"/>
            <w:vAlign w:val="bottom"/>
            <w:tcBorders>
              <w:bottom w:val="single" w:sz="8" w:color="auto"/>
              <w:right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2Q22</w:t>
            </w:r>
          </w:p>
        </w:tc>
        <w:tc>
          <w:tcPr>
            <w:tcW w:w="1020" w:type="dxa"/>
            <w:vAlign w:val="bottom"/>
            <w:tcBorders>
              <w:bottom w:val="single" w:sz="8" w:color="auto"/>
            </w:tcBorders>
            <w:shd w:val="clear" w:color="auto" w:fill="2AD2C9"/>
          </w:tcPr>
          <w:p>
            <w:pPr>
              <w:jc w:val="right"/>
              <w:ind w:right="319"/>
              <w:spacing w:after="0"/>
              <w:rPr>
                <w:sz w:val="20"/>
                <w:szCs w:val="20"/>
                <w:color w:val="auto"/>
              </w:rPr>
            </w:pPr>
            <w:r>
              <w:rPr>
                <w:rFonts w:ascii="Arial" w:cs="Arial" w:eastAsia="Arial" w:hAnsi="Arial"/>
                <w:sz w:val="16"/>
                <w:szCs w:val="16"/>
                <w:b w:val="1"/>
                <w:bCs w:val="1"/>
                <w:color w:val="FFFFFF"/>
              </w:rPr>
              <w:t>QoQ</w:t>
            </w:r>
          </w:p>
        </w:tc>
        <w:tc>
          <w:tcPr>
            <w:tcW w:w="74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YoY</w:t>
            </w:r>
          </w:p>
        </w:tc>
        <w:tc>
          <w:tcPr>
            <w:tcW w:w="1020" w:type="dxa"/>
            <w:vAlign w:val="bottom"/>
            <w:tcBorders>
              <w:bottom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Jun-21</w:t>
            </w:r>
          </w:p>
        </w:tc>
        <w:tc>
          <w:tcPr>
            <w:tcW w:w="900" w:type="dxa"/>
            <w:vAlign w:val="bottom"/>
            <w:tcBorders>
              <w:bottom w:val="single" w:sz="8" w:color="auto"/>
              <w:right w:val="single" w:sz="8" w:color="auto"/>
            </w:tcBorders>
            <w:shd w:val="clear" w:color="auto" w:fill="2AD2C9"/>
          </w:tcPr>
          <w:p>
            <w:pPr>
              <w:jc w:val="right"/>
              <w:ind w:right="159"/>
              <w:spacing w:after="0"/>
              <w:rPr>
                <w:sz w:val="20"/>
                <w:szCs w:val="20"/>
                <w:color w:val="auto"/>
              </w:rPr>
            </w:pPr>
            <w:r>
              <w:rPr>
                <w:rFonts w:ascii="Arial" w:cs="Arial" w:eastAsia="Arial" w:hAnsi="Arial"/>
                <w:sz w:val="16"/>
                <w:szCs w:val="16"/>
                <w:b w:val="1"/>
                <w:bCs w:val="1"/>
                <w:color w:val="FFFFFF"/>
              </w:rPr>
              <w:t>Jun-22</w:t>
            </w:r>
          </w:p>
        </w:tc>
        <w:tc>
          <w:tcPr>
            <w:tcW w:w="118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w w:val="99"/>
              </w:rPr>
              <w:t>Jun-21/ Jun-22</w:t>
            </w:r>
          </w:p>
        </w:tc>
        <w:tc>
          <w:tcPr>
            <w:tcW w:w="0" w:type="dxa"/>
            <w:vAlign w:val="bottom"/>
          </w:tcPr>
          <w:p>
            <w:pPr>
              <w:spacing w:after="0"/>
              <w:rPr>
                <w:sz w:val="1"/>
                <w:szCs w:val="1"/>
                <w:color w:val="auto"/>
              </w:rPr>
            </w:pPr>
          </w:p>
        </w:tc>
      </w:tr>
      <w:tr>
        <w:trPr>
          <w:trHeight w:val="166"/>
        </w:trPr>
        <w:tc>
          <w:tcPr>
            <w:tcW w:w="358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Interest income and expense</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Borders>
              <w:left w:val="single" w:sz="8" w:color="auto"/>
              <w:right w:val="single" w:sz="8" w:color="auto"/>
            </w:tcBorders>
          </w:tcPr>
          <w:p>
            <w:pPr>
              <w:ind w:left="180"/>
              <w:spacing w:after="0" w:line="175" w:lineRule="exact"/>
              <w:rPr>
                <w:sz w:val="20"/>
                <w:szCs w:val="20"/>
                <w:color w:val="auto"/>
              </w:rPr>
            </w:pPr>
            <w:r>
              <w:rPr>
                <w:rFonts w:ascii="Arial" w:cs="Arial" w:eastAsia="Arial" w:hAnsi="Arial"/>
                <w:sz w:val="16"/>
                <w:szCs w:val="16"/>
                <w:color w:val="auto"/>
              </w:rPr>
              <w:t>Interest and dividend income</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2,891,579</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3,172,346</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3,488,113</w:t>
            </w:r>
          </w:p>
        </w:tc>
        <w:tc>
          <w:tcPr>
            <w:tcW w:w="102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10.0%</w:t>
            </w:r>
          </w:p>
        </w:tc>
        <w:tc>
          <w:tcPr>
            <w:tcW w:w="7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20.6%</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5,707,652</w:t>
            </w:r>
          </w:p>
        </w:tc>
        <w:tc>
          <w:tcPr>
            <w:tcW w:w="9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6,660,459</w:t>
            </w:r>
          </w:p>
        </w:tc>
        <w:tc>
          <w:tcPr>
            <w:tcW w:w="11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right w:val="single" w:sz="8" w:color="auto"/>
            </w:tcBorders>
          </w:tcPr>
          <w:p>
            <w:pPr>
              <w:ind w:left="180"/>
              <w:spacing w:after="0" w:line="190"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2"/>
                <w:szCs w:val="22"/>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(582,537)</w:t>
            </w:r>
          </w:p>
        </w:tc>
        <w:tc>
          <w:tcPr>
            <w:tcW w:w="940" w:type="dxa"/>
            <w:vAlign w:val="bottom"/>
          </w:tcPr>
          <w:p>
            <w:pPr>
              <w:jc w:val="right"/>
              <w:spacing w:after="0"/>
              <w:rPr>
                <w:sz w:val="20"/>
                <w:szCs w:val="20"/>
                <w:color w:val="auto"/>
              </w:rPr>
            </w:pPr>
            <w:r>
              <w:rPr>
                <w:rFonts w:ascii="Arial" w:cs="Arial" w:eastAsia="Arial" w:hAnsi="Arial"/>
                <w:sz w:val="16"/>
                <w:szCs w:val="16"/>
                <w:color w:val="auto"/>
              </w:rPr>
              <w:t>(638,256)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(747,673)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20" w:type="dxa"/>
            <w:vAlign w:val="bottom"/>
          </w:tcPr>
          <w:p>
            <w:pPr>
              <w:jc w:val="right"/>
              <w:spacing w:after="0"/>
              <w:rPr>
                <w:sz w:val="20"/>
                <w:szCs w:val="20"/>
                <w:color w:val="auto"/>
              </w:rPr>
            </w:pPr>
            <w:r>
              <w:rPr>
                <w:rFonts w:ascii="Arial" w:cs="Arial" w:eastAsia="Arial" w:hAnsi="Arial"/>
                <w:sz w:val="16"/>
                <w:szCs w:val="16"/>
                <w:color w:val="auto"/>
              </w:rPr>
              <w:t>(1,275,227)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(1,385,929)</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2,309,042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2,534,090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2,740,440</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8.1%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4,432,425</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5,274,530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31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Gross provision for credit losses on loan portfolio</w:t>
            </w:r>
          </w:p>
        </w:tc>
        <w:tc>
          <w:tcPr>
            <w:tcW w:w="980" w:type="dxa"/>
            <w:vAlign w:val="bottom"/>
          </w:tcPr>
          <w:p>
            <w:pPr>
              <w:jc w:val="right"/>
              <w:spacing w:after="0"/>
              <w:rPr>
                <w:sz w:val="20"/>
                <w:szCs w:val="20"/>
                <w:color w:val="auto"/>
              </w:rPr>
            </w:pPr>
            <w:r>
              <w:rPr>
                <w:rFonts w:ascii="Arial" w:cs="Arial" w:eastAsia="Arial" w:hAnsi="Arial"/>
                <w:sz w:val="16"/>
                <w:szCs w:val="16"/>
                <w:color w:val="auto"/>
              </w:rPr>
              <w:t>(441,007)</w:t>
            </w:r>
          </w:p>
        </w:tc>
        <w:tc>
          <w:tcPr>
            <w:tcW w:w="940" w:type="dxa"/>
            <w:vAlign w:val="bottom"/>
          </w:tcPr>
          <w:p>
            <w:pPr>
              <w:jc w:val="right"/>
              <w:spacing w:after="0"/>
              <w:rPr>
                <w:sz w:val="20"/>
                <w:szCs w:val="20"/>
                <w:color w:val="auto"/>
              </w:rPr>
            </w:pPr>
            <w:r>
              <w:rPr>
                <w:rFonts w:ascii="Arial" w:cs="Arial" w:eastAsia="Arial" w:hAnsi="Arial"/>
                <w:sz w:val="16"/>
                <w:szCs w:val="16"/>
                <w:color w:val="auto"/>
              </w:rPr>
              <w:t>(350,681)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(447,036)</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20" w:type="dxa"/>
            <w:vAlign w:val="bottom"/>
          </w:tcPr>
          <w:p>
            <w:pPr>
              <w:jc w:val="right"/>
              <w:spacing w:after="0"/>
              <w:rPr>
                <w:sz w:val="20"/>
                <w:szCs w:val="20"/>
                <w:color w:val="auto"/>
              </w:rPr>
            </w:pPr>
            <w:r>
              <w:rPr>
                <w:rFonts w:ascii="Arial" w:cs="Arial" w:eastAsia="Arial" w:hAnsi="Arial"/>
                <w:sz w:val="16"/>
                <w:szCs w:val="16"/>
                <w:color w:val="auto"/>
              </w:rPr>
              <w:t>(1,063,989)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(797,717)</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Recoveries of written-off loans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77,627</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93,091</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83,745</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-10.0%</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142,962</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176,836</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Provision for credit losses on loan portfolio,</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(363,380)</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(257,590)</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(363,291)</w:t>
            </w: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41.0%</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0.0%</w:t>
            </w:r>
          </w:p>
        </w:tc>
        <w:tc>
          <w:tcPr>
            <w:tcW w:w="10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8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net of recoveries</w:t>
            </w: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(921,027)</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(620,881)</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-32.6%</w:t>
            </w:r>
          </w:p>
        </w:tc>
        <w:tc>
          <w:tcPr>
            <w:tcW w:w="0" w:type="dxa"/>
            <w:vAlign w:val="bottom"/>
          </w:tcPr>
          <w:p>
            <w:pPr>
              <w:spacing w:after="0"/>
              <w:rPr>
                <w:sz w:val="1"/>
                <w:szCs w:val="1"/>
                <w:color w:val="auto"/>
              </w:rPr>
            </w:pPr>
          </w:p>
        </w:tc>
      </w:tr>
      <w:tr>
        <w:trPr>
          <w:trHeight w:val="97"/>
        </w:trPr>
        <w:tc>
          <w:tcPr>
            <w:tcW w:w="3580" w:type="dxa"/>
            <w:vAlign w:val="bottom"/>
            <w:tcBorders>
              <w:left w:val="single" w:sz="8" w:color="auto"/>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Risk-adjusted net interest income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1,945,662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2,276,500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2,377,149</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4.4%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3,511,398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4,653,649</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0" w:type="dxa"/>
            <w:vAlign w:val="bottom"/>
          </w:tcPr>
          <w:p>
            <w:pPr>
              <w:spacing w:after="0"/>
              <w:rPr>
                <w:sz w:val="1"/>
                <w:szCs w:val="1"/>
                <w:color w:val="auto"/>
              </w:rPr>
            </w:pPr>
          </w:p>
        </w:tc>
      </w:tr>
      <w:tr>
        <w:trPr>
          <w:trHeight w:val="31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Non-financial income</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Fee income</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862,411</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891,031</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920,492</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6.7%</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1,693,182</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1,811,523</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on foreign exchange transactions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232,668</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262,196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253,941</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9.1%</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412,557</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516,137</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on sales of securities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(69,947)</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(56,866)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(94,180)</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n.a.</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(53,660)</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(151,046)</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from associates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12,302</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24,014</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29,219</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21.7%</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137.5%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41,707</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53,233</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on derivatives held for trading</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45,413</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(138)</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4,784</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-3566.7%</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115,136</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4,646</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from exchange differences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45,924</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(25,390)</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5,572</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n.a.</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40,388</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(19,818)</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Other non-financial income</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62,923</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147,902</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84,152</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-43.1%</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33.7%</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136,914</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232,054</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non-financial income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1,191,694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1,242,749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1,203,980</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2,386,224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2,446,729</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31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Insurance underwriting result</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earned premiums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639,944</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690,536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695,547</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0.7%</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8.7%</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1,283,872</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1,386,083</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5"/>
        </w:trPr>
        <w:tc>
          <w:tcPr>
            <w:tcW w:w="3580" w:type="dxa"/>
            <w:vAlign w:val="bottom"/>
            <w:tcBorders>
              <w:left w:val="single" w:sz="8" w:color="auto"/>
              <w:right w:val="single" w:sz="8" w:color="auto"/>
            </w:tcBorders>
          </w:tcPr>
          <w:p>
            <w:pPr>
              <w:ind w:left="180"/>
              <w:spacing w:after="0" w:line="175" w:lineRule="exact"/>
              <w:rPr>
                <w:sz w:val="20"/>
                <w:szCs w:val="20"/>
                <w:color w:val="auto"/>
              </w:rPr>
            </w:pPr>
            <w:r>
              <w:rPr>
                <w:rFonts w:ascii="Arial" w:cs="Arial" w:eastAsia="Arial" w:hAnsi="Arial"/>
                <w:sz w:val="16"/>
                <w:szCs w:val="16"/>
                <w:color w:val="auto"/>
              </w:rPr>
              <w:t>Net claims</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(691,335)</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(478,506)</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(492,258)</w:t>
            </w:r>
          </w:p>
        </w:tc>
        <w:tc>
          <w:tcPr>
            <w:tcW w:w="1020" w:type="dxa"/>
            <w:vAlign w:val="bottom"/>
          </w:tcPr>
          <w:p>
            <w:pPr>
              <w:jc w:val="right"/>
              <w:ind w:right="39"/>
              <w:spacing w:after="0" w:line="175" w:lineRule="exact"/>
              <w:rPr>
                <w:sz w:val="20"/>
                <w:szCs w:val="20"/>
                <w:color w:val="auto"/>
              </w:rPr>
            </w:pPr>
            <w:r>
              <w:rPr>
                <w:rFonts w:ascii="Arial" w:cs="Arial" w:eastAsia="Arial" w:hAnsi="Arial"/>
                <w:sz w:val="16"/>
                <w:szCs w:val="16"/>
                <w:color w:val="auto"/>
              </w:rPr>
              <w:t>2.9%</w:t>
            </w:r>
          </w:p>
        </w:tc>
        <w:tc>
          <w:tcPr>
            <w:tcW w:w="7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-28.8%</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(1,314,688)</w:t>
            </w:r>
          </w:p>
        </w:tc>
        <w:tc>
          <w:tcPr>
            <w:tcW w:w="9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(970,764)</w:t>
            </w:r>
          </w:p>
        </w:tc>
        <w:tc>
          <w:tcPr>
            <w:tcW w:w="11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right w:val="single" w:sz="8" w:color="auto"/>
            </w:tcBorders>
          </w:tcPr>
          <w:p>
            <w:pPr>
              <w:ind w:left="180"/>
              <w:spacing w:after="0" w:line="190"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2"/>
                <w:szCs w:val="22"/>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(84,944)</w:t>
            </w:r>
          </w:p>
        </w:tc>
        <w:tc>
          <w:tcPr>
            <w:tcW w:w="940" w:type="dxa"/>
            <w:vAlign w:val="bottom"/>
          </w:tcPr>
          <w:p>
            <w:pPr>
              <w:jc w:val="right"/>
              <w:spacing w:after="0"/>
              <w:rPr>
                <w:sz w:val="20"/>
                <w:szCs w:val="20"/>
                <w:color w:val="auto"/>
              </w:rPr>
            </w:pPr>
            <w:r>
              <w:rPr>
                <w:rFonts w:ascii="Arial" w:cs="Arial" w:eastAsia="Arial" w:hAnsi="Arial"/>
                <w:sz w:val="16"/>
                <w:szCs w:val="16"/>
                <w:color w:val="auto"/>
              </w:rPr>
              <w:t>(70,484)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(66,247)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20" w:type="dxa"/>
            <w:vAlign w:val="bottom"/>
          </w:tcPr>
          <w:p>
            <w:pPr>
              <w:jc w:val="right"/>
              <w:spacing w:after="0"/>
              <w:rPr>
                <w:sz w:val="20"/>
                <w:szCs w:val="20"/>
                <w:color w:val="auto"/>
              </w:rPr>
            </w:pPr>
            <w:r>
              <w:rPr>
                <w:rFonts w:ascii="Arial" w:cs="Arial" w:eastAsia="Arial" w:hAnsi="Arial"/>
                <w:sz w:val="16"/>
                <w:szCs w:val="16"/>
                <w:color w:val="auto"/>
              </w:rPr>
              <w:t>(170,766)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(136,731)</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insurance underwriting result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(136,335)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141,546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137,042</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(201,582)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278,588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-238.2%</w:t>
            </w:r>
          </w:p>
        </w:tc>
        <w:tc>
          <w:tcPr>
            <w:tcW w:w="0" w:type="dxa"/>
            <w:vAlign w:val="bottom"/>
          </w:tcPr>
          <w:p>
            <w:pPr>
              <w:spacing w:after="0"/>
              <w:rPr>
                <w:sz w:val="1"/>
                <w:szCs w:val="1"/>
                <w:color w:val="auto"/>
              </w:rPr>
            </w:pPr>
          </w:p>
        </w:tc>
      </w:tr>
      <w:tr>
        <w:trPr>
          <w:trHeight w:val="31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Salaries and employee benefits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(882,177)</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(977,953)</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(975,420)</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-0.3%</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10.6%</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(1,739,736)</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(1,953,373)</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Administrative, general and tax expenses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(672,805)</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(725,539)</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(850,972)</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17.3%</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26.5%</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(1,253,647)</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(1,576,511)</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Depreciation and amortization</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(163,869)</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(164,514)</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(168,845)</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3.0%</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(330,634)</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(333,359)</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Association in participation</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(8,879)</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(7,691)</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(10,329)</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34.3%</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(22,785)</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(18,020)</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Other expenses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(132,717)</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(74,485)</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(49,244)</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-33.9%</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-62.9%</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(193,916)</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(123,729)</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expenses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(1,860,447)</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(1,950,182)</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(2,054,810)</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(3,540,718)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(4,004,992)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353"/>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1,140,574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1,710,613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1,663,361</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45.8%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2,155,322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3,373,974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c>
          <w:tcPr>
            <w:tcW w:w="0" w:type="dxa"/>
            <w:vAlign w:val="bottom"/>
          </w:tcPr>
          <w:p>
            <w:pPr>
              <w:spacing w:after="0"/>
              <w:rPr>
                <w:sz w:val="1"/>
                <w:szCs w:val="1"/>
                <w:color w:val="auto"/>
              </w:rPr>
            </w:pPr>
          </w:p>
        </w:tc>
      </w:tr>
      <w:tr>
        <w:trPr>
          <w:trHeight w:val="345"/>
        </w:trPr>
        <w:tc>
          <w:tcPr>
            <w:tcW w:w="35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Income tax</w:t>
            </w:r>
          </w:p>
        </w:tc>
        <w:tc>
          <w:tcPr>
            <w:tcW w:w="980" w:type="dxa"/>
            <w:vAlign w:val="bottom"/>
          </w:tcPr>
          <w:p>
            <w:pPr>
              <w:jc w:val="right"/>
              <w:spacing w:after="0"/>
              <w:rPr>
                <w:sz w:val="20"/>
                <w:szCs w:val="20"/>
                <w:color w:val="auto"/>
              </w:rPr>
            </w:pPr>
            <w:r>
              <w:rPr>
                <w:rFonts w:ascii="Arial" w:cs="Arial" w:eastAsia="Arial" w:hAnsi="Arial"/>
                <w:sz w:val="16"/>
                <w:szCs w:val="16"/>
                <w:color w:val="auto"/>
              </w:rPr>
              <w:t>(423,491)</w:t>
            </w:r>
          </w:p>
        </w:tc>
        <w:tc>
          <w:tcPr>
            <w:tcW w:w="940" w:type="dxa"/>
            <w:vAlign w:val="bottom"/>
          </w:tcPr>
          <w:p>
            <w:pPr>
              <w:jc w:val="right"/>
              <w:spacing w:after="0"/>
              <w:rPr>
                <w:sz w:val="20"/>
                <w:szCs w:val="20"/>
                <w:color w:val="auto"/>
              </w:rPr>
            </w:pPr>
            <w:r>
              <w:rPr>
                <w:rFonts w:ascii="Arial" w:cs="Arial" w:eastAsia="Arial" w:hAnsi="Arial"/>
                <w:sz w:val="16"/>
                <w:szCs w:val="16"/>
                <w:color w:val="auto"/>
              </w:rPr>
              <w:t>(546,001)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(513,181)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20" w:type="dxa"/>
            <w:vAlign w:val="bottom"/>
          </w:tcPr>
          <w:p>
            <w:pPr>
              <w:jc w:val="right"/>
              <w:spacing w:after="0"/>
              <w:rPr>
                <w:sz w:val="20"/>
                <w:szCs w:val="20"/>
                <w:color w:val="auto"/>
              </w:rPr>
            </w:pPr>
            <w:r>
              <w:rPr>
                <w:rFonts w:ascii="Arial" w:cs="Arial" w:eastAsia="Arial" w:hAnsi="Arial"/>
                <w:sz w:val="16"/>
                <w:szCs w:val="16"/>
                <w:color w:val="auto"/>
              </w:rPr>
              <w:t>(761,090)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(1,059,182)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21"/>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717,083</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1,164,612</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1,150,180</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60.4%</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1,394,232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2,314,792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66.0%</w:t>
            </w:r>
          </w:p>
        </w:tc>
        <w:tc>
          <w:tcPr>
            <w:tcW w:w="0" w:type="dxa"/>
            <w:vAlign w:val="bottom"/>
          </w:tcPr>
          <w:p>
            <w:pPr>
              <w:spacing w:after="0"/>
              <w:rPr>
                <w:sz w:val="1"/>
                <w:szCs w:val="1"/>
                <w:color w:val="auto"/>
              </w:rPr>
            </w:pPr>
          </w:p>
        </w:tc>
      </w:tr>
      <w:tr>
        <w:trPr>
          <w:trHeight w:val="183"/>
        </w:trPr>
        <w:tc>
          <w:tcPr>
            <w:tcW w:w="35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Non-controlling interest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17,614</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27,786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28,420</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w:t>
            </w:r>
          </w:p>
        </w:tc>
        <w:tc>
          <w:tcPr>
            <w:tcW w:w="7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61.3%</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33,965</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56,206</w:t>
            </w:r>
          </w:p>
        </w:tc>
        <w:tc>
          <w:tcPr>
            <w:tcW w:w="11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4"/>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Credicorp</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699,469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1,136,826</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1,121,760</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1,360,267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2,258,586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66.0%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 The acquisition cost of Pacifico includes net fees and underwriting expenses.</w:t>
      </w:r>
    </w:p>
    <w:p>
      <w:pPr>
        <w:spacing w:after="0" w:line="34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56" w:name="page57"/>
    <w:bookmarkEnd w:id="5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12.5.2. Credicorp Stand-alone</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Credicorp Ltd.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Separate Statement of Financal Position</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240" w:type="dxa"/>
            <w:vAlign w:val="bottom"/>
            <w:tcBorders>
              <w:right w:val="single" w:sz="8" w:color="auto"/>
            </w:tcBorders>
          </w:tcPr>
          <w:p>
            <w:pPr>
              <w:spacing w:after="0"/>
              <w:rPr>
                <w:sz w:val="16"/>
                <w:szCs w:val="16"/>
                <w:color w:val="auto"/>
              </w:rPr>
            </w:pPr>
          </w:p>
        </w:tc>
        <w:tc>
          <w:tcPr>
            <w:tcW w:w="1080" w:type="dxa"/>
            <w:vAlign w:val="bottom"/>
            <w:tcBorders>
              <w:top w:val="single" w:sz="8" w:color="auto"/>
            </w:tcBorders>
            <w:shd w:val="clear" w:color="auto" w:fill="2AD2C9"/>
          </w:tcPr>
          <w:p>
            <w:pPr>
              <w:spacing w:after="0"/>
              <w:rPr>
                <w:sz w:val="16"/>
                <w:szCs w:val="16"/>
                <w:color w:val="auto"/>
              </w:rPr>
            </w:pPr>
          </w:p>
        </w:tc>
        <w:tc>
          <w:tcPr>
            <w:tcW w:w="1020" w:type="dxa"/>
            <w:vAlign w:val="bottom"/>
            <w:tcBorders>
              <w:top w:val="single" w:sz="8" w:color="auto"/>
            </w:tcBorders>
            <w:shd w:val="clear" w:color="auto" w:fill="2AD2C9"/>
          </w:tcPr>
          <w:p>
            <w:pPr>
              <w:jc w:val="right"/>
              <w:ind w:right="339"/>
              <w:spacing w:after="0"/>
              <w:rPr>
                <w:sz w:val="20"/>
                <w:szCs w:val="20"/>
                <w:color w:val="auto"/>
              </w:rPr>
            </w:pPr>
            <w:r>
              <w:rPr>
                <w:rFonts w:ascii="Arial" w:cs="Arial" w:eastAsia="Arial" w:hAnsi="Arial"/>
                <w:sz w:val="16"/>
                <w:szCs w:val="16"/>
                <w:b w:val="1"/>
                <w:bCs w:val="1"/>
                <w:color w:val="FFFFFF"/>
              </w:rPr>
              <w:t>As of</w:t>
            </w:r>
          </w:p>
        </w:tc>
        <w:tc>
          <w:tcPr>
            <w:tcW w:w="900" w:type="dxa"/>
            <w:vAlign w:val="bottom"/>
            <w:tcBorders>
              <w:top w:val="single" w:sz="8" w:color="auto"/>
              <w:right w:val="single" w:sz="8" w:color="auto"/>
            </w:tcBorders>
            <w:shd w:val="clear" w:color="auto" w:fill="2AD2C9"/>
          </w:tcPr>
          <w:p>
            <w:pPr>
              <w:spacing w:after="0"/>
              <w:rPr>
                <w:sz w:val="16"/>
                <w:szCs w:val="16"/>
                <w:color w:val="auto"/>
              </w:rPr>
            </w:pPr>
          </w:p>
        </w:tc>
        <w:tc>
          <w:tcPr>
            <w:tcW w:w="120" w:type="dxa"/>
            <w:vAlign w:val="bottom"/>
            <w:tcBorders>
              <w:top w:val="single" w:sz="8" w:color="auto"/>
              <w:right w:val="single" w:sz="8" w:color="2AD2C9"/>
            </w:tcBorders>
            <w:shd w:val="clear" w:color="auto" w:fill="2AD2C9"/>
          </w:tcPr>
          <w:p>
            <w:pPr>
              <w:spacing w:after="0"/>
              <w:rPr>
                <w:sz w:val="16"/>
                <w:szCs w:val="16"/>
                <w:color w:val="auto"/>
              </w:rPr>
            </w:pPr>
          </w:p>
        </w:tc>
        <w:tc>
          <w:tcPr>
            <w:tcW w:w="1920" w:type="dxa"/>
            <w:vAlign w:val="bottom"/>
            <w:tcBorders>
              <w:top w:val="single" w:sz="8" w:color="auto"/>
              <w:right w:val="single" w:sz="8" w:color="auto"/>
            </w:tcBorders>
            <w:gridSpan w:val="2"/>
            <w:shd w:val="clear" w:color="auto" w:fill="2AD2C9"/>
          </w:tcPr>
          <w:p>
            <w:pPr>
              <w:jc w:val="right"/>
              <w:ind w:right="579"/>
              <w:spacing w:after="0"/>
              <w:rPr>
                <w:sz w:val="20"/>
                <w:szCs w:val="20"/>
                <w:color w:val="auto"/>
              </w:rPr>
            </w:pPr>
            <w:r>
              <w:rPr>
                <w:rFonts w:ascii="Arial" w:cs="Arial" w:eastAsia="Arial" w:hAnsi="Arial"/>
                <w:sz w:val="16"/>
                <w:szCs w:val="16"/>
                <w:b w:val="1"/>
                <w:bCs w:val="1"/>
                <w:color w:val="FFFFFF"/>
              </w:rPr>
              <w:t>% change</w:t>
            </w:r>
          </w:p>
        </w:tc>
      </w:tr>
      <w:tr>
        <w:trPr>
          <w:trHeight w:val="204"/>
        </w:trPr>
        <w:tc>
          <w:tcPr>
            <w:tcW w:w="62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shd w:val="clear" w:color="auto" w:fill="2AD2C9"/>
          </w:tcPr>
          <w:p>
            <w:pPr>
              <w:jc w:val="right"/>
              <w:ind w:right="19"/>
              <w:spacing w:after="0"/>
              <w:rPr>
                <w:sz w:val="20"/>
                <w:szCs w:val="20"/>
                <w:color w:val="auto"/>
              </w:rPr>
            </w:pPr>
            <w:r>
              <w:rPr>
                <w:rFonts w:ascii="Arial" w:cs="Arial" w:eastAsia="Arial" w:hAnsi="Arial"/>
                <w:sz w:val="16"/>
                <w:szCs w:val="16"/>
                <w:b w:val="1"/>
                <w:bCs w:val="1"/>
                <w:color w:val="FFFFFF"/>
              </w:rPr>
              <w:t>Jun 21</w:t>
            </w:r>
          </w:p>
        </w:tc>
        <w:tc>
          <w:tcPr>
            <w:tcW w:w="1020" w:type="dxa"/>
            <w:vAlign w:val="bottom"/>
            <w:tcBorders>
              <w:bottom w:val="single" w:sz="8" w:color="auto"/>
            </w:tcBorders>
            <w:shd w:val="clear" w:color="auto" w:fill="2AD2C9"/>
          </w:tcPr>
          <w:p>
            <w:pPr>
              <w:jc w:val="right"/>
              <w:ind w:right="39"/>
              <w:spacing w:after="0"/>
              <w:rPr>
                <w:sz w:val="20"/>
                <w:szCs w:val="20"/>
                <w:color w:val="auto"/>
              </w:rPr>
            </w:pPr>
            <w:r>
              <w:rPr>
                <w:rFonts w:ascii="Arial" w:cs="Arial" w:eastAsia="Arial" w:hAnsi="Arial"/>
                <w:sz w:val="16"/>
                <w:szCs w:val="16"/>
                <w:b w:val="1"/>
                <w:bCs w:val="1"/>
                <w:color w:val="FFFFFF"/>
              </w:rPr>
              <w:t>Mar 21</w:t>
            </w:r>
          </w:p>
        </w:tc>
        <w:tc>
          <w:tcPr>
            <w:tcW w:w="90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Jun 22</w:t>
            </w:r>
          </w:p>
        </w:tc>
        <w:tc>
          <w:tcPr>
            <w:tcW w:w="120" w:type="dxa"/>
            <w:vAlign w:val="bottom"/>
            <w:tcBorders>
              <w:bottom w:val="single" w:sz="8" w:color="auto"/>
              <w:right w:val="single" w:sz="8" w:color="2AD2C9"/>
            </w:tcBorders>
            <w:shd w:val="clear" w:color="auto" w:fill="2AD2C9"/>
          </w:tcPr>
          <w:p>
            <w:pPr>
              <w:spacing w:after="0"/>
              <w:rPr>
                <w:sz w:val="17"/>
                <w:szCs w:val="17"/>
                <w:color w:val="auto"/>
              </w:rPr>
            </w:pPr>
          </w:p>
        </w:tc>
        <w:tc>
          <w:tcPr>
            <w:tcW w:w="1120" w:type="dxa"/>
            <w:vAlign w:val="bottom"/>
            <w:tcBorders>
              <w:bottom w:val="single" w:sz="8" w:color="auto"/>
            </w:tcBorders>
            <w:shd w:val="clear" w:color="auto" w:fill="2AD2C9"/>
          </w:tcPr>
          <w:p>
            <w:pPr>
              <w:jc w:val="right"/>
              <w:ind w:right="479"/>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166"/>
        </w:trPr>
        <w:tc>
          <w:tcPr>
            <w:tcW w:w="624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ASSETS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1,019,773</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168,634</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115,612</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-31.4%</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-88.7%</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fair value through profit or loss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520,413</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947,826</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938,816</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-1.0%</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Fair value through other comprehensive income investments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397,551</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343,373</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332,280</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-3.2%</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-16.4%</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 subsidiaries and associates investments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29,354,310</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31,647,183</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31,251,710</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-1.2%</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6.5%</w:t>
            </w:r>
          </w:p>
        </w:tc>
      </w:tr>
      <w:tr>
        <w:trPr>
          <w:trHeight w:val="215"/>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117.0%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361"/>
        </w:trPr>
        <w:tc>
          <w:tcPr>
            <w:tcW w:w="6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Assets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31,292,392</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33,107,122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32,638,648</w:t>
            </w:r>
          </w:p>
        </w:tc>
        <w:tc>
          <w:tcPr>
            <w:tcW w:w="120" w:type="dxa"/>
            <w:vAlign w:val="bottom"/>
          </w:tcPr>
          <w:p>
            <w:pPr>
              <w:spacing w:after="0"/>
              <w:rPr>
                <w:sz w:val="24"/>
                <w:szCs w:val="24"/>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-1.4%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r>
      <w:tr>
        <w:trPr>
          <w:trHeight w:val="35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NET SHAREHOLDERS' EQUITY</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31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Due to banks, correspondents and other entities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240,996</w:t>
            </w:r>
          </w:p>
        </w:tc>
        <w:tc>
          <w:tcPr>
            <w:tcW w:w="120" w:type="dxa"/>
            <w:vAlign w:val="bottom"/>
          </w:tcPr>
          <w:p>
            <w:pPr>
              <w:spacing w:after="0"/>
              <w:rPr>
                <w:sz w:val="24"/>
                <w:szCs w:val="24"/>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Bonds and notes issued</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1,914,141</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1,850,185</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1,901,462</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2.8%</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-0.7%</w:t>
            </w:r>
          </w:p>
        </w:tc>
      </w:tr>
      <w:tr>
        <w:trPr>
          <w:trHeight w:val="215"/>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liabilities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149,936</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195,286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164,451</w:t>
            </w:r>
          </w:p>
        </w:tc>
        <w:tc>
          <w:tcPr>
            <w:tcW w:w="1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-15.8%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61"/>
        </w:trPr>
        <w:tc>
          <w:tcPr>
            <w:tcW w:w="6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Liabilities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2,064,077</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2,045,471</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2,306,909</w:t>
            </w:r>
          </w:p>
        </w:tc>
        <w:tc>
          <w:tcPr>
            <w:tcW w:w="120" w:type="dxa"/>
            <w:vAlign w:val="bottom"/>
          </w:tcPr>
          <w:p>
            <w:pPr>
              <w:spacing w:after="0"/>
              <w:rPr>
                <w:sz w:val="24"/>
                <w:szCs w:val="24"/>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12.8%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r>
      <w:tr>
        <w:trPr>
          <w:trHeight w:val="31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Capital stock</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1,318,993</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1,318,993</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1,318,993</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0.0%</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Capital Surplus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384,542</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384,542</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384,542</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0.0%</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Reserve</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21,417,403</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20,945,491</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23,300,350</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11.2%</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8.8%</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Unrealized results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495,986</w:t>
            </w: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(638,233)</w:t>
            </w:r>
          </w:p>
        </w:tc>
        <w:tc>
          <w:tcPr>
            <w:tcW w:w="9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(1,285,376)</w:t>
            </w:r>
          </w:p>
        </w:tc>
        <w:tc>
          <w:tcPr>
            <w:tcW w:w="120" w:type="dxa"/>
            <w:vAlign w:val="bottom"/>
          </w:tcPr>
          <w:p>
            <w:pPr>
              <w:spacing w:after="0"/>
              <w:rPr>
                <w:sz w:val="15"/>
                <w:szCs w:val="15"/>
                <w:color w:val="auto"/>
              </w:rPr>
            </w:pP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215"/>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5,611,391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9,050,858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6,613,230</w:t>
            </w:r>
          </w:p>
        </w:tc>
        <w:tc>
          <w:tcPr>
            <w:tcW w:w="1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-26.9%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361"/>
        </w:trPr>
        <w:tc>
          <w:tcPr>
            <w:tcW w:w="6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Total net equity</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29,228,315</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31,061,651</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30,331,739</w:t>
            </w:r>
          </w:p>
        </w:tc>
        <w:tc>
          <w:tcPr>
            <w:tcW w:w="120" w:type="dxa"/>
            <w:vAlign w:val="bottom"/>
          </w:tcPr>
          <w:p>
            <w:pPr>
              <w:spacing w:after="0"/>
              <w:rPr>
                <w:sz w:val="24"/>
                <w:szCs w:val="24"/>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-2.3%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r>
      <w:tr>
        <w:trPr>
          <w:trHeight w:val="334"/>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31,292,392</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33,107,122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32,638,648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-1.4%</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r>
      <w:tr>
        <w:trPr>
          <w:trHeight w:val="345"/>
        </w:trPr>
        <w:tc>
          <w:tcPr>
            <w:tcW w:w="62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r>
      <w:tr>
        <w:trPr>
          <w:trHeight w:val="166"/>
        </w:trPr>
        <w:tc>
          <w:tcPr>
            <w:tcW w:w="6240" w:type="dxa"/>
            <w:vAlign w:val="bottom"/>
            <w:tcBorders>
              <w:right w:val="single" w:sz="8" w:color="auto"/>
            </w:tcBorders>
          </w:tcPr>
          <w:p>
            <w:pPr>
              <w:spacing w:after="0"/>
              <w:rPr>
                <w:sz w:val="14"/>
                <w:szCs w:val="14"/>
                <w:color w:val="auto"/>
              </w:rPr>
            </w:pPr>
          </w:p>
        </w:tc>
        <w:tc>
          <w:tcPr>
            <w:tcW w:w="1080" w:type="dxa"/>
            <w:vAlign w:val="bottom"/>
            <w:shd w:val="clear" w:color="auto" w:fill="2AD2C9"/>
          </w:tcPr>
          <w:p>
            <w:pPr>
              <w:spacing w:after="0"/>
              <w:rPr>
                <w:sz w:val="14"/>
                <w:szCs w:val="14"/>
                <w:color w:val="auto"/>
              </w:rPr>
            </w:pPr>
          </w:p>
        </w:tc>
        <w:tc>
          <w:tcPr>
            <w:tcW w:w="1020" w:type="dxa"/>
            <w:vAlign w:val="bottom"/>
            <w:shd w:val="clear" w:color="auto" w:fill="2AD2C9"/>
          </w:tcPr>
          <w:p>
            <w:pPr>
              <w:jc w:val="right"/>
              <w:ind w:right="199"/>
              <w:spacing w:after="0" w:line="166" w:lineRule="exact"/>
              <w:rPr>
                <w:sz w:val="20"/>
                <w:szCs w:val="20"/>
                <w:color w:val="auto"/>
              </w:rPr>
            </w:pPr>
            <w:r>
              <w:rPr>
                <w:rFonts w:ascii="Arial" w:cs="Arial" w:eastAsia="Arial" w:hAnsi="Arial"/>
                <w:sz w:val="16"/>
                <w:szCs w:val="16"/>
                <w:b w:val="1"/>
                <w:bCs w:val="1"/>
                <w:color w:val="FFFFFF"/>
              </w:rPr>
              <w:t>Quarter</w:t>
            </w:r>
          </w:p>
        </w:tc>
        <w:tc>
          <w:tcPr>
            <w:tcW w:w="900" w:type="dxa"/>
            <w:vAlign w:val="bottom"/>
            <w:tcBorders>
              <w:right w:val="single" w:sz="8" w:color="2AD2C9"/>
            </w:tcBorders>
            <w:shd w:val="clear" w:color="auto" w:fill="2AD2C9"/>
          </w:tcPr>
          <w:p>
            <w:pPr>
              <w:spacing w:after="0"/>
              <w:rPr>
                <w:sz w:val="14"/>
                <w:szCs w:val="14"/>
                <w:color w:val="auto"/>
              </w:rPr>
            </w:pPr>
          </w:p>
        </w:tc>
        <w:tc>
          <w:tcPr>
            <w:tcW w:w="120" w:type="dxa"/>
            <w:vAlign w:val="bottom"/>
            <w:tcBorders>
              <w:right w:val="single" w:sz="8" w:color="auto"/>
            </w:tcBorders>
            <w:shd w:val="clear" w:color="auto" w:fill="2AD2C9"/>
          </w:tcPr>
          <w:p>
            <w:pPr>
              <w:spacing w:after="0"/>
              <w:rPr>
                <w:sz w:val="14"/>
                <w:szCs w:val="14"/>
                <w:color w:val="auto"/>
              </w:rPr>
            </w:pPr>
          </w:p>
        </w:tc>
        <w:tc>
          <w:tcPr>
            <w:tcW w:w="1920" w:type="dxa"/>
            <w:vAlign w:val="bottom"/>
            <w:tcBorders>
              <w:right w:val="single" w:sz="8" w:color="auto"/>
            </w:tcBorders>
            <w:gridSpan w:val="2"/>
            <w:shd w:val="clear" w:color="auto" w:fill="2AD2C9"/>
          </w:tcPr>
          <w:p>
            <w:pPr>
              <w:jc w:val="right"/>
              <w:ind w:right="519"/>
              <w:spacing w:after="0" w:line="166" w:lineRule="exact"/>
              <w:rPr>
                <w:sz w:val="20"/>
                <w:szCs w:val="20"/>
                <w:color w:val="auto"/>
              </w:rPr>
            </w:pPr>
            <w:r>
              <w:rPr>
                <w:rFonts w:ascii="Arial" w:cs="Arial" w:eastAsia="Arial" w:hAnsi="Arial"/>
                <w:sz w:val="16"/>
                <w:szCs w:val="16"/>
                <w:b w:val="1"/>
                <w:bCs w:val="1"/>
                <w:color w:val="FFFFFF"/>
              </w:rPr>
              <w:t>% change</w:t>
            </w:r>
          </w:p>
        </w:tc>
      </w:tr>
      <w:tr>
        <w:trPr>
          <w:trHeight w:val="204"/>
        </w:trPr>
        <w:tc>
          <w:tcPr>
            <w:tcW w:w="62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shd w:val="clear" w:color="auto" w:fill="2AD2C9"/>
          </w:tcPr>
          <w:p>
            <w:pPr>
              <w:jc w:val="right"/>
              <w:ind w:right="19"/>
              <w:spacing w:after="0"/>
              <w:rPr>
                <w:sz w:val="20"/>
                <w:szCs w:val="20"/>
                <w:color w:val="auto"/>
              </w:rPr>
            </w:pPr>
            <w:r>
              <w:rPr>
                <w:rFonts w:ascii="Arial" w:cs="Arial" w:eastAsia="Arial" w:hAnsi="Arial"/>
                <w:sz w:val="16"/>
                <w:szCs w:val="16"/>
                <w:b w:val="1"/>
                <w:bCs w:val="1"/>
                <w:color w:val="FFFFFF"/>
              </w:rPr>
              <w:t>2Q21</w:t>
            </w:r>
          </w:p>
        </w:tc>
        <w:tc>
          <w:tcPr>
            <w:tcW w:w="1020" w:type="dxa"/>
            <w:vAlign w:val="bottom"/>
            <w:tcBorders>
              <w:bottom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1Q22</w:t>
            </w:r>
          </w:p>
        </w:tc>
        <w:tc>
          <w:tcPr>
            <w:tcW w:w="1020" w:type="dxa"/>
            <w:vAlign w:val="bottom"/>
            <w:tcBorders>
              <w:bottom w:val="single" w:sz="8" w:color="auto"/>
              <w:right w:val="single" w:sz="8" w:color="auto"/>
            </w:tcBorders>
            <w:gridSpan w:val="2"/>
            <w:shd w:val="clear" w:color="auto" w:fill="2AD2C9"/>
          </w:tcPr>
          <w:p>
            <w:pPr>
              <w:jc w:val="right"/>
              <w:ind w:right="20"/>
              <w:spacing w:after="0"/>
              <w:rPr>
                <w:sz w:val="20"/>
                <w:szCs w:val="20"/>
                <w:color w:val="auto"/>
              </w:rPr>
            </w:pPr>
            <w:r>
              <w:rPr>
                <w:rFonts w:ascii="Arial" w:cs="Arial" w:eastAsia="Arial" w:hAnsi="Arial"/>
                <w:sz w:val="16"/>
                <w:szCs w:val="16"/>
                <w:b w:val="1"/>
                <w:bCs w:val="1"/>
                <w:color w:val="FFFFFF"/>
              </w:rPr>
              <w:t>2Q22</w:t>
            </w:r>
          </w:p>
        </w:tc>
        <w:tc>
          <w:tcPr>
            <w:tcW w:w="1120" w:type="dxa"/>
            <w:vAlign w:val="bottom"/>
            <w:tcBorders>
              <w:bottom w:val="single" w:sz="8" w:color="auto"/>
            </w:tcBorders>
            <w:shd w:val="clear" w:color="auto" w:fill="2AD2C9"/>
          </w:tcPr>
          <w:p>
            <w:pPr>
              <w:jc w:val="right"/>
              <w:ind w:right="359"/>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39"/>
              <w:spacing w:after="0"/>
              <w:rPr>
                <w:sz w:val="20"/>
                <w:szCs w:val="20"/>
                <w:color w:val="auto"/>
              </w:rPr>
            </w:pPr>
            <w:r>
              <w:rPr>
                <w:rFonts w:ascii="Arial" w:cs="Arial" w:eastAsia="Arial" w:hAnsi="Arial"/>
                <w:sz w:val="16"/>
                <w:szCs w:val="16"/>
                <w:b w:val="1"/>
                <w:bCs w:val="1"/>
                <w:color w:val="FFFFFF"/>
              </w:rPr>
              <w:t>YoY</w:t>
            </w:r>
          </w:p>
        </w:tc>
      </w:tr>
      <w:tr>
        <w:trPr>
          <w:trHeight w:val="22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Interest income</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96"/>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share of the income from investments in subsidiaries and associates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725,297</w:t>
            </w:r>
          </w:p>
        </w:tc>
        <w:tc>
          <w:tcPr>
            <w:tcW w:w="1020" w:type="dxa"/>
            <w:vAlign w:val="bottom"/>
          </w:tcPr>
          <w:p>
            <w:pPr>
              <w:jc w:val="right"/>
              <w:spacing w:after="0"/>
              <w:rPr>
                <w:sz w:val="20"/>
                <w:szCs w:val="20"/>
                <w:color w:val="auto"/>
              </w:rPr>
            </w:pPr>
            <w:r>
              <w:rPr>
                <w:rFonts w:ascii="Arial" w:cs="Arial" w:eastAsia="Arial" w:hAnsi="Arial"/>
                <w:sz w:val="16"/>
                <w:szCs w:val="16"/>
                <w:color w:val="auto"/>
              </w:rPr>
              <w:t>1,236,032</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1,425,812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96.6%</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Interest and similar income</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7,062</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298</w:t>
            </w:r>
          </w:p>
        </w:tc>
        <w:tc>
          <w:tcPr>
            <w:tcW w:w="102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7,056</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2267.8%</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Net gain on financial assets at fair value through profit or loss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4,898</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(26,898)</w:t>
            </w:r>
          </w:p>
        </w:tc>
        <w:tc>
          <w:tcPr>
            <w:tcW w:w="102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(41,316)</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53.6%</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22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income</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737,257</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1,209,432</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1,391,552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88.7%</w:t>
            </w:r>
          </w:p>
        </w:tc>
      </w:tr>
      <w:tr>
        <w:trPr>
          <w:trHeight w:val="31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Interest and similar expense</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(14,357)</w:t>
            </w:r>
          </w:p>
        </w:tc>
        <w:tc>
          <w:tcPr>
            <w:tcW w:w="1020" w:type="dxa"/>
            <w:vAlign w:val="bottom"/>
          </w:tcPr>
          <w:p>
            <w:pPr>
              <w:jc w:val="right"/>
              <w:spacing w:after="0"/>
              <w:rPr>
                <w:sz w:val="20"/>
                <w:szCs w:val="20"/>
                <w:color w:val="auto"/>
              </w:rPr>
            </w:pPr>
            <w:r>
              <w:rPr>
                <w:rFonts w:ascii="Arial" w:cs="Arial" w:eastAsia="Arial" w:hAnsi="Arial"/>
                <w:sz w:val="16"/>
                <w:szCs w:val="16"/>
                <w:color w:val="auto"/>
              </w:rPr>
              <w:t>(13,651)</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(14,778)</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Administrative and general expenses</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(3,832)</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(4,259)</w:t>
            </w:r>
          </w:p>
        </w:tc>
        <w:tc>
          <w:tcPr>
            <w:tcW w:w="102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(3,766)</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-11.6%</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-1.7%</w:t>
            </w:r>
          </w:p>
        </w:tc>
      </w:tr>
      <w:tr>
        <w:trPr>
          <w:trHeight w:val="22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(18,189)</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(17,910)</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(18,544)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5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719,068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1,191,522</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1,373,008</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313"/>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gain (losses) from exchange differences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(752)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418.6%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4913.3%</w:t>
            </w:r>
          </w:p>
        </w:tc>
      </w:tr>
      <w:tr>
        <w:trPr>
          <w:trHeight w:val="215"/>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net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-105.6%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321"/>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719,043</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1,191,609</w:t>
            </w:r>
          </w:p>
        </w:tc>
        <w:tc>
          <w:tcPr>
            <w:tcW w:w="10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1,372,243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90.8%</w:t>
            </w:r>
          </w:p>
        </w:tc>
      </w:tr>
      <w:tr>
        <w:trPr>
          <w:trHeight w:val="183"/>
        </w:trPr>
        <w:tc>
          <w:tcPr>
            <w:tcW w:w="62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Income tax</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(19,546)</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(42,000)</w:t>
            </w:r>
          </w:p>
        </w:tc>
        <w:tc>
          <w:tcPr>
            <w:tcW w:w="1020" w:type="dxa"/>
            <w:vAlign w:val="bottom"/>
            <w:tcBorders>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(42,290)</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0.7%</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204"/>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699,497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1,149,609</w:t>
            </w:r>
          </w:p>
        </w:tc>
        <w:tc>
          <w:tcPr>
            <w:tcW w:w="102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1,329,953</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175"/>
        </w:trPr>
        <w:tc>
          <w:tcPr>
            <w:tcW w:w="6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7"/>
        </w:trPr>
        <w:tc>
          <w:tcPr>
            <w:tcW w:w="62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Double Leverage Ratio</w:t>
            </w: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100.43%</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101.89%</w:t>
            </w:r>
          </w:p>
        </w:tc>
        <w:tc>
          <w:tcPr>
            <w:tcW w:w="1020" w:type="dxa"/>
            <w:vAlign w:val="bottom"/>
            <w:tcBorders>
              <w:bottom w:val="single" w:sz="8" w:color="auto"/>
              <w:right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103.03%</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115bps</w:t>
            </w:r>
          </w:p>
        </w:tc>
        <w:tc>
          <w:tcPr>
            <w:tcW w:w="8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260bps</w:t>
            </w:r>
          </w:p>
        </w:tc>
      </w:tr>
      <w:tr>
        <w:trPr>
          <w:trHeight w:val="513"/>
        </w:trPr>
        <w:tc>
          <w:tcPr>
            <w:tcW w:w="6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39"/>
        </w:trPr>
        <w:tc>
          <w:tcPr>
            <w:tcW w:w="6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313" w:right="319" w:bottom="1440" w:gutter="0" w:footer="0" w:header="0"/>
        </w:sectPr>
      </w:pPr>
    </w:p>
    <w:bookmarkStart w:id="57" w:name="page58"/>
    <w:bookmarkEnd w:id="57"/>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12.5.3. BCP Consolidated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140" w:type="dxa"/>
            <w:vAlign w:val="bottom"/>
            <w:tcBorders>
              <w:right w:val="single" w:sz="8" w:color="auto"/>
            </w:tcBorders>
          </w:tcPr>
          <w:p>
            <w:pPr>
              <w:spacing w:after="0"/>
              <w:rPr>
                <w:sz w:val="19"/>
                <w:szCs w:val="19"/>
                <w:color w:val="auto"/>
              </w:rPr>
            </w:pPr>
          </w:p>
        </w:tc>
        <w:tc>
          <w:tcPr>
            <w:tcW w:w="1160" w:type="dxa"/>
            <w:vAlign w:val="bottom"/>
            <w:tcBorders>
              <w:top w:val="single" w:sz="8" w:color="auto"/>
            </w:tcBorders>
            <w:shd w:val="clear" w:color="auto" w:fill="2AD2C9"/>
          </w:tcPr>
          <w:p>
            <w:pPr>
              <w:spacing w:after="0"/>
              <w:rPr>
                <w:sz w:val="19"/>
                <w:szCs w:val="19"/>
                <w:color w:val="auto"/>
              </w:rPr>
            </w:pPr>
          </w:p>
        </w:tc>
        <w:tc>
          <w:tcPr>
            <w:tcW w:w="1080" w:type="dxa"/>
            <w:vAlign w:val="bottom"/>
            <w:tcBorders>
              <w:top w:val="single" w:sz="8" w:color="auto"/>
            </w:tcBorders>
            <w:shd w:val="clear" w:color="auto" w:fill="2AD2C9"/>
          </w:tcPr>
          <w:p>
            <w:pPr>
              <w:jc w:val="right"/>
              <w:ind w:right="395"/>
              <w:spacing w:after="0"/>
              <w:rPr>
                <w:sz w:val="20"/>
                <w:szCs w:val="20"/>
                <w:color w:val="auto"/>
              </w:rPr>
            </w:pPr>
            <w:r>
              <w:rPr>
                <w:rFonts w:ascii="Arial" w:cs="Arial" w:eastAsia="Arial" w:hAnsi="Arial"/>
                <w:sz w:val="18"/>
                <w:szCs w:val="18"/>
                <w:b w:val="1"/>
                <w:bCs w:val="1"/>
                <w:color w:val="FFFFFF"/>
              </w:rPr>
              <w:t>As of</w:t>
            </w:r>
          </w:p>
        </w:tc>
        <w:tc>
          <w:tcPr>
            <w:tcW w:w="900" w:type="dxa"/>
            <w:vAlign w:val="bottom"/>
            <w:tcBorders>
              <w:top w:val="single" w:sz="8" w:color="auto"/>
              <w:right w:val="single" w:sz="8" w:color="auto"/>
            </w:tcBorders>
            <w:shd w:val="clear" w:color="auto" w:fill="2AD2C9"/>
          </w:tcPr>
          <w:p>
            <w:pPr>
              <w:spacing w:after="0"/>
              <w:rPr>
                <w:sz w:val="19"/>
                <w:szCs w:val="19"/>
                <w:color w:val="auto"/>
              </w:rPr>
            </w:pPr>
          </w:p>
        </w:tc>
        <w:tc>
          <w:tcPr>
            <w:tcW w:w="2000" w:type="dxa"/>
            <w:vAlign w:val="bottom"/>
            <w:tcBorders>
              <w:top w:val="single" w:sz="8" w:color="auto"/>
              <w:right w:val="single" w:sz="8" w:color="auto"/>
            </w:tcBorders>
            <w:gridSpan w:val="2"/>
            <w:shd w:val="clear" w:color="auto" w:fill="2AD2C9"/>
          </w:tcPr>
          <w:p>
            <w:pPr>
              <w:jc w:val="right"/>
              <w:ind w:right="535"/>
              <w:spacing w:after="0"/>
              <w:rPr>
                <w:sz w:val="20"/>
                <w:szCs w:val="20"/>
                <w:color w:val="auto"/>
              </w:rPr>
            </w:pPr>
            <w:r>
              <w:rPr>
                <w:rFonts w:ascii="Arial" w:cs="Arial" w:eastAsia="Arial" w:hAnsi="Arial"/>
                <w:sz w:val="18"/>
                <w:szCs w:val="18"/>
                <w:b w:val="1"/>
                <w:bCs w:val="1"/>
                <w:color w:val="FFFFFF"/>
              </w:rPr>
              <w:t>% change</w:t>
            </w:r>
          </w:p>
        </w:tc>
      </w:tr>
      <w:tr>
        <w:trPr>
          <w:trHeight w:val="170"/>
        </w:trPr>
        <w:tc>
          <w:tcPr>
            <w:tcW w:w="6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shd w:val="clear" w:color="auto" w:fill="2AD2C9"/>
          </w:tcPr>
          <w:p>
            <w:pPr>
              <w:jc w:val="right"/>
              <w:ind w:right="395"/>
              <w:spacing w:after="0"/>
              <w:rPr>
                <w:sz w:val="20"/>
                <w:szCs w:val="20"/>
                <w:color w:val="auto"/>
              </w:rPr>
            </w:pPr>
            <w:r>
              <w:rPr>
                <w:rFonts w:ascii="Arial" w:cs="Arial" w:eastAsia="Arial" w:hAnsi="Arial"/>
                <w:sz w:val="13"/>
                <w:szCs w:val="13"/>
                <w:b w:val="1"/>
                <w:bCs w:val="1"/>
                <w:color w:val="FFFFFF"/>
              </w:rPr>
              <w:t>Jun 21</w:t>
            </w:r>
          </w:p>
        </w:tc>
        <w:tc>
          <w:tcPr>
            <w:tcW w:w="1080" w:type="dxa"/>
            <w:vAlign w:val="bottom"/>
            <w:tcBorders>
              <w:bottom w:val="single" w:sz="8" w:color="auto"/>
            </w:tcBorders>
            <w:shd w:val="clear" w:color="auto" w:fill="2AD2C9"/>
          </w:tcPr>
          <w:p>
            <w:pPr>
              <w:jc w:val="right"/>
              <w:ind w:right="415"/>
              <w:spacing w:after="0"/>
              <w:rPr>
                <w:sz w:val="20"/>
                <w:szCs w:val="20"/>
                <w:color w:val="auto"/>
              </w:rPr>
            </w:pPr>
            <w:r>
              <w:rPr>
                <w:rFonts w:ascii="Arial" w:cs="Arial" w:eastAsia="Arial" w:hAnsi="Arial"/>
                <w:sz w:val="13"/>
                <w:szCs w:val="13"/>
                <w:b w:val="1"/>
                <w:bCs w:val="1"/>
                <w:color w:val="FFFFFF"/>
              </w:rPr>
              <w:t>Mar 22</w:t>
            </w:r>
          </w:p>
        </w:tc>
        <w:tc>
          <w:tcPr>
            <w:tcW w:w="900" w:type="dxa"/>
            <w:vAlign w:val="bottom"/>
            <w:tcBorders>
              <w:bottom w:val="single" w:sz="8" w:color="auto"/>
              <w:right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Jun 22</w:t>
            </w:r>
          </w:p>
        </w:tc>
        <w:tc>
          <w:tcPr>
            <w:tcW w:w="1160" w:type="dxa"/>
            <w:vAlign w:val="bottom"/>
            <w:tcBorders>
              <w:bottom w:val="single" w:sz="8" w:color="auto"/>
            </w:tcBorders>
            <w:shd w:val="clear" w:color="auto" w:fill="2AD2C9"/>
          </w:tcPr>
          <w:p>
            <w:pPr>
              <w:jc w:val="right"/>
              <w:ind w:right="475"/>
              <w:spacing w:after="0"/>
              <w:rPr>
                <w:sz w:val="20"/>
                <w:szCs w:val="20"/>
                <w:color w:val="auto"/>
              </w:rPr>
            </w:pPr>
            <w:r>
              <w:rPr>
                <w:rFonts w:ascii="Arial" w:cs="Arial" w:eastAsia="Arial" w:hAnsi="Arial"/>
                <w:sz w:val="13"/>
                <w:szCs w:val="13"/>
                <w:b w:val="1"/>
                <w:bCs w:val="1"/>
                <w:color w:val="FFFFFF"/>
              </w:rPr>
              <w:t>QoQ</w:t>
            </w:r>
          </w:p>
        </w:tc>
        <w:tc>
          <w:tcPr>
            <w:tcW w:w="840" w:type="dxa"/>
            <w:vAlign w:val="bottom"/>
            <w:tcBorders>
              <w:bottom w:val="single" w:sz="8" w:color="auto"/>
              <w:right w:val="single" w:sz="8" w:color="auto"/>
            </w:tcBorders>
            <w:shd w:val="clear" w:color="auto" w:fill="2AD2C9"/>
          </w:tcPr>
          <w:p>
            <w:pPr>
              <w:jc w:val="right"/>
              <w:ind w:right="335"/>
              <w:spacing w:after="0"/>
              <w:rPr>
                <w:sz w:val="20"/>
                <w:szCs w:val="20"/>
                <w:color w:val="auto"/>
              </w:rPr>
            </w:pPr>
            <w:r>
              <w:rPr>
                <w:rFonts w:ascii="Arial" w:cs="Arial" w:eastAsia="Arial" w:hAnsi="Arial"/>
                <w:sz w:val="13"/>
                <w:szCs w:val="13"/>
                <w:b w:val="1"/>
                <w:bCs w:val="1"/>
                <w:color w:val="FFFFFF"/>
              </w:rPr>
              <w:t>YoY</w:t>
            </w:r>
          </w:p>
        </w:tc>
      </w:tr>
      <w:tr>
        <w:trPr>
          <w:trHeight w:val="18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ASSETS</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Cash and due from banks</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Non-interest bearing</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6,919,815</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4,959,579</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5,236,507</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5.6%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-24.3%</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Interest bearing</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26,482,164</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28,253,501</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22,383,291</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-20.8%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-15.5%</w:t>
            </w:r>
          </w:p>
        </w:tc>
      </w:tr>
      <w:tr>
        <w:trPr>
          <w:trHeight w:val="177"/>
        </w:trPr>
        <w:tc>
          <w:tcPr>
            <w:tcW w:w="6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Total cash and due from banks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33,401,979</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33,213,080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27,619,798</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-16.8%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-17.3%</w:t>
            </w:r>
          </w:p>
        </w:tc>
      </w:tr>
      <w:tr>
        <w:trPr>
          <w:trHeight w:val="31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collateral, reverse repurchase agreements and securities borrowing</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544,937</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202,127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542,521</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168.4%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profit or loss investments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2,118,559</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729,168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163,187</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-77.6%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-92.3%</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Fair value through other comprehensive income investments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25,716,257</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20,202,882</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17,868,118</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-11.6%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-30.5%</w:t>
            </w:r>
          </w:p>
        </w:tc>
      </w:tr>
      <w:tr>
        <w:trPr>
          <w:trHeight w:val="17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Amortized cost investments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7,366,267</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7,538,562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7,630,677</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130,864,182</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132,578,949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138,012,365</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4.1%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Current</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126,045,797</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126,930,472</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132,146,911</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4.1%</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4.8%</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Internal overdue loans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4,818,385</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5,648,477</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5,865,454</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3.8%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21.7%</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Less - allowance for loan losses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(8,797,871)</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(7,769,920)</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(7,813,526)</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0.6%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-11.2%</w:t>
            </w:r>
          </w:p>
        </w:tc>
      </w:tr>
      <w:tr>
        <w:trPr>
          <w:trHeight w:val="17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 net</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122,066,311</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124,809,029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130,198,839</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4.3%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6.7%</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Property, furniture and equipment, net </w:t>
            </w:r>
            <w:r>
              <w:rPr>
                <w:rFonts w:ascii="Arial" w:cs="Arial" w:eastAsia="Arial" w:hAnsi="Arial"/>
                <w:sz w:val="21"/>
                <w:szCs w:val="21"/>
                <w:color w:val="auto"/>
                <w:vertAlign w:val="superscript"/>
              </w:rPr>
              <w:t>(1)</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1,729,286</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1,628,645</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1,593,758</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-2.1%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-7.8%</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Due from customers on acceptances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532,584</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532,404</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524,448</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-1.5%</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-1.5%</w:t>
            </w:r>
          </w:p>
        </w:tc>
      </w:tr>
      <w:tr>
        <w:trPr>
          <w:trHeight w:val="131"/>
        </w:trPr>
        <w:tc>
          <w:tcPr>
            <w:tcW w:w="61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rPr>
              <w:t>Investments in associates</w:t>
            </w:r>
          </w:p>
        </w:tc>
        <w:tc>
          <w:tcPr>
            <w:tcW w:w="1160" w:type="dxa"/>
            <w:vAlign w:val="bottom"/>
          </w:tcPr>
          <w:p>
            <w:pPr>
              <w:jc w:val="right"/>
              <w:ind w:right="95"/>
              <w:spacing w:after="0" w:line="131" w:lineRule="exact"/>
              <w:rPr>
                <w:sz w:val="20"/>
                <w:szCs w:val="20"/>
                <w:color w:val="auto"/>
              </w:rPr>
            </w:pPr>
            <w:r>
              <w:rPr>
                <w:rFonts w:ascii="Arial" w:cs="Arial" w:eastAsia="Arial" w:hAnsi="Arial"/>
                <w:sz w:val="13"/>
                <w:szCs w:val="13"/>
                <w:b w:val="1"/>
                <w:bCs w:val="1"/>
                <w:color w:val="auto"/>
              </w:rPr>
              <w:t>18,901</w:t>
            </w:r>
          </w:p>
        </w:tc>
        <w:tc>
          <w:tcPr>
            <w:tcW w:w="1080" w:type="dxa"/>
            <w:vAlign w:val="bottom"/>
          </w:tcPr>
          <w:p>
            <w:pPr>
              <w:jc w:val="right"/>
              <w:ind w:right="55"/>
              <w:spacing w:after="0" w:line="131" w:lineRule="exact"/>
              <w:rPr>
                <w:sz w:val="20"/>
                <w:szCs w:val="20"/>
                <w:color w:val="auto"/>
              </w:rPr>
            </w:pPr>
            <w:r>
              <w:rPr>
                <w:rFonts w:ascii="Arial" w:cs="Arial" w:eastAsia="Arial" w:hAnsi="Arial"/>
                <w:sz w:val="13"/>
                <w:szCs w:val="13"/>
                <w:b w:val="1"/>
                <w:bCs w:val="1"/>
                <w:color w:val="auto"/>
              </w:rPr>
              <w:t>31,859</w:t>
            </w:r>
          </w:p>
        </w:tc>
        <w:tc>
          <w:tcPr>
            <w:tcW w:w="9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26,411</w:t>
            </w:r>
          </w:p>
        </w:tc>
        <w:tc>
          <w:tcPr>
            <w:tcW w:w="1160" w:type="dxa"/>
            <w:vAlign w:val="bottom"/>
          </w:tcPr>
          <w:p>
            <w:pPr>
              <w:jc w:val="right"/>
              <w:ind w:right="115"/>
              <w:spacing w:after="0" w:line="131" w:lineRule="exact"/>
              <w:rPr>
                <w:sz w:val="20"/>
                <w:szCs w:val="20"/>
                <w:color w:val="auto"/>
              </w:rPr>
            </w:pPr>
            <w:r>
              <w:rPr>
                <w:rFonts w:ascii="Arial" w:cs="Arial" w:eastAsia="Arial" w:hAnsi="Arial"/>
                <w:sz w:val="13"/>
                <w:szCs w:val="13"/>
                <w:b w:val="1"/>
                <w:bCs w:val="1"/>
                <w:color w:val="auto"/>
              </w:rPr>
              <w:t>-17.1%</w:t>
            </w:r>
          </w:p>
        </w:tc>
        <w:tc>
          <w:tcPr>
            <w:tcW w:w="8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39.7%</w:t>
            </w:r>
          </w:p>
        </w:tc>
      </w:tr>
      <w:tr>
        <w:trPr>
          <w:trHeight w:val="289"/>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Other assets </w:t>
            </w:r>
            <w:r>
              <w:rPr>
                <w:rFonts w:ascii="Arial" w:cs="Arial" w:eastAsia="Arial" w:hAnsi="Arial"/>
                <w:sz w:val="21"/>
                <w:szCs w:val="21"/>
                <w:color w:val="auto"/>
                <w:vertAlign w:val="superscript"/>
              </w:rPr>
              <w:t>(2)</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6,455,086</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6,321,863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6,100,840</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-3.5%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r>
      <w:tr>
        <w:trPr>
          <w:trHeight w:val="220"/>
        </w:trPr>
        <w:tc>
          <w:tcPr>
            <w:tcW w:w="6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Total Assets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200,246,075</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194,945,753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193,370,326</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-0.8%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-3.4%</w:t>
            </w:r>
          </w:p>
        </w:tc>
      </w:tr>
      <w:tr>
        <w:trPr>
          <w:trHeight w:val="334"/>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31"/>
        </w:trPr>
        <w:tc>
          <w:tcPr>
            <w:tcW w:w="61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rPr>
              <w:t>Deposits and obligations</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0"/>
                <w:szCs w:val="10"/>
                <w:color w:val="auto"/>
              </w:rPr>
              <w:t xml:space="preserve">Non-interest bearing </w:t>
            </w:r>
            <w:r>
              <w:rPr>
                <w:rFonts w:ascii="Arial" w:cs="Arial" w:eastAsia="Arial" w:hAnsi="Arial"/>
                <w:sz w:val="16"/>
                <w:szCs w:val="16"/>
                <w:color w:val="auto"/>
                <w:vertAlign w:val="superscript"/>
              </w:rPr>
              <w:t>(1)</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45,881,848</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45,297,294</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40,994,205</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-9.5%</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-10.7%</w:t>
            </w:r>
          </w:p>
        </w:tc>
      </w:tr>
      <w:tr>
        <w:trPr>
          <w:trHeight w:val="161"/>
        </w:trPr>
        <w:tc>
          <w:tcPr>
            <w:tcW w:w="6140" w:type="dxa"/>
            <w:vAlign w:val="bottom"/>
            <w:tcBorders>
              <w:left w:val="single" w:sz="8" w:color="auto"/>
              <w:right w:val="single" w:sz="8" w:color="auto"/>
            </w:tcBorders>
          </w:tcPr>
          <w:p>
            <w:pPr>
              <w:ind w:left="180"/>
              <w:spacing w:after="0" w:line="161" w:lineRule="exact"/>
              <w:rPr>
                <w:sz w:val="20"/>
                <w:szCs w:val="20"/>
                <w:color w:val="auto"/>
              </w:rPr>
            </w:pPr>
            <w:r>
              <w:rPr>
                <w:rFonts w:ascii="Arial" w:cs="Arial" w:eastAsia="Arial" w:hAnsi="Arial"/>
                <w:sz w:val="11"/>
                <w:szCs w:val="11"/>
                <w:color w:val="auto"/>
              </w:rPr>
              <w:t xml:space="preserve">Interest bearing </w:t>
            </w:r>
            <w:r>
              <w:rPr>
                <w:rFonts w:ascii="Arial" w:cs="Arial" w:eastAsia="Arial" w:hAnsi="Arial"/>
                <w:sz w:val="18"/>
                <w:szCs w:val="18"/>
                <w:color w:val="auto"/>
                <w:vertAlign w:val="superscript"/>
              </w:rPr>
              <w:t>(1)</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86,547,213</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85,125,304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88,145,130</w:t>
            </w:r>
          </w:p>
        </w:tc>
        <w:tc>
          <w:tcPr>
            <w:tcW w:w="1160" w:type="dxa"/>
            <w:vAlign w:val="bottom"/>
          </w:tcPr>
          <w:p>
            <w:pPr>
              <w:jc w:val="right"/>
              <w:ind w:right="115"/>
              <w:spacing w:after="0"/>
              <w:rPr>
                <w:sz w:val="20"/>
                <w:szCs w:val="20"/>
                <w:color w:val="auto"/>
              </w:rPr>
            </w:pPr>
            <w:r>
              <w:rPr>
                <w:rFonts w:ascii="Arial" w:cs="Arial" w:eastAsia="Arial" w:hAnsi="Arial"/>
                <w:sz w:val="13"/>
                <w:szCs w:val="13"/>
                <w:color w:val="auto"/>
              </w:rPr>
              <w:t>3.5%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77"/>
        </w:trPr>
        <w:tc>
          <w:tcPr>
            <w:tcW w:w="6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Total deposits and obligations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132,429,061</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130,422,598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129,139,335</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-2.5%</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23,879,115</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18,064,487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16,578,846</w:t>
            </w:r>
          </w:p>
        </w:tc>
        <w:tc>
          <w:tcPr>
            <w:tcW w:w="1160" w:type="dxa"/>
            <w:vAlign w:val="bottom"/>
          </w:tcPr>
          <w:p>
            <w:pPr>
              <w:jc w:val="right"/>
              <w:ind w:right="115"/>
              <w:spacing w:after="0"/>
              <w:rPr>
                <w:sz w:val="20"/>
                <w:szCs w:val="20"/>
                <w:color w:val="auto"/>
              </w:rPr>
            </w:pPr>
            <w:r>
              <w:rPr>
                <w:rFonts w:ascii="Arial" w:cs="Arial" w:eastAsia="Arial" w:hAnsi="Arial"/>
                <w:sz w:val="13"/>
                <w:szCs w:val="13"/>
                <w:color w:val="auto"/>
              </w:rPr>
              <w:t>-8.2%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-30.6%</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BCRP instruments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23,329,990</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17,532,350</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16,031,618</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-8.6%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-31.3%</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Repurchase agreements with third parties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549,125</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532,137</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547,228</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-0.3%</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Due to banks and correspondents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5,636,702</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5,872,463</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5,963,573</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1.6%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5.8%</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Bonds and notes issued</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14,368,316</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13,575,977</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14,093,426</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3.8%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-1.9%</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Banker’s acceptances outstanding</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b w:val="1"/>
                <w:bCs w:val="1"/>
                <w:color w:val="auto"/>
              </w:rPr>
              <w:t>558,934</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524,448</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743,925</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b w:val="1"/>
                <w:bCs w:val="1"/>
                <w:color w:val="auto"/>
              </w:rPr>
              <w:t>41.8%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33.1%</w:t>
            </w:r>
          </w:p>
        </w:tc>
      </w:tr>
      <w:tr>
        <w:trPr>
          <w:trHeight w:val="131"/>
        </w:trPr>
        <w:tc>
          <w:tcPr>
            <w:tcW w:w="61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rPr>
              <w:t>Financial liabilities at fair value through profit or loss</w:t>
            </w:r>
          </w:p>
        </w:tc>
        <w:tc>
          <w:tcPr>
            <w:tcW w:w="1160" w:type="dxa"/>
            <w:vAlign w:val="bottom"/>
          </w:tcPr>
          <w:p>
            <w:pPr>
              <w:jc w:val="right"/>
              <w:ind w:right="95"/>
              <w:spacing w:after="0" w:line="131" w:lineRule="exact"/>
              <w:rPr>
                <w:sz w:val="20"/>
                <w:szCs w:val="20"/>
                <w:color w:val="auto"/>
              </w:rPr>
            </w:pPr>
            <w:r>
              <w:rPr>
                <w:rFonts w:ascii="Arial" w:cs="Arial" w:eastAsia="Arial" w:hAnsi="Arial"/>
                <w:sz w:val="13"/>
                <w:szCs w:val="13"/>
                <w:b w:val="1"/>
                <w:bCs w:val="1"/>
                <w:color w:val="auto"/>
              </w:rPr>
              <w:t>84,071</w:t>
            </w:r>
          </w:p>
        </w:tc>
        <w:tc>
          <w:tcPr>
            <w:tcW w:w="1080" w:type="dxa"/>
            <w:vAlign w:val="bottom"/>
          </w:tcPr>
          <w:p>
            <w:pPr>
              <w:jc w:val="right"/>
              <w:ind w:right="55"/>
              <w:spacing w:after="0" w:line="131" w:lineRule="exact"/>
              <w:rPr>
                <w:sz w:val="20"/>
                <w:szCs w:val="20"/>
                <w:color w:val="auto"/>
              </w:rPr>
            </w:pPr>
            <w:r>
              <w:rPr>
                <w:rFonts w:ascii="Arial" w:cs="Arial" w:eastAsia="Arial" w:hAnsi="Arial"/>
                <w:sz w:val="13"/>
                <w:szCs w:val="13"/>
                <w:b w:val="1"/>
                <w:bCs w:val="1"/>
                <w:color w:val="auto"/>
              </w:rPr>
              <w:t>-</w:t>
            </w:r>
          </w:p>
        </w:tc>
        <w:tc>
          <w:tcPr>
            <w:tcW w:w="9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210,393</w:t>
            </w:r>
          </w:p>
        </w:tc>
        <w:tc>
          <w:tcPr>
            <w:tcW w:w="1160" w:type="dxa"/>
            <w:vAlign w:val="bottom"/>
          </w:tcPr>
          <w:p>
            <w:pPr>
              <w:jc w:val="right"/>
              <w:ind w:right="115"/>
              <w:spacing w:after="0" w:line="131" w:lineRule="exact"/>
              <w:rPr>
                <w:sz w:val="20"/>
                <w:szCs w:val="20"/>
                <w:color w:val="auto"/>
              </w:rPr>
            </w:pPr>
            <w:r>
              <w:rPr>
                <w:rFonts w:ascii="Arial" w:cs="Arial" w:eastAsia="Arial" w:hAnsi="Arial"/>
                <w:sz w:val="13"/>
                <w:szCs w:val="13"/>
                <w:b w:val="1"/>
                <w:bCs w:val="1"/>
                <w:color w:val="auto"/>
              </w:rPr>
              <w:t>0.0%</w:t>
            </w:r>
          </w:p>
        </w:tc>
        <w:tc>
          <w:tcPr>
            <w:tcW w:w="8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150.3%</w:t>
            </w:r>
          </w:p>
        </w:tc>
      </w:tr>
      <w:tr>
        <w:trPr>
          <w:trHeight w:val="161"/>
        </w:trPr>
        <w:tc>
          <w:tcPr>
            <w:tcW w:w="614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1"/>
                <w:szCs w:val="11"/>
                <w:b w:val="1"/>
                <w:bCs w:val="1"/>
                <w:color w:val="auto"/>
              </w:rPr>
              <w:t xml:space="preserve">Other liabilities </w:t>
            </w:r>
            <w:r>
              <w:rPr>
                <w:rFonts w:ascii="Arial" w:cs="Arial" w:eastAsia="Arial" w:hAnsi="Arial"/>
                <w:sz w:val="18"/>
                <w:szCs w:val="18"/>
                <w:color w:val="auto"/>
                <w:vertAlign w:val="superscript"/>
              </w:rPr>
              <w:t>(3)</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4,261,450</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6,211,275</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5,512,852</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-11.2%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29.4%</w:t>
            </w:r>
          </w:p>
        </w:tc>
      </w:tr>
      <w:tr>
        <w:trPr>
          <w:trHeight w:val="177"/>
        </w:trPr>
        <w:tc>
          <w:tcPr>
            <w:tcW w:w="6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Total Liabilities</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181,217,649</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174,671,248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172,242,350</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-1.4%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18,908,512</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20,140,022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20,987,313</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4.2%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11.0%</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Capital stock</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11,024,006</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11,882,984</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11,882,984</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0.0%</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7.8%</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Reserves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6,488,969</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7,297,648</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7,298,035</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0.0%</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12.5%</w:t>
            </w:r>
          </w:p>
        </w:tc>
      </w:tr>
      <w:tr>
        <w:trPr>
          <w:trHeight w:val="146"/>
        </w:trPr>
        <w:tc>
          <w:tcPr>
            <w:tcW w:w="614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Unrealized gains and losses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(123,542)</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(780,063)</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(1,089,747)</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n.a.</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n.a.</w:t>
            </w:r>
          </w:p>
        </w:tc>
      </w:tr>
      <w:tr>
        <w:trPr>
          <w:trHeight w:val="171"/>
        </w:trPr>
        <w:tc>
          <w:tcPr>
            <w:tcW w:w="6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Retained earnings</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1,519,079</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1,739,453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2,896,041</w:t>
            </w:r>
          </w:p>
        </w:tc>
        <w:tc>
          <w:tcPr>
            <w:tcW w:w="1160" w:type="dxa"/>
            <w:vAlign w:val="bottom"/>
          </w:tcPr>
          <w:p>
            <w:pPr>
              <w:jc w:val="right"/>
              <w:ind w:right="115"/>
              <w:spacing w:after="0"/>
              <w:rPr>
                <w:sz w:val="20"/>
                <w:szCs w:val="20"/>
                <w:color w:val="auto"/>
              </w:rPr>
            </w:pPr>
            <w:r>
              <w:rPr>
                <w:rFonts w:ascii="Arial" w:cs="Arial" w:eastAsia="Arial" w:hAnsi="Arial"/>
                <w:sz w:val="13"/>
                <w:szCs w:val="13"/>
                <w:color w:val="auto"/>
              </w:rPr>
              <w:t>66.5%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90.6%</w:t>
            </w:r>
          </w:p>
        </w:tc>
      </w:tr>
      <w:tr>
        <w:trPr>
          <w:trHeight w:val="31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119,914</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134,483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140,663</w:t>
            </w:r>
          </w:p>
        </w:tc>
        <w:tc>
          <w:tcPr>
            <w:tcW w:w="1160" w:type="dxa"/>
            <w:vAlign w:val="bottom"/>
          </w:tcPr>
          <w:p>
            <w:pPr>
              <w:jc w:val="right"/>
              <w:ind w:right="115"/>
              <w:spacing w:after="0"/>
              <w:rPr>
                <w:sz w:val="20"/>
                <w:szCs w:val="20"/>
                <w:color w:val="auto"/>
              </w:rPr>
            </w:pPr>
            <w:r>
              <w:rPr>
                <w:rFonts w:ascii="Arial" w:cs="Arial" w:eastAsia="Arial" w:hAnsi="Arial"/>
                <w:sz w:val="13"/>
                <w:szCs w:val="13"/>
                <w:color w:val="auto"/>
              </w:rPr>
              <w:t>4.6%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w:t>
            </w:r>
          </w:p>
        </w:tc>
      </w:tr>
      <w:tr>
        <w:trPr>
          <w:trHeight w:val="323"/>
        </w:trPr>
        <w:tc>
          <w:tcPr>
            <w:tcW w:w="6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Total Net Equity</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19,028,426</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20,274,505</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21,127,976</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4.2%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11.0%</w:t>
            </w:r>
          </w:p>
        </w:tc>
      </w:tr>
      <w:tr>
        <w:trPr>
          <w:trHeight w:val="31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160" w:type="dxa"/>
            <w:vAlign w:val="bottom"/>
          </w:tcPr>
          <w:p>
            <w:pPr>
              <w:jc w:val="right"/>
              <w:ind w:right="95"/>
              <w:spacing w:after="0"/>
              <w:rPr>
                <w:sz w:val="20"/>
                <w:szCs w:val="20"/>
                <w:color w:val="auto"/>
              </w:rPr>
            </w:pPr>
            <w:r>
              <w:rPr>
                <w:rFonts w:ascii="Arial" w:cs="Arial" w:eastAsia="Arial" w:hAnsi="Arial"/>
                <w:sz w:val="13"/>
                <w:szCs w:val="13"/>
                <w:b w:val="1"/>
                <w:bCs w:val="1"/>
                <w:color w:val="auto"/>
              </w:rPr>
              <w:t>200,246,075</w:t>
            </w:r>
          </w:p>
        </w:tc>
        <w:tc>
          <w:tcPr>
            <w:tcW w:w="1080" w:type="dxa"/>
            <w:vAlign w:val="bottom"/>
          </w:tcPr>
          <w:p>
            <w:pPr>
              <w:jc w:val="right"/>
              <w:ind w:right="55"/>
              <w:spacing w:after="0"/>
              <w:rPr>
                <w:sz w:val="20"/>
                <w:szCs w:val="20"/>
                <w:color w:val="auto"/>
              </w:rPr>
            </w:pPr>
            <w:r>
              <w:rPr>
                <w:rFonts w:ascii="Arial" w:cs="Arial" w:eastAsia="Arial" w:hAnsi="Arial"/>
                <w:sz w:val="13"/>
                <w:szCs w:val="13"/>
                <w:b w:val="1"/>
                <w:bCs w:val="1"/>
                <w:color w:val="auto"/>
              </w:rPr>
              <w:t>194,945,753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193,370,326</w:t>
            </w:r>
          </w:p>
        </w:tc>
        <w:tc>
          <w:tcPr>
            <w:tcW w:w="1160" w:type="dxa"/>
            <w:vAlign w:val="bottom"/>
          </w:tcPr>
          <w:p>
            <w:pPr>
              <w:jc w:val="right"/>
              <w:ind w:right="115"/>
              <w:spacing w:after="0"/>
              <w:rPr>
                <w:sz w:val="20"/>
                <w:szCs w:val="20"/>
                <w:color w:val="auto"/>
              </w:rPr>
            </w:pPr>
            <w:r>
              <w:rPr>
                <w:rFonts w:ascii="Arial" w:cs="Arial" w:eastAsia="Arial" w:hAnsi="Arial"/>
                <w:sz w:val="13"/>
                <w:szCs w:val="13"/>
                <w:b w:val="1"/>
                <w:bCs w:val="1"/>
                <w:color w:val="auto"/>
              </w:rPr>
              <w:t>-0.8%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-3.4%</w:t>
            </w:r>
          </w:p>
        </w:tc>
      </w:tr>
      <w:tr>
        <w:trPr>
          <w:trHeight w:val="28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Off-balance sheet</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131,540,506</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131,406,579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130,782,706</w:t>
            </w:r>
          </w:p>
        </w:tc>
        <w:tc>
          <w:tcPr>
            <w:tcW w:w="1160" w:type="dxa"/>
            <w:vAlign w:val="bottom"/>
          </w:tcPr>
          <w:p>
            <w:pPr>
              <w:jc w:val="right"/>
              <w:ind w:right="115"/>
              <w:spacing w:after="0"/>
              <w:rPr>
                <w:sz w:val="20"/>
                <w:szCs w:val="20"/>
                <w:color w:val="auto"/>
              </w:rPr>
            </w:pPr>
            <w:r>
              <w:rPr>
                <w:rFonts w:ascii="Arial" w:cs="Arial" w:eastAsia="Arial" w:hAnsi="Arial"/>
                <w:sz w:val="13"/>
                <w:szCs w:val="13"/>
                <w:color w:val="auto"/>
              </w:rPr>
              <w:t>-0.5%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Total performance bonds, stand-by and L/Cs.</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21,228,772</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19,638,213</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19,490,337</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-0.8%</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-8.2%</w:t>
            </w:r>
          </w:p>
        </w:tc>
      </w:tr>
      <w:tr>
        <w:trPr>
          <w:trHeight w:val="146"/>
        </w:trPr>
        <w:tc>
          <w:tcPr>
            <w:tcW w:w="614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Undrawn credit lines, advised but not committed</w:t>
            </w:r>
          </w:p>
        </w:tc>
        <w:tc>
          <w:tcPr>
            <w:tcW w:w="11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75,964,511</w:t>
            </w:r>
          </w:p>
        </w:tc>
        <w:tc>
          <w:tcPr>
            <w:tcW w:w="10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70,893,784</w:t>
            </w:r>
          </w:p>
        </w:tc>
        <w:tc>
          <w:tcPr>
            <w:tcW w:w="9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74,845,631</w:t>
            </w:r>
          </w:p>
        </w:tc>
        <w:tc>
          <w:tcPr>
            <w:tcW w:w="11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5.6%</w:t>
            </w:r>
          </w:p>
        </w:tc>
        <w:tc>
          <w:tcPr>
            <w:tcW w:w="84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-1.5%</w:t>
            </w:r>
          </w:p>
        </w:tc>
      </w:tr>
      <w:tr>
        <w:trPr>
          <w:trHeight w:val="158"/>
        </w:trPr>
        <w:tc>
          <w:tcPr>
            <w:tcW w:w="6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derivatives (notional) and others</w:t>
            </w: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34,347,223</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40,874,582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36,446,738</w:t>
            </w: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-10.8%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6.1%</w:t>
            </w:r>
          </w:p>
        </w:tc>
      </w:tr>
    </w:tbl>
    <w:p>
      <w:pPr>
        <w:spacing w:after="0" w:line="211" w:lineRule="exact"/>
        <w:rPr>
          <w:sz w:val="20"/>
          <w:szCs w:val="20"/>
          <w:color w:val="auto"/>
        </w:rPr>
      </w:pPr>
    </w:p>
    <w:p>
      <w:pPr>
        <w:ind w:left="160" w:hanging="143"/>
        <w:spacing w:after="0"/>
        <w:tabs>
          <w:tab w:leader="none" w:pos="1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Right of use asset of lease contracts is included by application of IFRS 16.</w:t>
      </w:r>
    </w:p>
    <w:p>
      <w:pPr>
        <w:spacing w:after="0" w:line="7" w:lineRule="exact"/>
        <w:rPr>
          <w:rFonts w:ascii="Times New Roman" w:cs="Times New Roman" w:eastAsia="Times New Roman" w:hAnsi="Times New Roman"/>
          <w:sz w:val="11"/>
          <w:szCs w:val="11"/>
          <w:color w:val="auto"/>
        </w:rPr>
      </w:pPr>
    </w:p>
    <w:p>
      <w:pPr>
        <w:ind w:left="160" w:hanging="143"/>
        <w:spacing w:after="0" w:line="231" w:lineRule="auto"/>
        <w:tabs>
          <w:tab w:leader="none" w:pos="1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intangible assets, other receivable accounts and tax credit.</w:t>
      </w:r>
    </w:p>
    <w:p>
      <w:pPr>
        <w:ind w:left="160" w:hanging="143"/>
        <w:spacing w:after="0"/>
        <w:tabs>
          <w:tab w:leader="none" w:pos="1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other payable accounts.</w:t>
      </w:r>
    </w:p>
    <w:p>
      <w:pPr>
        <w:spacing w:after="0" w:line="20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58" w:name="page59"/>
    <w:bookmarkEnd w:id="58"/>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3180" w:type="dxa"/>
            <w:vAlign w:val="bottom"/>
            <w:tcBorders>
              <w:right w:val="single" w:sz="8" w:color="auto"/>
            </w:tcBorders>
          </w:tcPr>
          <w:p>
            <w:pPr>
              <w:spacing w:after="0"/>
              <w:rPr>
                <w:sz w:val="17"/>
                <w:szCs w:val="17"/>
                <w:color w:val="auto"/>
              </w:rPr>
            </w:pPr>
          </w:p>
        </w:tc>
        <w:tc>
          <w:tcPr>
            <w:tcW w:w="1140" w:type="dxa"/>
            <w:vAlign w:val="bottom"/>
            <w:tcBorders>
              <w:top w:val="single" w:sz="8" w:color="auto"/>
            </w:tcBorders>
            <w:shd w:val="clear" w:color="auto" w:fill="2AD2C9"/>
          </w:tcPr>
          <w:p>
            <w:pPr>
              <w:spacing w:after="0"/>
              <w:rPr>
                <w:sz w:val="17"/>
                <w:szCs w:val="17"/>
                <w:color w:val="auto"/>
              </w:rPr>
            </w:pPr>
          </w:p>
        </w:tc>
        <w:tc>
          <w:tcPr>
            <w:tcW w:w="1060" w:type="dxa"/>
            <w:vAlign w:val="bottom"/>
            <w:tcBorders>
              <w:top w:val="single" w:sz="8" w:color="auto"/>
            </w:tcBorders>
            <w:shd w:val="clear" w:color="auto" w:fill="2AD2C9"/>
          </w:tcPr>
          <w:p>
            <w:pPr>
              <w:jc w:val="right"/>
              <w:ind w:right="375"/>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7"/>
                <w:szCs w:val="17"/>
                <w:color w:val="auto"/>
              </w:rPr>
            </w:pPr>
          </w:p>
        </w:tc>
        <w:tc>
          <w:tcPr>
            <w:tcW w:w="200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3"/>
                <w:szCs w:val="13"/>
                <w:b w:val="1"/>
                <w:bCs w:val="1"/>
                <w:color w:val="FFFFFF"/>
              </w:rPr>
              <w:t>% change</w:t>
            </w:r>
          </w:p>
        </w:tc>
        <w:tc>
          <w:tcPr>
            <w:tcW w:w="1240" w:type="dxa"/>
            <w:vAlign w:val="bottom"/>
            <w:tcBorders>
              <w:top w:val="single" w:sz="8" w:color="auto"/>
            </w:tcBorders>
            <w:shd w:val="clear" w:color="auto" w:fill="2AD2C9"/>
          </w:tcPr>
          <w:p>
            <w:pPr>
              <w:jc w:val="right"/>
              <w:ind w:right="15"/>
              <w:spacing w:after="0"/>
              <w:rPr>
                <w:sz w:val="20"/>
                <w:szCs w:val="20"/>
                <w:color w:val="auto"/>
              </w:rPr>
            </w:pPr>
            <w:r>
              <w:rPr>
                <w:rFonts w:ascii="Arial" w:cs="Arial" w:eastAsia="Arial" w:hAnsi="Arial"/>
                <w:sz w:val="13"/>
                <w:szCs w:val="13"/>
                <w:b w:val="1"/>
                <w:bCs w:val="1"/>
                <w:color w:val="FFFFFF"/>
              </w:rPr>
              <w:t>As of</w:t>
            </w:r>
          </w:p>
        </w:tc>
        <w:tc>
          <w:tcPr>
            <w:tcW w:w="800" w:type="dxa"/>
            <w:vAlign w:val="bottom"/>
            <w:tcBorders>
              <w:top w:val="single" w:sz="8" w:color="auto"/>
              <w:right w:val="single" w:sz="8" w:color="auto"/>
            </w:tcBorders>
            <w:shd w:val="clear" w:color="auto" w:fill="2AD2C9"/>
          </w:tcPr>
          <w:p>
            <w:pPr>
              <w:spacing w:after="0"/>
              <w:rPr>
                <w:sz w:val="17"/>
                <w:szCs w:val="17"/>
                <w:color w:val="auto"/>
              </w:rPr>
            </w:pPr>
          </w:p>
        </w:tc>
        <w:tc>
          <w:tcPr>
            <w:tcW w:w="9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 change</w:t>
            </w:r>
          </w:p>
        </w:tc>
      </w:tr>
      <w:tr>
        <w:trPr>
          <w:trHeight w:val="158"/>
        </w:trPr>
        <w:tc>
          <w:tcPr>
            <w:tcW w:w="31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shd w:val="clear" w:color="auto" w:fill="2AD2C9"/>
          </w:tcPr>
          <w:p>
            <w:pPr>
              <w:jc w:val="right"/>
              <w:ind w:right="415"/>
              <w:spacing w:after="0"/>
              <w:rPr>
                <w:sz w:val="20"/>
                <w:szCs w:val="20"/>
                <w:color w:val="auto"/>
              </w:rPr>
            </w:pPr>
            <w:r>
              <w:rPr>
                <w:rFonts w:ascii="Arial" w:cs="Arial" w:eastAsia="Arial" w:hAnsi="Arial"/>
                <w:sz w:val="13"/>
                <w:szCs w:val="13"/>
                <w:b w:val="1"/>
                <w:bCs w:val="1"/>
                <w:color w:val="FFFFFF"/>
              </w:rPr>
              <w:t>2Q21</w:t>
            </w:r>
          </w:p>
        </w:tc>
        <w:tc>
          <w:tcPr>
            <w:tcW w:w="1060" w:type="dxa"/>
            <w:vAlign w:val="bottom"/>
            <w:tcBorders>
              <w:bottom w:val="single" w:sz="8" w:color="auto"/>
            </w:tcBorders>
            <w:shd w:val="clear" w:color="auto" w:fill="2AD2C9"/>
          </w:tcPr>
          <w:p>
            <w:pPr>
              <w:jc w:val="right"/>
              <w:ind w:right="475"/>
              <w:spacing w:after="0"/>
              <w:rPr>
                <w:sz w:val="20"/>
                <w:szCs w:val="20"/>
                <w:color w:val="auto"/>
              </w:rPr>
            </w:pPr>
            <w:r>
              <w:rPr>
                <w:rFonts w:ascii="Arial" w:cs="Arial" w:eastAsia="Arial" w:hAnsi="Arial"/>
                <w:sz w:val="13"/>
                <w:szCs w:val="13"/>
                <w:b w:val="1"/>
                <w:bCs w:val="1"/>
                <w:color w:val="FFFFFF"/>
              </w:rPr>
              <w:t>1Q22</w:t>
            </w:r>
          </w:p>
        </w:tc>
        <w:tc>
          <w:tcPr>
            <w:tcW w:w="880" w:type="dxa"/>
            <w:vAlign w:val="bottom"/>
            <w:tcBorders>
              <w:bottom w:val="single" w:sz="8" w:color="auto"/>
              <w:right w:val="single" w:sz="8" w:color="auto"/>
            </w:tcBorders>
            <w:shd w:val="clear" w:color="auto" w:fill="2AD2C9"/>
          </w:tcPr>
          <w:p>
            <w:pPr>
              <w:jc w:val="right"/>
              <w:ind w:right="315"/>
              <w:spacing w:after="0"/>
              <w:rPr>
                <w:sz w:val="20"/>
                <w:szCs w:val="20"/>
                <w:color w:val="auto"/>
              </w:rPr>
            </w:pPr>
            <w:r>
              <w:rPr>
                <w:rFonts w:ascii="Arial" w:cs="Arial" w:eastAsia="Arial" w:hAnsi="Arial"/>
                <w:sz w:val="13"/>
                <w:szCs w:val="13"/>
                <w:b w:val="1"/>
                <w:bCs w:val="1"/>
                <w:color w:val="FFFFFF"/>
              </w:rPr>
              <w:t>2Q22</w:t>
            </w:r>
          </w:p>
        </w:tc>
        <w:tc>
          <w:tcPr>
            <w:tcW w:w="98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QoQ</w:t>
            </w:r>
          </w:p>
        </w:tc>
        <w:tc>
          <w:tcPr>
            <w:tcW w:w="102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3"/>
                <w:szCs w:val="13"/>
                <w:b w:val="1"/>
                <w:bCs w:val="1"/>
                <w:color w:val="FFFFFF"/>
              </w:rPr>
              <w:t>YoY</w:t>
            </w:r>
          </w:p>
        </w:tc>
        <w:tc>
          <w:tcPr>
            <w:tcW w:w="1240" w:type="dxa"/>
            <w:vAlign w:val="bottom"/>
            <w:tcBorders>
              <w:bottom w:val="single" w:sz="8" w:color="auto"/>
            </w:tcBorders>
            <w:shd w:val="clear" w:color="auto" w:fill="2AD2C9"/>
          </w:tcPr>
          <w:p>
            <w:pPr>
              <w:jc w:val="right"/>
              <w:ind w:right="475"/>
              <w:spacing w:after="0"/>
              <w:rPr>
                <w:sz w:val="20"/>
                <w:szCs w:val="20"/>
                <w:color w:val="auto"/>
              </w:rPr>
            </w:pPr>
            <w:r>
              <w:rPr>
                <w:rFonts w:ascii="Arial" w:cs="Arial" w:eastAsia="Arial" w:hAnsi="Arial"/>
                <w:sz w:val="13"/>
                <w:szCs w:val="13"/>
                <w:b w:val="1"/>
                <w:bCs w:val="1"/>
                <w:color w:val="FFFFFF"/>
              </w:rPr>
              <w:t>Jun 21</w:t>
            </w:r>
          </w:p>
        </w:tc>
        <w:tc>
          <w:tcPr>
            <w:tcW w:w="800" w:type="dxa"/>
            <w:vAlign w:val="bottom"/>
            <w:tcBorders>
              <w:bottom w:val="single" w:sz="8" w:color="auto"/>
              <w:right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Jun 22</w:t>
            </w:r>
          </w:p>
        </w:tc>
        <w:tc>
          <w:tcPr>
            <w:tcW w:w="9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Jun 22 / Jun 21</w:t>
            </w:r>
          </w:p>
        </w:tc>
      </w:tr>
      <w:tr>
        <w:trPr>
          <w:trHeight w:val="163"/>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Interest income and expense</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Interest and dividend income</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2,446,731</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2,712,960</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2,988,885</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10.2%</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22.2%</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4,854,728</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5,701,845</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17.4%</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Interest expense</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(438,943)</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(494,035)</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(590,599)</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19.5%</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34.6%</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(993,951)</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(1,084,634)</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9.1%</w:t>
            </w:r>
          </w:p>
        </w:tc>
      </w:tr>
      <w:tr>
        <w:trPr>
          <w:trHeight w:val="177"/>
        </w:trPr>
        <w:tc>
          <w:tcPr>
            <w:tcW w:w="3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Net interest income</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2,007,788</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2,218,925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2,398,286</w:t>
            </w:r>
          </w:p>
        </w:tc>
        <w:tc>
          <w:tcPr>
            <w:tcW w:w="980" w:type="dxa"/>
            <w:vAlign w:val="bottom"/>
          </w:tcPr>
          <w:p>
            <w:pPr>
              <w:jc w:val="center"/>
              <w:spacing w:after="0"/>
              <w:rPr>
                <w:sz w:val="20"/>
                <w:szCs w:val="20"/>
                <w:color w:val="auto"/>
              </w:rPr>
            </w:pPr>
            <w:r>
              <w:rPr>
                <w:rFonts w:ascii="Arial" w:cs="Arial" w:eastAsia="Arial" w:hAnsi="Arial"/>
                <w:sz w:val="13"/>
                <w:szCs w:val="13"/>
                <w:color w:val="auto"/>
              </w:rPr>
              <w:t>8.1%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19.4%</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3,860,777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4,617,211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19.6%</w:t>
            </w:r>
          </w:p>
        </w:tc>
      </w:tr>
      <w:tr>
        <w:trPr>
          <w:trHeight w:val="285"/>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Provision for credit losses on loan portfolio</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(480,116)</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(340,235)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(400,124)</w:t>
            </w:r>
          </w:p>
        </w:tc>
        <w:tc>
          <w:tcPr>
            <w:tcW w:w="980" w:type="dxa"/>
            <w:vAlign w:val="bottom"/>
          </w:tcPr>
          <w:p>
            <w:pPr>
              <w:jc w:val="center"/>
              <w:spacing w:after="0"/>
              <w:rPr>
                <w:sz w:val="20"/>
                <w:szCs w:val="20"/>
                <w:color w:val="auto"/>
              </w:rPr>
            </w:pPr>
            <w:r>
              <w:rPr>
                <w:rFonts w:ascii="Arial" w:cs="Arial" w:eastAsia="Arial" w:hAnsi="Arial"/>
                <w:sz w:val="13"/>
                <w:szCs w:val="13"/>
                <w:color w:val="auto"/>
              </w:rPr>
              <w:t>17.6%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-16.7%</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(1,065,373)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(740,359)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-30.5%</w:t>
            </w:r>
          </w:p>
        </w:tc>
      </w:tr>
      <w:tr>
        <w:trPr>
          <w:trHeight w:val="146"/>
        </w:trPr>
        <w:tc>
          <w:tcPr>
            <w:tcW w:w="318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Recoveries of written-off loans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73,023</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86,428</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77,244</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-10.6%</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5.8%</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134,119</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163,672</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22.0%</w:t>
            </w:r>
          </w:p>
        </w:tc>
      </w:tr>
      <w:tr>
        <w:trPr>
          <w:trHeight w:val="171"/>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9"/>
              </w:rPr>
              <w:t>Provision for credit losses on loan portfolio, net of</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(407,093)</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(253,807)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(322,880)</w:t>
            </w:r>
          </w:p>
        </w:tc>
        <w:tc>
          <w:tcPr>
            <w:tcW w:w="980" w:type="dxa"/>
            <w:vAlign w:val="bottom"/>
          </w:tcPr>
          <w:p>
            <w:pPr>
              <w:jc w:val="center"/>
              <w:spacing w:after="0"/>
              <w:rPr>
                <w:sz w:val="20"/>
                <w:szCs w:val="20"/>
                <w:color w:val="auto"/>
              </w:rPr>
            </w:pPr>
            <w:r>
              <w:rPr>
                <w:rFonts w:ascii="Arial" w:cs="Arial" w:eastAsia="Arial" w:hAnsi="Arial"/>
                <w:sz w:val="13"/>
                <w:szCs w:val="13"/>
                <w:color w:val="auto"/>
              </w:rPr>
              <w:t>27.2%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-20.7%</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(931,254)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(576,687)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-38.1%</w:t>
            </w:r>
          </w:p>
        </w:tc>
      </w:tr>
      <w:tr>
        <w:trPr>
          <w:trHeight w:val="146"/>
        </w:trPr>
        <w:tc>
          <w:tcPr>
            <w:tcW w:w="3180" w:type="dxa"/>
            <w:vAlign w:val="bottom"/>
            <w:tcBorders>
              <w:left w:val="single" w:sz="8" w:color="auto"/>
              <w:right w:val="single" w:sz="8" w:color="auto"/>
            </w:tcBorders>
          </w:tcPr>
          <w:p>
            <w:pPr>
              <w:ind w:left="140"/>
              <w:spacing w:after="0" w:line="146" w:lineRule="exact"/>
              <w:rPr>
                <w:sz w:val="20"/>
                <w:szCs w:val="20"/>
                <w:color w:val="auto"/>
              </w:rPr>
            </w:pPr>
            <w:r>
              <w:rPr>
                <w:rFonts w:ascii="Arial" w:cs="Arial" w:eastAsia="Arial" w:hAnsi="Arial"/>
                <w:sz w:val="13"/>
                <w:szCs w:val="13"/>
                <w:b w:val="1"/>
                <w:bCs w:val="1"/>
                <w:color w:val="auto"/>
              </w:rPr>
              <w:t>recoveries</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r>
      <w:tr>
        <w:trPr>
          <w:trHeight w:val="177"/>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Risk-adjusted net interest income</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1,600,695</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1,965,118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2,075,406</w:t>
            </w:r>
          </w:p>
        </w:tc>
        <w:tc>
          <w:tcPr>
            <w:tcW w:w="980" w:type="dxa"/>
            <w:vAlign w:val="bottom"/>
          </w:tcPr>
          <w:p>
            <w:pPr>
              <w:jc w:val="center"/>
              <w:spacing w:after="0"/>
              <w:rPr>
                <w:sz w:val="20"/>
                <w:szCs w:val="20"/>
                <w:color w:val="auto"/>
              </w:rPr>
            </w:pPr>
            <w:r>
              <w:rPr>
                <w:rFonts w:ascii="Arial" w:cs="Arial" w:eastAsia="Arial" w:hAnsi="Arial"/>
                <w:sz w:val="13"/>
                <w:szCs w:val="13"/>
                <w:color w:val="auto"/>
              </w:rPr>
              <w:t>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29.7%</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2,929,523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4,040,524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37.9%</w:t>
            </w:r>
          </w:p>
        </w:tc>
      </w:tr>
      <w:tr>
        <w:trPr>
          <w:trHeight w:val="31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Non-financial income</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Fee income</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648,980</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731,705</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753,835</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3.0%</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16.2%</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1,280,758</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1,485,540</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16.0%</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Net gain on foreign exchange transactions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240,553</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242,504</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243,566</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0.4%</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1.3%</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414,018</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486,070</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17.4%</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Net gain (loss) on securities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(130,474)</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(1,898)</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(2,611)</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37.6%</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-98.0%</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(88,362)</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(4,509)</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-94.9%</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Net gain (loss) on derivatives held for trading</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31,844</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(10,978)</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(19,037)</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73.4%</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-159.8%</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44,164</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(30,015)</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-168.0%</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Net gain (loss) from exchange differences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56,816</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(17,051)</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9,043</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9"/>
              </w:rPr>
              <w:t>-153.0%</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-84.1%</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53,995</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(8,008)</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-114.8%</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Others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41,734</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120,328</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46,354</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-61.5%</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11.1%</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100,126</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166,682</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66.5%</w:t>
            </w:r>
          </w:p>
        </w:tc>
      </w:tr>
      <w:tr>
        <w:trPr>
          <w:trHeight w:val="177"/>
        </w:trPr>
        <w:tc>
          <w:tcPr>
            <w:tcW w:w="3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Total other income</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889,453</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1,064,610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1,031,150</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15.9%</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1,804,699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2,095,760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16.1%</w:t>
            </w:r>
          </w:p>
        </w:tc>
      </w:tr>
      <w:tr>
        <w:trPr>
          <w:trHeight w:val="31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Salaries and employee benefits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(632,636)</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(694,339)</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(688,691)</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w w:val="99"/>
              </w:rPr>
              <w:t>-0.8%</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8.9%</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(1,235,811)</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(1,383,030)</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11.9%</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Administrative expenses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(516,669)</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(532,560)</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(638,366)</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19.9%</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23.6%</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(950,386)</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(1,170,926)</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23.2%</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Depreciation and amortization</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(125,592)</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(126,426)</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(130,253)</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3.0%</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3.7%</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(253,170)</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(256,679)</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1.4%</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Other expenses</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(59,093)</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(49,556)</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(52,035)</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5.0%</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-11.9%</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(108,269)</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(101,591)</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-6.2%</w:t>
            </w:r>
          </w:p>
        </w:tc>
      </w:tr>
      <w:tr>
        <w:trPr>
          <w:trHeight w:val="177"/>
        </w:trPr>
        <w:tc>
          <w:tcPr>
            <w:tcW w:w="3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Total expenses</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(1,333,990)</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(1,402,881)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(1,509,345)</w:t>
            </w:r>
          </w:p>
        </w:tc>
        <w:tc>
          <w:tcPr>
            <w:tcW w:w="980" w:type="dxa"/>
            <w:vAlign w:val="bottom"/>
          </w:tcPr>
          <w:p>
            <w:pPr>
              <w:jc w:val="center"/>
              <w:spacing w:after="0"/>
              <w:rPr>
                <w:sz w:val="20"/>
                <w:szCs w:val="20"/>
                <w:color w:val="auto"/>
              </w:rPr>
            </w:pPr>
            <w:r>
              <w:rPr>
                <w:rFonts w:ascii="Arial" w:cs="Arial" w:eastAsia="Arial" w:hAnsi="Arial"/>
                <w:sz w:val="13"/>
                <w:szCs w:val="13"/>
                <w:color w:val="auto"/>
              </w:rPr>
              <w:t>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(2,547,636)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(2,912,226)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14.3%</w:t>
            </w:r>
          </w:p>
        </w:tc>
      </w:tr>
      <w:tr>
        <w:trPr>
          <w:trHeight w:val="317"/>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1,156,158</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1,626,847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1,597,211</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2,186,586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3,224,058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47.4%</w:t>
            </w:r>
          </w:p>
        </w:tc>
      </w:tr>
      <w:tr>
        <w:trPr>
          <w:trHeight w:val="311"/>
        </w:trPr>
        <w:tc>
          <w:tcPr>
            <w:tcW w:w="3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Income tax</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(356,194)</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(466,694)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(434,823)</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(630,992)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(901,517)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42.9%</w:t>
            </w:r>
          </w:p>
        </w:tc>
      </w:tr>
      <w:tr>
        <w:trPr>
          <w:trHeight w:val="291"/>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799,964</w:t>
            </w:r>
          </w:p>
        </w:tc>
        <w:tc>
          <w:tcPr>
            <w:tcW w:w="1060" w:type="dxa"/>
            <w:vAlign w:val="bottom"/>
          </w:tcPr>
          <w:p>
            <w:pPr>
              <w:jc w:val="right"/>
              <w:ind w:right="115"/>
              <w:spacing w:after="0"/>
              <w:rPr>
                <w:sz w:val="20"/>
                <w:szCs w:val="20"/>
                <w:color w:val="auto"/>
              </w:rPr>
            </w:pPr>
            <w:r>
              <w:rPr>
                <w:rFonts w:ascii="Arial" w:cs="Arial" w:eastAsia="Arial" w:hAnsi="Arial"/>
                <w:sz w:val="13"/>
                <w:szCs w:val="13"/>
                <w:color w:val="auto"/>
              </w:rPr>
              <w:t>1,160,153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1,162,388</w:t>
            </w:r>
          </w:p>
        </w:tc>
        <w:tc>
          <w:tcPr>
            <w:tcW w:w="980" w:type="dxa"/>
            <w:vAlign w:val="bottom"/>
          </w:tcPr>
          <w:p>
            <w:pPr>
              <w:jc w:val="center"/>
              <w:spacing w:after="0"/>
              <w:rPr>
                <w:sz w:val="20"/>
                <w:szCs w:val="20"/>
                <w:color w:val="auto"/>
              </w:rPr>
            </w:pPr>
            <w:r>
              <w:rPr>
                <w:rFonts w:ascii="Arial" w:cs="Arial" w:eastAsia="Arial" w:hAnsi="Arial"/>
                <w:sz w:val="13"/>
                <w:szCs w:val="13"/>
                <w:color w:val="auto"/>
              </w:rPr>
              <w:t>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45.3%</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1,555,594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2,322,541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49.3%</w:t>
            </w:r>
          </w:p>
        </w:tc>
      </w:tr>
      <w:tr>
        <w:trPr>
          <w:trHeight w:val="146"/>
        </w:trPr>
        <w:tc>
          <w:tcPr>
            <w:tcW w:w="3180" w:type="dxa"/>
            <w:vAlign w:val="bottom"/>
            <w:tcBorders>
              <w:left w:val="single" w:sz="8" w:color="auto"/>
              <w:right w:val="single" w:sz="8" w:color="auto"/>
            </w:tcBorders>
          </w:tcPr>
          <w:p>
            <w:pPr>
              <w:ind w:left="180"/>
              <w:spacing w:after="0" w:line="146" w:lineRule="exact"/>
              <w:rPr>
                <w:sz w:val="20"/>
                <w:szCs w:val="20"/>
                <w:color w:val="auto"/>
              </w:rPr>
            </w:pPr>
            <w:r>
              <w:rPr>
                <w:rFonts w:ascii="Arial" w:cs="Arial" w:eastAsia="Arial" w:hAnsi="Arial"/>
                <w:sz w:val="13"/>
                <w:szCs w:val="13"/>
                <w:color w:val="auto"/>
              </w:rPr>
              <w:t>Non-controlling interest</w:t>
            </w:r>
          </w:p>
        </w:tc>
        <w:tc>
          <w:tcPr>
            <w:tcW w:w="11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(2,742)</w:t>
            </w:r>
          </w:p>
        </w:tc>
        <w:tc>
          <w:tcPr>
            <w:tcW w:w="106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(5,157)</w:t>
            </w:r>
          </w:p>
        </w:tc>
        <w:tc>
          <w:tcPr>
            <w:tcW w:w="88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(6,426)</w:t>
            </w:r>
          </w:p>
        </w:tc>
        <w:tc>
          <w:tcPr>
            <w:tcW w:w="980" w:type="dxa"/>
            <w:vAlign w:val="bottom"/>
          </w:tcPr>
          <w:p>
            <w:pPr>
              <w:jc w:val="center"/>
              <w:spacing w:after="0" w:line="146" w:lineRule="exact"/>
              <w:rPr>
                <w:sz w:val="20"/>
                <w:szCs w:val="20"/>
                <w:color w:val="auto"/>
              </w:rPr>
            </w:pPr>
            <w:r>
              <w:rPr>
                <w:rFonts w:ascii="Arial" w:cs="Arial" w:eastAsia="Arial" w:hAnsi="Arial"/>
                <w:sz w:val="13"/>
                <w:szCs w:val="13"/>
                <w:color w:val="auto"/>
              </w:rPr>
              <w:t>24.6%</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134.4%</w:t>
            </w:r>
          </w:p>
        </w:tc>
        <w:tc>
          <w:tcPr>
            <w:tcW w:w="124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(3,322)</w:t>
            </w:r>
          </w:p>
        </w:tc>
        <w:tc>
          <w:tcPr>
            <w:tcW w:w="800" w:type="dxa"/>
            <w:vAlign w:val="bottom"/>
            <w:tcBorders>
              <w:right w:val="single" w:sz="8" w:color="auto"/>
            </w:tcBorders>
          </w:tcPr>
          <w:p>
            <w:pPr>
              <w:jc w:val="right"/>
              <w:spacing w:after="0" w:line="146" w:lineRule="exact"/>
              <w:rPr>
                <w:sz w:val="20"/>
                <w:szCs w:val="20"/>
                <w:color w:val="auto"/>
              </w:rPr>
            </w:pPr>
            <w:r>
              <w:rPr>
                <w:rFonts w:ascii="Arial" w:cs="Arial" w:eastAsia="Arial" w:hAnsi="Arial"/>
                <w:sz w:val="13"/>
                <w:szCs w:val="13"/>
                <w:color w:val="auto"/>
              </w:rPr>
              <w:t>(11,583)</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248.7%</w:t>
            </w:r>
          </w:p>
        </w:tc>
      </w:tr>
      <w:tr>
        <w:trPr>
          <w:trHeight w:val="158"/>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BCP Consolidated</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797,222</w:t>
            </w: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1,154,996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1,155,962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45.0%</w:t>
            </w: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1,552,272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2,310,958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48.9%</w:t>
            </w:r>
          </w:p>
        </w:tc>
      </w:tr>
      <w:tr>
        <w:trPr>
          <w:trHeight w:val="513"/>
        </w:trPr>
        <w:tc>
          <w:tcPr>
            <w:tcW w:w="3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39"/>
        </w:trPr>
        <w:tc>
          <w:tcPr>
            <w:tcW w:w="3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313" w:right="319" w:bottom="1440" w:gutter="0" w:footer="0" w:header="0"/>
        </w:sectPr>
      </w:pPr>
    </w:p>
    <w:bookmarkStart w:id="59" w:name="page60"/>
    <w:bookmarkEnd w:id="59"/>
    <w:p>
      <w:pPr>
        <w:ind w:left="2060"/>
        <w:spacing w:after="0"/>
        <w:tabs>
          <w:tab w:leader="none" w:pos="794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6220" w:type="dxa"/>
            <w:vAlign w:val="bottom"/>
            <w:tcBorders>
              <w:right w:val="single" w:sz="8" w:color="auto"/>
            </w:tcBorders>
          </w:tcPr>
          <w:p>
            <w:pPr>
              <w:spacing w:after="0"/>
              <w:rPr>
                <w:sz w:val="17"/>
                <w:szCs w:val="17"/>
                <w:color w:val="auto"/>
              </w:rPr>
            </w:pPr>
          </w:p>
        </w:tc>
        <w:tc>
          <w:tcPr>
            <w:tcW w:w="1000" w:type="dxa"/>
            <w:vAlign w:val="bottom"/>
            <w:tcBorders>
              <w:top w:val="single" w:sz="8" w:color="auto"/>
            </w:tcBorders>
            <w:shd w:val="clear" w:color="auto" w:fill="2AD2C9"/>
          </w:tcPr>
          <w:p>
            <w:pPr>
              <w:spacing w:after="0"/>
              <w:rPr>
                <w:sz w:val="17"/>
                <w:szCs w:val="17"/>
                <w:color w:val="auto"/>
              </w:rPr>
            </w:pPr>
          </w:p>
        </w:tc>
        <w:tc>
          <w:tcPr>
            <w:tcW w:w="1000" w:type="dxa"/>
            <w:vAlign w:val="bottom"/>
            <w:tcBorders>
              <w:top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7"/>
                <w:szCs w:val="17"/>
                <w:color w:val="auto"/>
              </w:rPr>
            </w:pPr>
          </w:p>
        </w:tc>
        <w:tc>
          <w:tcPr>
            <w:tcW w:w="12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7"/>
                <w:szCs w:val="17"/>
                <w:color w:val="auto"/>
              </w:rPr>
            </w:pPr>
          </w:p>
        </w:tc>
      </w:tr>
      <w:tr>
        <w:trPr>
          <w:trHeight w:val="158"/>
        </w:trPr>
        <w:tc>
          <w:tcPr>
            <w:tcW w:w="62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2Q21</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1Q22</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2Q22</w:t>
            </w:r>
          </w:p>
        </w:tc>
        <w:tc>
          <w:tcPr>
            <w:tcW w:w="1220" w:type="dxa"/>
            <w:vAlign w:val="bottom"/>
            <w:tcBorders>
              <w:bottom w:val="single" w:sz="8" w:color="auto"/>
            </w:tcBorders>
            <w:shd w:val="clear" w:color="auto" w:fill="2AD2C9"/>
          </w:tcPr>
          <w:p>
            <w:pPr>
              <w:jc w:val="right"/>
              <w:ind w:right="435"/>
              <w:spacing w:after="0"/>
              <w:rPr>
                <w:sz w:val="20"/>
                <w:szCs w:val="20"/>
                <w:color w:val="auto"/>
              </w:rPr>
            </w:pPr>
            <w:r>
              <w:rPr>
                <w:rFonts w:ascii="Arial" w:cs="Arial" w:eastAsia="Arial" w:hAnsi="Arial"/>
                <w:sz w:val="13"/>
                <w:szCs w:val="13"/>
                <w:b w:val="1"/>
                <w:bCs w:val="1"/>
                <w:color w:val="FFFFFF"/>
              </w:rPr>
              <w:t>Jun 21</w:t>
            </w:r>
          </w:p>
        </w:tc>
        <w:tc>
          <w:tcPr>
            <w:tcW w:w="820" w:type="dxa"/>
            <w:vAlign w:val="bottom"/>
            <w:tcBorders>
              <w:bottom w:val="single" w:sz="8" w:color="auto"/>
              <w:right w:val="single" w:sz="8" w:color="auto"/>
            </w:tcBorders>
            <w:shd w:val="clear" w:color="auto" w:fill="2AD2C9"/>
          </w:tcPr>
          <w:p>
            <w:pPr>
              <w:jc w:val="right"/>
              <w:ind w:right="255"/>
              <w:spacing w:after="0"/>
              <w:rPr>
                <w:sz w:val="20"/>
                <w:szCs w:val="20"/>
                <w:color w:val="auto"/>
              </w:rPr>
            </w:pPr>
            <w:r>
              <w:rPr>
                <w:rFonts w:ascii="Arial" w:cs="Arial" w:eastAsia="Arial" w:hAnsi="Arial"/>
                <w:sz w:val="13"/>
                <w:szCs w:val="13"/>
                <w:b w:val="1"/>
                <w:bCs w:val="1"/>
                <w:color w:val="FFFFFF"/>
              </w:rPr>
              <w:t>Jun 22</w:t>
            </w:r>
          </w:p>
        </w:tc>
      </w:tr>
      <w:tr>
        <w:trPr>
          <w:trHeight w:val="148"/>
        </w:trPr>
        <w:tc>
          <w:tcPr>
            <w:tcW w:w="62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Profitability</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Earnings per share </w:t>
            </w:r>
            <w:r>
              <w:rPr>
                <w:rFonts w:ascii="Arial" w:cs="Arial" w:eastAsia="Arial" w:hAnsi="Arial"/>
                <w:sz w:val="16"/>
                <w:szCs w:val="16"/>
                <w:color w:val="auto"/>
                <w:vertAlign w:val="superscript"/>
              </w:rPr>
              <w:t>(1)</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8"/>
              </w:rPr>
              <w:t>0.065</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8"/>
              </w:rPr>
              <w:t>0.095</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8"/>
              </w:rPr>
              <w:t>0.095</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0.127</w:t>
            </w:r>
          </w:p>
        </w:tc>
        <w:tc>
          <w:tcPr>
            <w:tcW w:w="820" w:type="dxa"/>
            <w:vAlign w:val="bottom"/>
            <w:tcBorders>
              <w:right w:val="single" w:sz="8" w:color="auto"/>
            </w:tcBorders>
          </w:tcPr>
          <w:p>
            <w:pPr>
              <w:jc w:val="center"/>
              <w:ind w:right="195"/>
              <w:spacing w:after="0" w:line="146" w:lineRule="exact"/>
              <w:rPr>
                <w:sz w:val="20"/>
                <w:szCs w:val="20"/>
                <w:color w:val="auto"/>
              </w:rPr>
            </w:pPr>
            <w:r>
              <w:rPr>
                <w:rFonts w:ascii="Arial" w:cs="Arial" w:eastAsia="Arial" w:hAnsi="Arial"/>
                <w:sz w:val="13"/>
                <w:szCs w:val="13"/>
                <w:color w:val="auto"/>
                <w:w w:val="98"/>
              </w:rPr>
              <w:t>0.190</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6"/>
                <w:szCs w:val="16"/>
                <w:color w:val="auto"/>
                <w:vertAlign w:val="subscript"/>
              </w:rPr>
              <w:t>ROAA</w:t>
            </w:r>
            <w:r>
              <w:rPr>
                <w:rFonts w:ascii="Arial" w:cs="Arial" w:eastAsia="Arial" w:hAnsi="Arial"/>
                <w:sz w:val="9"/>
                <w:szCs w:val="9"/>
                <w:color w:val="auto"/>
              </w:rPr>
              <w:t xml:space="preserve"> (2)(3)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rPr>
              <w:t>1.6%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4"/>
              </w:rPr>
              <w:t>2.3%</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rPr>
              <w:t>2.4%</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1.6%</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2.4%</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6"/>
                <w:szCs w:val="16"/>
                <w:color w:val="auto"/>
                <w:vertAlign w:val="subscript"/>
              </w:rPr>
              <w:t>ROAE</w:t>
            </w:r>
            <w:r>
              <w:rPr>
                <w:rFonts w:ascii="Arial" w:cs="Arial" w:eastAsia="Arial" w:hAnsi="Arial"/>
                <w:sz w:val="9"/>
                <w:szCs w:val="9"/>
                <w:color w:val="auto"/>
              </w:rPr>
              <w:t xml:space="preserve"> (2)(3)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17.2%</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22.7%</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22.5%</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16.7%</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22.5%</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Net interest margin </w:t>
            </w:r>
            <w:r>
              <w:rPr>
                <w:rFonts w:ascii="Arial" w:cs="Arial" w:eastAsia="Arial" w:hAnsi="Arial"/>
                <w:sz w:val="16"/>
                <w:szCs w:val="16"/>
                <w:color w:val="auto"/>
                <w:vertAlign w:val="superscript"/>
              </w:rPr>
              <w:t>(2)(3)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4.12%</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4.63%</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5.10%</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4.02%</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4.91%</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Risk adjusted NIM </w:t>
            </w:r>
            <w:r>
              <w:rPr>
                <w:rFonts w:ascii="Arial" w:cs="Arial" w:eastAsia="Arial" w:hAnsi="Arial"/>
                <w:sz w:val="16"/>
                <w:szCs w:val="16"/>
                <w:color w:val="auto"/>
                <w:vertAlign w:val="superscript"/>
              </w:rPr>
              <w:t>(2)(3)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3.28%</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4.10%</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4.41%</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3.05%</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4.30%</w:t>
            </w:r>
          </w:p>
        </w:tc>
      </w:tr>
      <w:tr>
        <w:trPr>
          <w:trHeight w:val="2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1"/>
                <w:szCs w:val="21"/>
                <w:color w:val="auto"/>
                <w:vertAlign w:val="superscript"/>
              </w:rPr>
              <w:t>(2)(3)(4)</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0.99%</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1.16%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1.42%</w:t>
            </w:r>
          </w:p>
        </w:tc>
        <w:tc>
          <w:tcPr>
            <w:tcW w:w="1220" w:type="dxa"/>
            <w:vAlign w:val="bottom"/>
          </w:tcPr>
          <w:p>
            <w:pPr>
              <w:jc w:val="center"/>
              <w:ind w:right="135"/>
              <w:spacing w:after="0"/>
              <w:rPr>
                <w:sz w:val="20"/>
                <w:szCs w:val="20"/>
                <w:color w:val="auto"/>
              </w:rPr>
            </w:pPr>
            <w:r>
              <w:rPr>
                <w:rFonts w:ascii="Arial" w:cs="Arial" w:eastAsia="Arial" w:hAnsi="Arial"/>
                <w:sz w:val="13"/>
                <w:szCs w:val="13"/>
                <w:color w:val="auto"/>
              </w:rPr>
              <w:t>1.14%</w:t>
            </w:r>
          </w:p>
        </w:tc>
        <w:tc>
          <w:tcPr>
            <w:tcW w:w="820" w:type="dxa"/>
            <w:vAlign w:val="bottom"/>
            <w:tcBorders>
              <w:right w:val="single" w:sz="8" w:color="auto"/>
            </w:tcBorders>
          </w:tcPr>
          <w:p>
            <w:pPr>
              <w:jc w:val="center"/>
              <w:ind w:right="175"/>
              <w:spacing w:after="0"/>
              <w:rPr>
                <w:sz w:val="20"/>
                <w:szCs w:val="20"/>
                <w:color w:val="auto"/>
              </w:rPr>
            </w:pPr>
            <w:r>
              <w:rPr>
                <w:rFonts w:ascii="Arial" w:cs="Arial" w:eastAsia="Arial" w:hAnsi="Arial"/>
                <w:sz w:val="13"/>
                <w:szCs w:val="13"/>
                <w:color w:val="auto"/>
              </w:rPr>
              <w:t>1.30%</w:t>
            </w:r>
          </w:p>
        </w:tc>
      </w:tr>
      <w:tr>
        <w:trPr>
          <w:trHeight w:val="21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Quality of loan portfolio</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IOL ratio</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3.68%</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4.26%</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4.25%</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3.68%</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4.25%</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NPL ratio</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5.03%</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5.52%</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5.44%</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5.03%</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5.44%</w:t>
            </w: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color w:val="auto"/>
              </w:rPr>
              <w:t>Coverage of IOLs</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182.6%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9"/>
              </w:rPr>
              <w:t>137.6%</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9"/>
              </w:rPr>
              <w:t>133.2%</w:t>
            </w:r>
          </w:p>
        </w:tc>
        <w:tc>
          <w:tcPr>
            <w:tcW w:w="1220" w:type="dxa"/>
            <w:vAlign w:val="bottom"/>
          </w:tcPr>
          <w:p>
            <w:pPr>
              <w:jc w:val="center"/>
              <w:ind w:right="155"/>
              <w:spacing w:after="0" w:line="146" w:lineRule="exact"/>
              <w:rPr>
                <w:sz w:val="20"/>
                <w:szCs w:val="20"/>
                <w:color w:val="auto"/>
              </w:rPr>
            </w:pPr>
            <w:r>
              <w:rPr>
                <w:rFonts w:ascii="Arial" w:cs="Arial" w:eastAsia="Arial" w:hAnsi="Arial"/>
                <w:sz w:val="13"/>
                <w:szCs w:val="13"/>
                <w:color w:val="auto"/>
                <w:w w:val="99"/>
              </w:rPr>
              <w:t>182.6%</w:t>
            </w:r>
          </w:p>
        </w:tc>
        <w:tc>
          <w:tcPr>
            <w:tcW w:w="820" w:type="dxa"/>
            <w:vAlign w:val="bottom"/>
            <w:tcBorders>
              <w:right w:val="single" w:sz="8" w:color="auto"/>
            </w:tcBorders>
          </w:tcPr>
          <w:p>
            <w:pPr>
              <w:jc w:val="center"/>
              <w:ind w:right="195"/>
              <w:spacing w:after="0" w:line="146" w:lineRule="exact"/>
              <w:rPr>
                <w:sz w:val="20"/>
                <w:szCs w:val="20"/>
                <w:color w:val="auto"/>
              </w:rPr>
            </w:pPr>
            <w:r>
              <w:rPr>
                <w:rFonts w:ascii="Arial" w:cs="Arial" w:eastAsia="Arial" w:hAnsi="Arial"/>
                <w:sz w:val="13"/>
                <w:szCs w:val="13"/>
                <w:color w:val="auto"/>
                <w:w w:val="99"/>
              </w:rPr>
              <w:t>133.2%</w:t>
            </w:r>
          </w:p>
        </w:tc>
      </w:tr>
      <w:tr>
        <w:trPr>
          <w:trHeight w:val="131"/>
        </w:trPr>
        <w:tc>
          <w:tcPr>
            <w:tcW w:w="622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Coverage of NPLs</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9"/>
              </w:rPr>
              <w:t>133.7%</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9"/>
              </w:rPr>
              <w:t>106.2%</w:t>
            </w:r>
          </w:p>
        </w:tc>
        <w:tc>
          <w:tcPr>
            <w:tcW w:w="10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104.0%</w:t>
            </w:r>
          </w:p>
        </w:tc>
        <w:tc>
          <w:tcPr>
            <w:tcW w:w="1220" w:type="dxa"/>
            <w:vAlign w:val="bottom"/>
          </w:tcPr>
          <w:p>
            <w:pPr>
              <w:jc w:val="center"/>
              <w:ind w:right="155"/>
              <w:spacing w:after="0" w:line="131" w:lineRule="exact"/>
              <w:rPr>
                <w:sz w:val="20"/>
                <w:szCs w:val="20"/>
                <w:color w:val="auto"/>
              </w:rPr>
            </w:pPr>
            <w:r>
              <w:rPr>
                <w:rFonts w:ascii="Arial" w:cs="Arial" w:eastAsia="Arial" w:hAnsi="Arial"/>
                <w:sz w:val="13"/>
                <w:szCs w:val="13"/>
                <w:color w:val="auto"/>
                <w:w w:val="99"/>
              </w:rPr>
              <w:t>133.7%</w:t>
            </w:r>
          </w:p>
        </w:tc>
        <w:tc>
          <w:tcPr>
            <w:tcW w:w="820" w:type="dxa"/>
            <w:vAlign w:val="bottom"/>
            <w:tcBorders>
              <w:right w:val="single" w:sz="8" w:color="auto"/>
            </w:tcBorders>
          </w:tcPr>
          <w:p>
            <w:pPr>
              <w:jc w:val="center"/>
              <w:ind w:right="195"/>
              <w:spacing w:after="0" w:line="131" w:lineRule="exact"/>
              <w:rPr>
                <w:sz w:val="20"/>
                <w:szCs w:val="20"/>
                <w:color w:val="auto"/>
              </w:rPr>
            </w:pPr>
            <w:r>
              <w:rPr>
                <w:rFonts w:ascii="Arial" w:cs="Arial" w:eastAsia="Arial" w:hAnsi="Arial"/>
                <w:sz w:val="13"/>
                <w:szCs w:val="13"/>
                <w:color w:val="auto"/>
                <w:w w:val="99"/>
              </w:rPr>
              <w:t>104.0%</w:t>
            </w:r>
          </w:p>
        </w:tc>
      </w:tr>
      <w:tr>
        <w:trPr>
          <w:trHeight w:val="2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(5)</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1.24%</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0.77%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0.94%</w:t>
            </w:r>
          </w:p>
        </w:tc>
        <w:tc>
          <w:tcPr>
            <w:tcW w:w="1220" w:type="dxa"/>
            <w:vAlign w:val="bottom"/>
          </w:tcPr>
          <w:p>
            <w:pPr>
              <w:jc w:val="center"/>
              <w:ind w:right="135"/>
              <w:spacing w:after="0"/>
              <w:rPr>
                <w:sz w:val="20"/>
                <w:szCs w:val="20"/>
                <w:color w:val="auto"/>
              </w:rPr>
            </w:pPr>
            <w:r>
              <w:rPr>
                <w:rFonts w:ascii="Arial" w:cs="Arial" w:eastAsia="Arial" w:hAnsi="Arial"/>
                <w:sz w:val="13"/>
                <w:szCs w:val="13"/>
                <w:color w:val="auto"/>
              </w:rPr>
              <w:t>1.42%</w:t>
            </w:r>
          </w:p>
        </w:tc>
        <w:tc>
          <w:tcPr>
            <w:tcW w:w="820" w:type="dxa"/>
            <w:vAlign w:val="bottom"/>
            <w:tcBorders>
              <w:right w:val="single" w:sz="8" w:color="auto"/>
            </w:tcBorders>
          </w:tcPr>
          <w:p>
            <w:pPr>
              <w:jc w:val="center"/>
              <w:ind w:right="175"/>
              <w:spacing w:after="0"/>
              <w:rPr>
                <w:sz w:val="20"/>
                <w:szCs w:val="20"/>
                <w:color w:val="auto"/>
              </w:rPr>
            </w:pPr>
            <w:r>
              <w:rPr>
                <w:rFonts w:ascii="Arial" w:cs="Arial" w:eastAsia="Arial" w:hAnsi="Arial"/>
                <w:sz w:val="13"/>
                <w:szCs w:val="13"/>
                <w:color w:val="auto"/>
              </w:rPr>
              <w:t>0.84%</w:t>
            </w:r>
          </w:p>
        </w:tc>
      </w:tr>
      <w:tr>
        <w:trPr>
          <w:trHeight w:val="19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Operating efficiency</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146"/>
        </w:trPr>
        <w:tc>
          <w:tcPr>
            <w:tcW w:w="6220" w:type="dxa"/>
            <w:vAlign w:val="bottom"/>
            <w:tcBorders>
              <w:left w:val="single" w:sz="8" w:color="auto"/>
              <w:right w:val="single" w:sz="8" w:color="auto"/>
            </w:tcBorders>
          </w:tcPr>
          <w:p>
            <w:pPr>
              <w:ind w:left="20"/>
              <w:spacing w:after="0" w:line="146" w:lineRule="exact"/>
              <w:rPr>
                <w:sz w:val="20"/>
                <w:szCs w:val="20"/>
                <w:color w:val="auto"/>
              </w:rPr>
            </w:pPr>
            <w:r>
              <w:rPr>
                <w:rFonts w:ascii="Arial" w:cs="Arial" w:eastAsia="Arial" w:hAnsi="Arial"/>
                <w:sz w:val="10"/>
                <w:szCs w:val="10"/>
                <w:color w:val="auto"/>
              </w:rPr>
              <w:t xml:space="preserve">Oper. expenses as a percent. of total income - reported </w:t>
            </w:r>
            <w:r>
              <w:rPr>
                <w:rFonts w:ascii="Arial" w:cs="Arial" w:eastAsia="Arial" w:hAnsi="Arial"/>
                <w:sz w:val="16"/>
                <w:szCs w:val="16"/>
                <w:color w:val="auto"/>
                <w:vertAlign w:val="superscript"/>
              </w:rPr>
              <w:t>(6)</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42.7%</w:t>
            </w:r>
          </w:p>
        </w:tc>
        <w:tc>
          <w:tcPr>
            <w:tcW w:w="1000" w:type="dxa"/>
            <w:vAlign w:val="bottom"/>
          </w:tcPr>
          <w:p>
            <w:pPr>
              <w:jc w:val="center"/>
              <w:spacing w:after="0" w:line="146" w:lineRule="exact"/>
              <w:rPr>
                <w:sz w:val="20"/>
                <w:szCs w:val="20"/>
                <w:color w:val="auto"/>
              </w:rPr>
            </w:pPr>
            <w:r>
              <w:rPr>
                <w:rFonts w:ascii="Arial" w:cs="Arial" w:eastAsia="Arial" w:hAnsi="Arial"/>
                <w:sz w:val="13"/>
                <w:szCs w:val="13"/>
                <w:color w:val="auto"/>
                <w:w w:val="97"/>
              </w:rPr>
              <w:t>42.8%</w:t>
            </w:r>
          </w:p>
        </w:tc>
        <w:tc>
          <w:tcPr>
            <w:tcW w:w="10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43.0%</w:t>
            </w:r>
          </w:p>
        </w:tc>
        <w:tc>
          <w:tcPr>
            <w:tcW w:w="1220" w:type="dxa"/>
            <w:vAlign w:val="bottom"/>
          </w:tcPr>
          <w:p>
            <w:pPr>
              <w:jc w:val="center"/>
              <w:ind w:right="135"/>
              <w:spacing w:after="0" w:line="146" w:lineRule="exact"/>
              <w:rPr>
                <w:sz w:val="20"/>
                <w:szCs w:val="20"/>
                <w:color w:val="auto"/>
              </w:rPr>
            </w:pPr>
            <w:r>
              <w:rPr>
                <w:rFonts w:ascii="Arial" w:cs="Arial" w:eastAsia="Arial" w:hAnsi="Arial"/>
                <w:sz w:val="13"/>
                <w:szCs w:val="13"/>
                <w:color w:val="auto"/>
              </w:rPr>
              <w:t>43.1%</w:t>
            </w:r>
          </w:p>
        </w:tc>
        <w:tc>
          <w:tcPr>
            <w:tcW w:w="820" w:type="dxa"/>
            <w:vAlign w:val="bottom"/>
            <w:tcBorders>
              <w:right w:val="single" w:sz="8" w:color="auto"/>
            </w:tcBorders>
          </w:tcPr>
          <w:p>
            <w:pPr>
              <w:jc w:val="center"/>
              <w:ind w:right="175"/>
              <w:spacing w:after="0" w:line="146" w:lineRule="exact"/>
              <w:rPr>
                <w:sz w:val="20"/>
                <w:szCs w:val="20"/>
                <w:color w:val="auto"/>
              </w:rPr>
            </w:pPr>
            <w:r>
              <w:rPr>
                <w:rFonts w:ascii="Arial" w:cs="Arial" w:eastAsia="Arial" w:hAnsi="Arial"/>
                <w:sz w:val="13"/>
                <w:szCs w:val="13"/>
                <w:color w:val="auto"/>
              </w:rPr>
              <w:t>42.9%</w:t>
            </w:r>
          </w:p>
        </w:tc>
      </w:tr>
      <w:tr>
        <w:trPr>
          <w:trHeight w:val="2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Oper. expenses as a percent. of av. tot. assets </w:t>
            </w:r>
            <w:r>
              <w:rPr>
                <w:rFonts w:ascii="Arial" w:cs="Arial" w:eastAsia="Arial" w:hAnsi="Arial"/>
                <w:sz w:val="21"/>
                <w:szCs w:val="21"/>
                <w:color w:val="auto"/>
                <w:vertAlign w:val="superscript"/>
              </w:rPr>
              <w:t>(2)(3)(6)</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2.54%</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2.75%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3.00%</w:t>
            </w:r>
          </w:p>
        </w:tc>
        <w:tc>
          <w:tcPr>
            <w:tcW w:w="1220" w:type="dxa"/>
            <w:vAlign w:val="bottom"/>
          </w:tcPr>
          <w:p>
            <w:pPr>
              <w:jc w:val="center"/>
              <w:ind w:right="135"/>
              <w:spacing w:after="0"/>
              <w:rPr>
                <w:sz w:val="20"/>
                <w:szCs w:val="20"/>
                <w:color w:val="auto"/>
              </w:rPr>
            </w:pPr>
            <w:r>
              <w:rPr>
                <w:rFonts w:ascii="Arial" w:cs="Arial" w:eastAsia="Arial" w:hAnsi="Arial"/>
                <w:sz w:val="13"/>
                <w:szCs w:val="13"/>
                <w:color w:val="auto"/>
              </w:rPr>
              <w:t>2.5%</w:t>
            </w:r>
          </w:p>
        </w:tc>
        <w:tc>
          <w:tcPr>
            <w:tcW w:w="820" w:type="dxa"/>
            <w:vAlign w:val="bottom"/>
            <w:tcBorders>
              <w:right w:val="single" w:sz="8" w:color="auto"/>
            </w:tcBorders>
          </w:tcPr>
          <w:p>
            <w:pPr>
              <w:jc w:val="center"/>
              <w:ind w:right="175"/>
              <w:spacing w:after="0"/>
              <w:rPr>
                <w:sz w:val="20"/>
                <w:szCs w:val="20"/>
                <w:color w:val="auto"/>
              </w:rPr>
            </w:pPr>
            <w:r>
              <w:rPr>
                <w:rFonts w:ascii="Arial" w:cs="Arial" w:eastAsia="Arial" w:hAnsi="Arial"/>
                <w:sz w:val="13"/>
                <w:szCs w:val="13"/>
                <w:color w:val="auto"/>
              </w:rPr>
              <w:t>2.9%</w:t>
            </w:r>
          </w:p>
        </w:tc>
      </w:tr>
      <w:tr>
        <w:trPr>
          <w:trHeight w:val="21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Share Information</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58"/>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 of outstanding shares (Million)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12,176</w:t>
            </w:r>
          </w:p>
        </w:tc>
        <w:tc>
          <w:tcPr>
            <w:tcW w:w="8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color w:val="auto"/>
              </w:rPr>
              <w:t>12,176</w:t>
            </w:r>
          </w:p>
        </w:tc>
      </w:tr>
    </w:tbl>
    <w:p>
      <w:pPr>
        <w:spacing w:after="0" w:line="211" w:lineRule="exact"/>
        <w:rPr>
          <w:sz w:val="20"/>
          <w:szCs w:val="20"/>
          <w:color w:val="auto"/>
        </w:rPr>
      </w:pPr>
    </w:p>
    <w:p>
      <w:pPr>
        <w:ind w:left="160" w:hanging="143"/>
        <w:spacing w:after="0"/>
        <w:tabs>
          <w:tab w:leader="none" w:pos="1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outstanding of 12,176 million is used for all periods since shares have been issued only for capitalization of profits.</w:t>
      </w:r>
    </w:p>
    <w:p>
      <w:pPr>
        <w:spacing w:after="0" w:line="7" w:lineRule="exact"/>
        <w:rPr>
          <w:rFonts w:ascii="Times New Roman" w:cs="Times New Roman" w:eastAsia="Times New Roman" w:hAnsi="Times New Roman"/>
          <w:sz w:val="11"/>
          <w:szCs w:val="11"/>
          <w:color w:val="auto"/>
        </w:rPr>
      </w:pPr>
    </w:p>
    <w:p>
      <w:pPr>
        <w:ind w:left="160" w:hanging="143"/>
        <w:spacing w:after="0" w:line="231" w:lineRule="auto"/>
        <w:tabs>
          <w:tab w:leader="none" w:pos="1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Ratios are annualized.</w:t>
      </w:r>
    </w:p>
    <w:p>
      <w:pPr>
        <w:ind w:left="160" w:hanging="143"/>
        <w:spacing w:after="0" w:line="231" w:lineRule="auto"/>
        <w:tabs>
          <w:tab w:leader="none" w:pos="1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Averages are determined as the average of period-beginning and period-ending balances.</w:t>
      </w:r>
    </w:p>
    <w:p>
      <w:pPr>
        <w:ind w:left="20" w:right="80" w:hanging="3"/>
        <w:spacing w:after="0" w:line="231" w:lineRule="auto"/>
        <w:tabs>
          <w:tab w:leader="none" w:pos="169"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160" w:hanging="143"/>
        <w:spacing w:after="0" w:line="231" w:lineRule="auto"/>
        <w:tabs>
          <w:tab w:leader="none" w:pos="1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Cost of risk: Annualized provision for loan losses / Total loans.</w:t>
      </w:r>
    </w:p>
    <w:p>
      <w:pPr>
        <w:ind w:left="20" w:right="200" w:hanging="3"/>
        <w:spacing w:after="0" w:line="235" w:lineRule="auto"/>
        <w:tabs>
          <w:tab w:leader="none" w:pos="169"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3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60" w:name="page61"/>
    <w:bookmarkEnd w:id="6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020" w:type="dxa"/>
            <w:vAlign w:val="bottom"/>
            <w:tcBorders>
              <w:right w:val="single" w:sz="8" w:color="auto"/>
            </w:tcBorders>
          </w:tcPr>
          <w:p>
            <w:pPr>
              <w:spacing w:after="0"/>
              <w:rPr>
                <w:sz w:val="16"/>
                <w:szCs w:val="16"/>
                <w:color w:val="auto"/>
              </w:rPr>
            </w:pPr>
          </w:p>
        </w:tc>
        <w:tc>
          <w:tcPr>
            <w:tcW w:w="1240" w:type="dxa"/>
            <w:vAlign w:val="bottom"/>
            <w:tcBorders>
              <w:top w:val="single" w:sz="8" w:color="auto"/>
            </w:tcBorders>
            <w:shd w:val="clear" w:color="auto" w:fill="2AD2C9"/>
          </w:tcPr>
          <w:p>
            <w:pPr>
              <w:spacing w:after="0"/>
              <w:rPr>
                <w:sz w:val="16"/>
                <w:szCs w:val="16"/>
                <w:color w:val="auto"/>
              </w:rPr>
            </w:pPr>
          </w:p>
        </w:tc>
        <w:tc>
          <w:tcPr>
            <w:tcW w:w="1140" w:type="dxa"/>
            <w:vAlign w:val="bottom"/>
            <w:tcBorders>
              <w:top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As of</w:t>
            </w:r>
          </w:p>
        </w:tc>
        <w:tc>
          <w:tcPr>
            <w:tcW w:w="1000" w:type="dxa"/>
            <w:vAlign w:val="bottom"/>
            <w:tcBorders>
              <w:top w:val="single" w:sz="8" w:color="auto"/>
              <w:right w:val="single" w:sz="8" w:color="auto"/>
            </w:tcBorders>
            <w:shd w:val="clear" w:color="auto" w:fill="2AD2C9"/>
          </w:tcPr>
          <w:p>
            <w:pPr>
              <w:spacing w:after="0"/>
              <w:rPr>
                <w:sz w:val="16"/>
                <w:szCs w:val="16"/>
                <w:color w:val="auto"/>
              </w:rPr>
            </w:pPr>
          </w:p>
        </w:tc>
        <w:tc>
          <w:tcPr>
            <w:tcW w:w="1880" w:type="dxa"/>
            <w:vAlign w:val="bottom"/>
            <w:tcBorders>
              <w:top w:val="single" w:sz="8" w:color="auto"/>
              <w:right w:val="single" w:sz="8" w:color="auto"/>
            </w:tcBorders>
            <w:gridSpan w:val="2"/>
            <w:shd w:val="clear" w:color="auto" w:fill="2AD2C9"/>
          </w:tcPr>
          <w:p>
            <w:pPr>
              <w:ind w:left="540"/>
              <w:spacing w:after="0"/>
              <w:rPr>
                <w:sz w:val="20"/>
                <w:szCs w:val="20"/>
                <w:color w:val="auto"/>
              </w:rPr>
            </w:pPr>
            <w:r>
              <w:rPr>
                <w:rFonts w:ascii="Arial" w:cs="Arial" w:eastAsia="Arial" w:hAnsi="Arial"/>
                <w:sz w:val="16"/>
                <w:szCs w:val="16"/>
                <w:b w:val="1"/>
                <w:bCs w:val="1"/>
                <w:color w:val="FFFFFF"/>
              </w:rPr>
              <w:t>% change</w:t>
            </w:r>
          </w:p>
        </w:tc>
      </w:tr>
      <w:tr>
        <w:trPr>
          <w:trHeight w:val="204"/>
        </w:trPr>
        <w:tc>
          <w:tcPr>
            <w:tcW w:w="60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shd w:val="clear" w:color="auto" w:fill="2AD2C9"/>
          </w:tcPr>
          <w:p>
            <w:pPr>
              <w:jc w:val="right"/>
              <w:ind w:right="379"/>
              <w:spacing w:after="0"/>
              <w:rPr>
                <w:sz w:val="20"/>
                <w:szCs w:val="20"/>
                <w:color w:val="auto"/>
              </w:rPr>
            </w:pPr>
            <w:r>
              <w:rPr>
                <w:rFonts w:ascii="Arial" w:cs="Arial" w:eastAsia="Arial" w:hAnsi="Arial"/>
                <w:sz w:val="16"/>
                <w:szCs w:val="16"/>
                <w:b w:val="1"/>
                <w:bCs w:val="1"/>
                <w:color w:val="FFFFFF"/>
              </w:rPr>
              <w:t>Jun 21</w:t>
            </w:r>
          </w:p>
        </w:tc>
        <w:tc>
          <w:tcPr>
            <w:tcW w:w="1140" w:type="dxa"/>
            <w:vAlign w:val="bottom"/>
            <w:tcBorders>
              <w:bottom w:val="single" w:sz="8" w:color="auto"/>
            </w:tcBorders>
            <w:shd w:val="clear" w:color="auto" w:fill="2AD2C9"/>
          </w:tcPr>
          <w:p>
            <w:pPr>
              <w:jc w:val="right"/>
              <w:ind w:right="359"/>
              <w:spacing w:after="0"/>
              <w:rPr>
                <w:sz w:val="20"/>
                <w:szCs w:val="20"/>
                <w:color w:val="auto"/>
              </w:rPr>
            </w:pPr>
            <w:r>
              <w:rPr>
                <w:rFonts w:ascii="Arial" w:cs="Arial" w:eastAsia="Arial" w:hAnsi="Arial"/>
                <w:sz w:val="16"/>
                <w:szCs w:val="16"/>
                <w:b w:val="1"/>
                <w:bCs w:val="1"/>
                <w:color w:val="FFFFFF"/>
              </w:rPr>
              <w:t>Mar 22</w:t>
            </w:r>
          </w:p>
        </w:tc>
        <w:tc>
          <w:tcPr>
            <w:tcW w:w="100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Jun 22</w:t>
            </w: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96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6"/>
                <w:szCs w:val="16"/>
                <w:b w:val="1"/>
                <w:bCs w:val="1"/>
                <w:color w:val="FFFFFF"/>
              </w:rPr>
              <w:t>YoY</w:t>
            </w:r>
          </w:p>
        </w:tc>
      </w:tr>
      <w:tr>
        <w:trPr>
          <w:trHeight w:val="174"/>
        </w:trPr>
        <w:tc>
          <w:tcPr>
            <w:tcW w:w="60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Cash and due from banks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Non-interest bearing</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6,919,815</w:t>
            </w:r>
          </w:p>
        </w:tc>
        <w:tc>
          <w:tcPr>
            <w:tcW w:w="1140" w:type="dxa"/>
            <w:vAlign w:val="bottom"/>
          </w:tcPr>
          <w:p>
            <w:pPr>
              <w:jc w:val="right"/>
              <w:spacing w:after="0"/>
              <w:rPr>
                <w:sz w:val="20"/>
                <w:szCs w:val="20"/>
                <w:color w:val="auto"/>
              </w:rPr>
            </w:pPr>
            <w:r>
              <w:rPr>
                <w:rFonts w:ascii="Arial" w:cs="Arial" w:eastAsia="Arial" w:hAnsi="Arial"/>
                <w:sz w:val="16"/>
                <w:szCs w:val="16"/>
                <w:color w:val="auto"/>
              </w:rPr>
              <w:t>4,959,579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5,236,507</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5.6%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-24.3%</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Interest bearing</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26,482,164</w:t>
            </w:r>
          </w:p>
        </w:tc>
        <w:tc>
          <w:tcPr>
            <w:tcW w:w="1140" w:type="dxa"/>
            <w:vAlign w:val="bottom"/>
          </w:tcPr>
          <w:p>
            <w:pPr>
              <w:jc w:val="right"/>
              <w:spacing w:after="0"/>
              <w:rPr>
                <w:sz w:val="20"/>
                <w:szCs w:val="20"/>
                <w:color w:val="auto"/>
              </w:rPr>
            </w:pPr>
            <w:r>
              <w:rPr>
                <w:rFonts w:ascii="Arial" w:cs="Arial" w:eastAsia="Arial" w:hAnsi="Arial"/>
                <w:sz w:val="16"/>
                <w:szCs w:val="16"/>
                <w:color w:val="auto"/>
              </w:rPr>
              <w:t>28,253,501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22,383,291</w:t>
            </w:r>
          </w:p>
        </w:tc>
        <w:tc>
          <w:tcPr>
            <w:tcW w:w="920" w:type="dxa"/>
            <w:vAlign w:val="bottom"/>
          </w:tcPr>
          <w:p>
            <w:pPr>
              <w:jc w:val="center"/>
              <w:spacing w:after="0"/>
              <w:rPr>
                <w:sz w:val="20"/>
                <w:szCs w:val="20"/>
                <w:color w:val="auto"/>
              </w:rPr>
            </w:pPr>
            <w:r>
              <w:rPr>
                <w:rFonts w:ascii="Arial" w:cs="Arial" w:eastAsia="Arial" w:hAnsi="Arial"/>
                <w:sz w:val="16"/>
                <w:szCs w:val="16"/>
                <w:color w:val="auto"/>
              </w:rPr>
              <w:t>-20.8%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-15.5%</w:t>
            </w:r>
          </w:p>
        </w:tc>
      </w:tr>
      <w:tr>
        <w:trPr>
          <w:trHeight w:val="246"/>
        </w:trPr>
        <w:tc>
          <w:tcPr>
            <w:tcW w:w="60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cash and due from banks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33,401,979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33,213,080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27,619,798</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-16.8%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-17.3%</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Cash collateral, reverse repurchase agreements and securities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46"/>
        </w:trPr>
        <w:tc>
          <w:tcPr>
            <w:tcW w:w="60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borrowing</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544,937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202,127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542,521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168.4%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-0.4%</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2,118,559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729,168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163,187</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-77.6%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-92.3%</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Fair value through other comprehensive income investments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25,716,257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20,202,882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17,868,118</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-11.6%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-30.5%</w:t>
            </w:r>
          </w:p>
        </w:tc>
      </w:tr>
      <w:tr>
        <w:trPr>
          <w:trHeight w:val="246"/>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Amortized cost investments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7,366,267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7,538,562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7,630,677</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3.6%</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Loans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130,864,182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132,578,949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138,012,365</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4.1%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5.5%</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Current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126,045,797</w:t>
            </w:r>
          </w:p>
        </w:tc>
        <w:tc>
          <w:tcPr>
            <w:tcW w:w="1140" w:type="dxa"/>
            <w:vAlign w:val="bottom"/>
          </w:tcPr>
          <w:p>
            <w:pPr>
              <w:jc w:val="right"/>
              <w:spacing w:after="0"/>
              <w:rPr>
                <w:sz w:val="20"/>
                <w:szCs w:val="20"/>
                <w:color w:val="auto"/>
              </w:rPr>
            </w:pPr>
            <w:r>
              <w:rPr>
                <w:rFonts w:ascii="Arial" w:cs="Arial" w:eastAsia="Arial" w:hAnsi="Arial"/>
                <w:sz w:val="16"/>
                <w:szCs w:val="16"/>
                <w:color w:val="auto"/>
              </w:rPr>
              <w:t>126,930,472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132,146,911</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4.8%</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Internal overdue loans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4,818,385</w:t>
            </w:r>
          </w:p>
        </w:tc>
        <w:tc>
          <w:tcPr>
            <w:tcW w:w="1140" w:type="dxa"/>
            <w:vAlign w:val="bottom"/>
          </w:tcPr>
          <w:p>
            <w:pPr>
              <w:jc w:val="right"/>
              <w:spacing w:after="0"/>
              <w:rPr>
                <w:sz w:val="20"/>
                <w:szCs w:val="20"/>
                <w:color w:val="auto"/>
              </w:rPr>
            </w:pPr>
            <w:r>
              <w:rPr>
                <w:rFonts w:ascii="Arial" w:cs="Arial" w:eastAsia="Arial" w:hAnsi="Arial"/>
                <w:sz w:val="16"/>
                <w:szCs w:val="16"/>
                <w:color w:val="auto"/>
              </w:rPr>
              <w:t>5,648,477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5,865,454</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3.8%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21.7%</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Less - allowance for loan losses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(8,797,871)</w:t>
            </w:r>
          </w:p>
        </w:tc>
        <w:tc>
          <w:tcPr>
            <w:tcW w:w="1140" w:type="dxa"/>
            <w:vAlign w:val="bottom"/>
          </w:tcPr>
          <w:p>
            <w:pPr>
              <w:jc w:val="right"/>
              <w:spacing w:after="0"/>
              <w:rPr>
                <w:sz w:val="20"/>
                <w:szCs w:val="20"/>
                <w:color w:val="auto"/>
              </w:rPr>
            </w:pPr>
            <w:r>
              <w:rPr>
                <w:rFonts w:ascii="Arial" w:cs="Arial" w:eastAsia="Arial" w:hAnsi="Arial"/>
                <w:sz w:val="16"/>
                <w:szCs w:val="16"/>
                <w:color w:val="auto"/>
              </w:rPr>
              <w:t>(7,769,920)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(7,813,526)</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-11.2%</w:t>
            </w:r>
          </w:p>
        </w:tc>
      </w:tr>
      <w:tr>
        <w:trPr>
          <w:trHeight w:val="246"/>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Loans, net</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122,066,311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124,809,029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130,198,839</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6.7%</w:t>
            </w:r>
          </w:p>
        </w:tc>
      </w:tr>
      <w:tr>
        <w:trPr>
          <w:trHeight w:val="315"/>
        </w:trPr>
        <w:tc>
          <w:tcPr>
            <w:tcW w:w="6020" w:type="dxa"/>
            <w:vAlign w:val="bottom"/>
            <w:tcBorders>
              <w:left w:val="single" w:sz="8" w:color="auto"/>
              <w:right w:val="single" w:sz="8" w:color="auto"/>
            </w:tcBorders>
          </w:tcPr>
          <w:p>
            <w:pPr>
              <w:ind w:left="20"/>
              <w:spacing w:after="0" w:line="315" w:lineRule="exact"/>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color w:val="auto"/>
                <w:vertAlign w:val="superscript"/>
              </w:rPr>
              <w:t>(1)</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1,729,286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1,628,645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1,593,758</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-7.8%</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532,584</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532,404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524,448</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-1.5%</w:t>
            </w:r>
          </w:p>
        </w:tc>
      </w:tr>
      <w:tr>
        <w:trPr>
          <w:trHeight w:val="189"/>
        </w:trPr>
        <w:tc>
          <w:tcPr>
            <w:tcW w:w="60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Investments in associates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18,901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31,859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26,411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-17.1%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39.7%</w:t>
            </w:r>
          </w:p>
        </w:tc>
      </w:tr>
      <w:tr>
        <w:trPr>
          <w:trHeight w:val="371"/>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color w:val="auto"/>
                <w:vertAlign w:val="superscript"/>
              </w:rPr>
              <w:t>(2)</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6,455,086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6,321,863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6,100,840</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-3.5%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-5.5%</w:t>
            </w:r>
          </w:p>
        </w:tc>
      </w:tr>
      <w:tr>
        <w:trPr>
          <w:trHeight w:val="246"/>
        </w:trPr>
        <w:tc>
          <w:tcPr>
            <w:tcW w:w="6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Total Assets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200,246,075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194,945,753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193,370,326</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-3.4%</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89"/>
        </w:trPr>
        <w:tc>
          <w:tcPr>
            <w:tcW w:w="60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r>
      <w:tr>
        <w:trPr>
          <w:trHeight w:val="195"/>
        </w:trPr>
        <w:tc>
          <w:tcPr>
            <w:tcW w:w="6020" w:type="dxa"/>
            <w:vAlign w:val="bottom"/>
            <w:tcBorders>
              <w:left w:val="single" w:sz="8" w:color="auto"/>
              <w:right w:val="single" w:sz="8" w:color="auto"/>
            </w:tcBorders>
          </w:tcPr>
          <w:p>
            <w:pPr>
              <w:ind w:left="180"/>
              <w:spacing w:after="0" w:line="194" w:lineRule="exact"/>
              <w:rPr>
                <w:sz w:val="20"/>
                <w:szCs w:val="20"/>
                <w:color w:val="auto"/>
              </w:rPr>
            </w:pPr>
            <w:r>
              <w:rPr>
                <w:rFonts w:ascii="Arial" w:cs="Arial" w:eastAsia="Arial" w:hAnsi="Arial"/>
                <w:sz w:val="14"/>
                <w:szCs w:val="14"/>
                <w:color w:val="auto"/>
              </w:rPr>
              <w:t xml:space="preserve">Non-interest bearing </w:t>
            </w:r>
            <w:r>
              <w:rPr>
                <w:rFonts w:ascii="Arial" w:cs="Arial" w:eastAsia="Arial" w:hAnsi="Arial"/>
                <w:sz w:val="22"/>
                <w:szCs w:val="22"/>
                <w:color w:val="auto"/>
                <w:vertAlign w:val="superscript"/>
              </w:rPr>
              <w:t>(1)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45,881,848</w:t>
            </w:r>
          </w:p>
        </w:tc>
        <w:tc>
          <w:tcPr>
            <w:tcW w:w="1140" w:type="dxa"/>
            <w:vAlign w:val="bottom"/>
          </w:tcPr>
          <w:p>
            <w:pPr>
              <w:jc w:val="right"/>
              <w:spacing w:after="0"/>
              <w:rPr>
                <w:sz w:val="20"/>
                <w:szCs w:val="20"/>
                <w:color w:val="auto"/>
              </w:rPr>
            </w:pPr>
            <w:r>
              <w:rPr>
                <w:rFonts w:ascii="Arial" w:cs="Arial" w:eastAsia="Arial" w:hAnsi="Arial"/>
                <w:sz w:val="16"/>
                <w:szCs w:val="16"/>
                <w:color w:val="auto"/>
              </w:rPr>
              <w:t>45,297,294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40,994,205</w:t>
            </w:r>
          </w:p>
        </w:tc>
        <w:tc>
          <w:tcPr>
            <w:tcW w:w="920" w:type="dxa"/>
            <w:vAlign w:val="bottom"/>
          </w:tcPr>
          <w:p>
            <w:pPr>
              <w:jc w:val="center"/>
              <w:spacing w:after="0"/>
              <w:rPr>
                <w:sz w:val="20"/>
                <w:szCs w:val="20"/>
                <w:color w:val="auto"/>
              </w:rPr>
            </w:pPr>
            <w:r>
              <w:rPr>
                <w:rFonts w:ascii="Arial" w:cs="Arial" w:eastAsia="Arial" w:hAnsi="Arial"/>
                <w:sz w:val="16"/>
                <w:szCs w:val="16"/>
                <w:color w:val="auto"/>
              </w:rPr>
              <w:t>-9.5%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-10.7%</w:t>
            </w:r>
          </w:p>
        </w:tc>
      </w:tr>
      <w:tr>
        <w:trPr>
          <w:trHeight w:val="201"/>
        </w:trPr>
        <w:tc>
          <w:tcPr>
            <w:tcW w:w="6020" w:type="dxa"/>
            <w:vAlign w:val="bottom"/>
            <w:tcBorders>
              <w:left w:val="single" w:sz="8" w:color="auto"/>
              <w:right w:val="single" w:sz="8" w:color="auto"/>
            </w:tcBorders>
          </w:tcPr>
          <w:p>
            <w:pPr>
              <w:ind w:left="180"/>
              <w:spacing w:after="0" w:line="200" w:lineRule="exact"/>
              <w:rPr>
                <w:sz w:val="20"/>
                <w:szCs w:val="20"/>
                <w:color w:val="auto"/>
              </w:rPr>
            </w:pPr>
            <w:r>
              <w:rPr>
                <w:rFonts w:ascii="Arial" w:cs="Arial" w:eastAsia="Arial" w:hAnsi="Arial"/>
                <w:sz w:val="15"/>
                <w:szCs w:val="15"/>
                <w:color w:val="auto"/>
              </w:rPr>
              <w:t xml:space="preserve">Interest bearing </w:t>
            </w:r>
            <w:r>
              <w:rPr>
                <w:rFonts w:ascii="Arial" w:cs="Arial" w:eastAsia="Arial" w:hAnsi="Arial"/>
                <w:sz w:val="23"/>
                <w:szCs w:val="23"/>
                <w:color w:val="auto"/>
                <w:vertAlign w:val="superscript"/>
              </w:rPr>
              <w:t>(1)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86,547,213</w:t>
            </w:r>
          </w:p>
        </w:tc>
        <w:tc>
          <w:tcPr>
            <w:tcW w:w="1140" w:type="dxa"/>
            <w:vAlign w:val="bottom"/>
          </w:tcPr>
          <w:p>
            <w:pPr>
              <w:jc w:val="right"/>
              <w:spacing w:after="0"/>
              <w:rPr>
                <w:sz w:val="20"/>
                <w:szCs w:val="20"/>
                <w:color w:val="auto"/>
              </w:rPr>
            </w:pPr>
            <w:r>
              <w:rPr>
                <w:rFonts w:ascii="Arial" w:cs="Arial" w:eastAsia="Arial" w:hAnsi="Arial"/>
                <w:sz w:val="16"/>
                <w:szCs w:val="16"/>
                <w:color w:val="auto"/>
              </w:rPr>
              <w:t>85,125,304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88,145,130</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3.5%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1.8%</w:t>
            </w:r>
          </w:p>
        </w:tc>
      </w:tr>
      <w:tr>
        <w:trPr>
          <w:trHeight w:val="246"/>
        </w:trPr>
        <w:tc>
          <w:tcPr>
            <w:tcW w:w="60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132,429,061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130,422,598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129,139,335</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-2.5%</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Payables from repurchase agreements and securities lending</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23,879,115</w:t>
            </w:r>
          </w:p>
        </w:tc>
        <w:tc>
          <w:tcPr>
            <w:tcW w:w="1140" w:type="dxa"/>
            <w:vAlign w:val="bottom"/>
          </w:tcPr>
          <w:p>
            <w:pPr>
              <w:jc w:val="right"/>
              <w:spacing w:after="0"/>
              <w:rPr>
                <w:sz w:val="20"/>
                <w:szCs w:val="20"/>
                <w:color w:val="auto"/>
              </w:rPr>
            </w:pPr>
            <w:r>
              <w:rPr>
                <w:rFonts w:ascii="Arial" w:cs="Arial" w:eastAsia="Arial" w:hAnsi="Arial"/>
                <w:sz w:val="16"/>
                <w:szCs w:val="16"/>
                <w:color w:val="auto"/>
              </w:rPr>
              <w:t>18,064,487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16,578,846</w:t>
            </w:r>
          </w:p>
        </w:tc>
        <w:tc>
          <w:tcPr>
            <w:tcW w:w="920" w:type="dxa"/>
            <w:vAlign w:val="bottom"/>
          </w:tcPr>
          <w:p>
            <w:pPr>
              <w:jc w:val="center"/>
              <w:spacing w:after="0"/>
              <w:rPr>
                <w:sz w:val="20"/>
                <w:szCs w:val="20"/>
                <w:color w:val="auto"/>
              </w:rPr>
            </w:pPr>
            <w:r>
              <w:rPr>
                <w:rFonts w:ascii="Arial" w:cs="Arial" w:eastAsia="Arial" w:hAnsi="Arial"/>
                <w:sz w:val="16"/>
                <w:szCs w:val="16"/>
                <w:color w:val="auto"/>
              </w:rPr>
              <w:t>-8.2%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-30.6%</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BCRP instruments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23,329,990</w:t>
            </w:r>
          </w:p>
        </w:tc>
        <w:tc>
          <w:tcPr>
            <w:tcW w:w="1140" w:type="dxa"/>
            <w:vAlign w:val="bottom"/>
          </w:tcPr>
          <w:p>
            <w:pPr>
              <w:jc w:val="right"/>
              <w:spacing w:after="0"/>
              <w:rPr>
                <w:sz w:val="20"/>
                <w:szCs w:val="20"/>
                <w:color w:val="auto"/>
              </w:rPr>
            </w:pPr>
            <w:r>
              <w:rPr>
                <w:rFonts w:ascii="Arial" w:cs="Arial" w:eastAsia="Arial" w:hAnsi="Arial"/>
                <w:sz w:val="16"/>
                <w:szCs w:val="16"/>
                <w:color w:val="auto"/>
              </w:rPr>
              <w:t>17,532,350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16,031,618</w:t>
            </w:r>
          </w:p>
        </w:tc>
        <w:tc>
          <w:tcPr>
            <w:tcW w:w="920" w:type="dxa"/>
            <w:vAlign w:val="bottom"/>
          </w:tcPr>
          <w:p>
            <w:pPr>
              <w:jc w:val="center"/>
              <w:spacing w:after="0"/>
              <w:rPr>
                <w:sz w:val="20"/>
                <w:szCs w:val="20"/>
                <w:color w:val="auto"/>
              </w:rPr>
            </w:pPr>
            <w:r>
              <w:rPr>
                <w:rFonts w:ascii="Arial" w:cs="Arial" w:eastAsia="Arial" w:hAnsi="Arial"/>
                <w:sz w:val="16"/>
                <w:szCs w:val="16"/>
                <w:color w:val="auto"/>
              </w:rPr>
              <w:t>-8.6%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-31.3%</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Repurchase agreements with third parties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549,125</w:t>
            </w:r>
          </w:p>
        </w:tc>
        <w:tc>
          <w:tcPr>
            <w:tcW w:w="1140" w:type="dxa"/>
            <w:vAlign w:val="bottom"/>
          </w:tcPr>
          <w:p>
            <w:pPr>
              <w:jc w:val="right"/>
              <w:spacing w:after="0"/>
              <w:rPr>
                <w:sz w:val="20"/>
                <w:szCs w:val="20"/>
                <w:color w:val="auto"/>
              </w:rPr>
            </w:pPr>
            <w:r>
              <w:rPr>
                <w:rFonts w:ascii="Arial" w:cs="Arial" w:eastAsia="Arial" w:hAnsi="Arial"/>
                <w:sz w:val="16"/>
                <w:szCs w:val="16"/>
                <w:color w:val="auto"/>
              </w:rPr>
              <w:t>532,137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547,228</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2.8%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-0.3%</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5,636,702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5,872,463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5,963,573</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5.8%</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Bonds and notes issued</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14,368,316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13,575,977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14,093,426</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3.8%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-1.9%</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Banker’s acceptances outstanding</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558,934</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524,448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743,925</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41.8%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33.1%</w:t>
            </w:r>
          </w:p>
        </w:tc>
      </w:tr>
      <w:tr>
        <w:trPr>
          <w:trHeight w:val="189"/>
        </w:trPr>
        <w:tc>
          <w:tcPr>
            <w:tcW w:w="60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Financial liabilities at fair value through profit or loss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84,071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210,393</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150.3%</w:t>
            </w:r>
          </w:p>
        </w:tc>
      </w:tr>
      <w:tr>
        <w:trPr>
          <w:trHeight w:val="201"/>
        </w:trPr>
        <w:tc>
          <w:tcPr>
            <w:tcW w:w="602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15"/>
                <w:szCs w:val="15"/>
                <w:b w:val="1"/>
                <w:bCs w:val="1"/>
                <w:color w:val="auto"/>
              </w:rPr>
              <w:t xml:space="preserve">Other liabilities </w:t>
            </w:r>
            <w:r>
              <w:rPr>
                <w:rFonts w:ascii="Arial" w:cs="Arial" w:eastAsia="Arial" w:hAnsi="Arial"/>
                <w:sz w:val="23"/>
                <w:szCs w:val="23"/>
                <w:color w:val="auto"/>
                <w:vertAlign w:val="superscript"/>
              </w:rPr>
              <w:t>(3)</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4,261,450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6,211,275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5,512,852</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-11.2%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29.4%</w:t>
            </w:r>
          </w:p>
        </w:tc>
      </w:tr>
      <w:tr>
        <w:trPr>
          <w:trHeight w:val="246"/>
        </w:trPr>
        <w:tc>
          <w:tcPr>
            <w:tcW w:w="6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 Liabilities</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181,217,649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174,671,248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172,242,350</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-5.0%</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equity</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18,908,512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20,140,022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20,987,313</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11.0%</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Capital stock</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11,024,006</w:t>
            </w:r>
          </w:p>
        </w:tc>
        <w:tc>
          <w:tcPr>
            <w:tcW w:w="1140" w:type="dxa"/>
            <w:vAlign w:val="bottom"/>
          </w:tcPr>
          <w:p>
            <w:pPr>
              <w:jc w:val="right"/>
              <w:spacing w:after="0"/>
              <w:rPr>
                <w:sz w:val="20"/>
                <w:szCs w:val="20"/>
                <w:color w:val="auto"/>
              </w:rPr>
            </w:pPr>
            <w:r>
              <w:rPr>
                <w:rFonts w:ascii="Arial" w:cs="Arial" w:eastAsia="Arial" w:hAnsi="Arial"/>
                <w:sz w:val="16"/>
                <w:szCs w:val="16"/>
                <w:color w:val="auto"/>
              </w:rPr>
              <w:t>11,882,984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11,882,984</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7.8%</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Reserves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6,488,969</w:t>
            </w:r>
          </w:p>
        </w:tc>
        <w:tc>
          <w:tcPr>
            <w:tcW w:w="1140" w:type="dxa"/>
            <w:vAlign w:val="bottom"/>
          </w:tcPr>
          <w:p>
            <w:pPr>
              <w:jc w:val="right"/>
              <w:spacing w:after="0"/>
              <w:rPr>
                <w:sz w:val="20"/>
                <w:szCs w:val="20"/>
                <w:color w:val="auto"/>
              </w:rPr>
            </w:pPr>
            <w:r>
              <w:rPr>
                <w:rFonts w:ascii="Arial" w:cs="Arial" w:eastAsia="Arial" w:hAnsi="Arial"/>
                <w:sz w:val="16"/>
                <w:szCs w:val="16"/>
                <w:color w:val="auto"/>
              </w:rPr>
              <w:t>7,297,648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7,298,035</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w:t>
            </w:r>
          </w:p>
        </w:tc>
      </w:tr>
      <w:tr>
        <w:trPr>
          <w:trHeight w:val="195"/>
        </w:trPr>
        <w:tc>
          <w:tcPr>
            <w:tcW w:w="602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Unrealized gains and losses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(123,542)</w:t>
            </w:r>
          </w:p>
        </w:tc>
        <w:tc>
          <w:tcPr>
            <w:tcW w:w="1140" w:type="dxa"/>
            <w:vAlign w:val="bottom"/>
          </w:tcPr>
          <w:p>
            <w:pPr>
              <w:jc w:val="right"/>
              <w:spacing w:after="0"/>
              <w:rPr>
                <w:sz w:val="20"/>
                <w:szCs w:val="20"/>
                <w:color w:val="auto"/>
              </w:rPr>
            </w:pPr>
            <w:r>
              <w:rPr>
                <w:rFonts w:ascii="Arial" w:cs="Arial" w:eastAsia="Arial" w:hAnsi="Arial"/>
                <w:sz w:val="16"/>
                <w:szCs w:val="16"/>
                <w:color w:val="auto"/>
              </w:rPr>
              <w:t>(780,063)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(1,089,747)</w:t>
            </w:r>
          </w:p>
        </w:tc>
        <w:tc>
          <w:tcPr>
            <w:tcW w:w="920" w:type="dxa"/>
            <w:vAlign w:val="bottom"/>
          </w:tcPr>
          <w:p>
            <w:pPr>
              <w:jc w:val="center"/>
              <w:spacing w:after="0"/>
              <w:rPr>
                <w:sz w:val="20"/>
                <w:szCs w:val="20"/>
                <w:color w:val="auto"/>
              </w:rPr>
            </w:pPr>
            <w:r>
              <w:rPr>
                <w:rFonts w:ascii="Arial" w:cs="Arial" w:eastAsia="Arial" w:hAnsi="Arial"/>
                <w:sz w:val="16"/>
                <w:szCs w:val="16"/>
                <w:color w:val="auto"/>
              </w:rPr>
              <w:t>n.a.</w:t>
            </w:r>
          </w:p>
        </w:tc>
        <w:tc>
          <w:tcPr>
            <w:tcW w:w="9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n.a.</w:t>
            </w:r>
          </w:p>
        </w:tc>
      </w:tr>
      <w:tr>
        <w:trPr>
          <w:trHeight w:val="236"/>
        </w:trPr>
        <w:tc>
          <w:tcPr>
            <w:tcW w:w="60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Retained earnings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1,519,079</w:t>
            </w:r>
          </w:p>
        </w:tc>
        <w:tc>
          <w:tcPr>
            <w:tcW w:w="1140" w:type="dxa"/>
            <w:vAlign w:val="bottom"/>
          </w:tcPr>
          <w:p>
            <w:pPr>
              <w:jc w:val="right"/>
              <w:spacing w:after="0"/>
              <w:rPr>
                <w:sz w:val="20"/>
                <w:szCs w:val="20"/>
                <w:color w:val="auto"/>
              </w:rPr>
            </w:pPr>
            <w:r>
              <w:rPr>
                <w:rFonts w:ascii="Arial" w:cs="Arial" w:eastAsia="Arial" w:hAnsi="Arial"/>
                <w:sz w:val="16"/>
                <w:szCs w:val="16"/>
                <w:color w:val="auto"/>
              </w:rPr>
              <w:t>1,739,453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2,896,041</w:t>
            </w:r>
          </w:p>
        </w:tc>
        <w:tc>
          <w:tcPr>
            <w:tcW w:w="920" w:type="dxa"/>
            <w:vAlign w:val="bottom"/>
          </w:tcPr>
          <w:p>
            <w:pPr>
              <w:jc w:val="center"/>
              <w:spacing w:after="0"/>
              <w:rPr>
                <w:sz w:val="20"/>
                <w:szCs w:val="20"/>
                <w:color w:val="auto"/>
              </w:rPr>
            </w:pPr>
            <w:r>
              <w:rPr>
                <w:rFonts w:ascii="Arial" w:cs="Arial" w:eastAsia="Arial" w:hAnsi="Arial"/>
                <w:sz w:val="16"/>
                <w:szCs w:val="16"/>
                <w:color w:val="auto"/>
              </w:rPr>
              <w:t>66.5%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90.6%</w:t>
            </w:r>
          </w:p>
        </w:tc>
      </w:tr>
      <w:tr>
        <w:trPr>
          <w:trHeight w:val="36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Non-controlling interest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119,914</w:t>
            </w:r>
          </w:p>
        </w:tc>
        <w:tc>
          <w:tcPr>
            <w:tcW w:w="1140" w:type="dxa"/>
            <w:vAlign w:val="bottom"/>
          </w:tcPr>
          <w:p>
            <w:pPr>
              <w:jc w:val="right"/>
              <w:spacing w:after="0"/>
              <w:rPr>
                <w:sz w:val="20"/>
                <w:szCs w:val="20"/>
                <w:color w:val="auto"/>
              </w:rPr>
            </w:pPr>
            <w:r>
              <w:rPr>
                <w:rFonts w:ascii="Arial" w:cs="Arial" w:eastAsia="Arial" w:hAnsi="Arial"/>
                <w:sz w:val="16"/>
                <w:szCs w:val="16"/>
                <w:color w:val="auto"/>
              </w:rPr>
              <w:t>134,483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140,663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17.3%</w:t>
            </w:r>
          </w:p>
        </w:tc>
      </w:tr>
      <w:tr>
        <w:trPr>
          <w:trHeight w:val="375"/>
        </w:trPr>
        <w:tc>
          <w:tcPr>
            <w:tcW w:w="6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 Net Equity</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19,028,426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20,274,505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21,127,976</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11.0%</w:t>
            </w:r>
          </w:p>
        </w:tc>
      </w:tr>
      <w:tr>
        <w:trPr>
          <w:trHeight w:val="36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200,246,075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194,945,753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193,370,326</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-3.4%</w:t>
            </w:r>
          </w:p>
        </w:tc>
      </w:tr>
      <w:tr>
        <w:trPr>
          <w:trHeight w:val="315"/>
        </w:trPr>
        <w:tc>
          <w:tcPr>
            <w:tcW w:w="6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Off-balance sheet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131,540,506</w:t>
            </w:r>
          </w:p>
        </w:tc>
        <w:tc>
          <w:tcPr>
            <w:tcW w:w="1140" w:type="dxa"/>
            <w:vAlign w:val="bottom"/>
          </w:tcPr>
          <w:p>
            <w:pPr>
              <w:jc w:val="right"/>
              <w:spacing w:after="0"/>
              <w:rPr>
                <w:sz w:val="20"/>
                <w:szCs w:val="20"/>
                <w:color w:val="auto"/>
              </w:rPr>
            </w:pPr>
            <w:r>
              <w:rPr>
                <w:rFonts w:ascii="Arial" w:cs="Arial" w:eastAsia="Arial" w:hAnsi="Arial"/>
                <w:sz w:val="16"/>
                <w:szCs w:val="16"/>
                <w:color w:val="auto"/>
              </w:rPr>
              <w:t>131,406,579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130,782,706</w:t>
            </w:r>
          </w:p>
        </w:tc>
        <w:tc>
          <w:tcPr>
            <w:tcW w:w="920" w:type="dxa"/>
            <w:vAlign w:val="bottom"/>
          </w:tcPr>
          <w:p>
            <w:pPr>
              <w:jc w:val="center"/>
              <w:spacing w:after="0"/>
              <w:rPr>
                <w:sz w:val="20"/>
                <w:szCs w:val="20"/>
                <w:color w:val="auto"/>
              </w:rPr>
            </w:pPr>
            <w:r>
              <w:rPr>
                <w:rFonts w:ascii="Arial" w:cs="Arial" w:eastAsia="Arial" w:hAnsi="Arial"/>
                <w:sz w:val="16"/>
                <w:szCs w:val="16"/>
                <w:color w:val="auto"/>
              </w:rPr>
              <w:t>-0.5%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-0.6%</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Total performance bonds, stand-by and L/Cs.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21,228,772</w:t>
            </w:r>
          </w:p>
        </w:tc>
        <w:tc>
          <w:tcPr>
            <w:tcW w:w="1140" w:type="dxa"/>
            <w:vAlign w:val="bottom"/>
          </w:tcPr>
          <w:p>
            <w:pPr>
              <w:jc w:val="right"/>
              <w:spacing w:after="0"/>
              <w:rPr>
                <w:sz w:val="20"/>
                <w:szCs w:val="20"/>
                <w:color w:val="auto"/>
              </w:rPr>
            </w:pPr>
            <w:r>
              <w:rPr>
                <w:rFonts w:ascii="Arial" w:cs="Arial" w:eastAsia="Arial" w:hAnsi="Arial"/>
                <w:sz w:val="16"/>
                <w:szCs w:val="16"/>
                <w:color w:val="auto"/>
              </w:rPr>
              <w:t>19,638,213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19,490,337</w:t>
            </w:r>
          </w:p>
        </w:tc>
        <w:tc>
          <w:tcPr>
            <w:tcW w:w="920" w:type="dxa"/>
            <w:vAlign w:val="bottom"/>
          </w:tcPr>
          <w:p>
            <w:pPr>
              <w:jc w:val="center"/>
              <w:spacing w:after="0"/>
              <w:rPr>
                <w:sz w:val="20"/>
                <w:szCs w:val="20"/>
                <w:color w:val="auto"/>
              </w:rPr>
            </w:pPr>
            <w:r>
              <w:rPr>
                <w:rFonts w:ascii="Arial" w:cs="Arial" w:eastAsia="Arial" w:hAnsi="Arial"/>
                <w:sz w:val="16"/>
                <w:szCs w:val="16"/>
                <w:color w:val="auto"/>
              </w:rPr>
              <w:t>-0.8%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-8.2%</w:t>
            </w:r>
          </w:p>
        </w:tc>
      </w:tr>
      <w:tr>
        <w:trPr>
          <w:trHeight w:val="195"/>
        </w:trPr>
        <w:tc>
          <w:tcPr>
            <w:tcW w:w="60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Undrawn credit lines, advised but not committed</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75,964,511</w:t>
            </w:r>
          </w:p>
        </w:tc>
        <w:tc>
          <w:tcPr>
            <w:tcW w:w="1140" w:type="dxa"/>
            <w:vAlign w:val="bottom"/>
          </w:tcPr>
          <w:p>
            <w:pPr>
              <w:jc w:val="right"/>
              <w:spacing w:after="0"/>
              <w:rPr>
                <w:sz w:val="20"/>
                <w:szCs w:val="20"/>
                <w:color w:val="auto"/>
              </w:rPr>
            </w:pPr>
            <w:r>
              <w:rPr>
                <w:rFonts w:ascii="Arial" w:cs="Arial" w:eastAsia="Arial" w:hAnsi="Arial"/>
                <w:sz w:val="16"/>
                <w:szCs w:val="16"/>
                <w:color w:val="auto"/>
              </w:rPr>
              <w:t>70,893,784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74,845,631</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5.6%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w:t>
            </w:r>
          </w:p>
        </w:tc>
      </w:tr>
      <w:tr>
        <w:trPr>
          <w:trHeight w:val="220"/>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derivatives (notional) and others</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34,347,223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40,874,582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36,446,738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6.1%</w:t>
            </w:r>
          </w:p>
        </w:tc>
      </w:tr>
    </w:tbl>
    <w:p>
      <w:pPr>
        <w:spacing w:after="0" w:line="203" w:lineRule="exact"/>
        <w:rPr>
          <w:sz w:val="20"/>
          <w:szCs w:val="20"/>
          <w:color w:val="auto"/>
        </w:rPr>
      </w:pPr>
    </w:p>
    <w:p>
      <w:pPr>
        <w:ind w:left="180" w:hanging="163"/>
        <w:spacing w:after="0"/>
        <w:tabs>
          <w:tab w:leader="none" w:pos="18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Right of use asset of lease contracts is included by application of IFRS 16.</w:t>
      </w:r>
    </w:p>
    <w:p>
      <w:pPr>
        <w:spacing w:after="0" w:line="7" w:lineRule="exact"/>
        <w:rPr>
          <w:rFonts w:ascii="Times New Roman" w:cs="Times New Roman" w:eastAsia="Times New Roman" w:hAnsi="Times New Roman"/>
          <w:sz w:val="11"/>
          <w:szCs w:val="11"/>
          <w:color w:val="auto"/>
        </w:rPr>
      </w:pPr>
    </w:p>
    <w:p>
      <w:pPr>
        <w:ind w:left="180" w:hanging="163"/>
        <w:spacing w:after="0" w:line="231" w:lineRule="auto"/>
        <w:tabs>
          <w:tab w:leader="none" w:pos="18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intangible assets, other receivable accounts and tax credit.</w:t>
      </w:r>
    </w:p>
    <w:p>
      <w:pPr>
        <w:ind w:left="180" w:hanging="163"/>
        <w:spacing w:after="0"/>
        <w:tabs>
          <w:tab w:leader="none" w:pos="18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other payable accounts.</w:t>
      </w:r>
    </w:p>
    <w:p>
      <w:pPr>
        <w:sectPr>
          <w:pgSz w:w="11900" w:h="16838" w:orient="portrait"/>
          <w:cols w:equalWidth="0" w:num="1">
            <w:col w:w="11280"/>
          </w:cols>
          <w:pgMar w:left="300" w:top="313" w:right="319" w:bottom="1440" w:gutter="0" w:footer="0" w:header="0"/>
        </w:sectPr>
      </w:pPr>
    </w:p>
    <w:p>
      <w:pPr>
        <w:spacing w:after="0" w:line="34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type w:val="continuous"/>
        </w:sectPr>
      </w:pPr>
    </w:p>
    <w:bookmarkStart w:id="61" w:name="page62"/>
    <w:bookmarkEnd w:id="6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12.5.4. BCP Stand-alone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060" w:type="dxa"/>
            <w:vAlign w:val="bottom"/>
            <w:tcBorders>
              <w:right w:val="single" w:sz="8" w:color="auto"/>
            </w:tcBorders>
          </w:tcPr>
          <w:p>
            <w:pPr>
              <w:spacing w:after="0"/>
              <w:rPr>
                <w:sz w:val="16"/>
                <w:szCs w:val="16"/>
                <w:color w:val="auto"/>
              </w:rPr>
            </w:pPr>
          </w:p>
        </w:tc>
        <w:tc>
          <w:tcPr>
            <w:tcW w:w="1280" w:type="dxa"/>
            <w:vAlign w:val="bottom"/>
            <w:tcBorders>
              <w:top w:val="single" w:sz="8" w:color="auto"/>
            </w:tcBorders>
            <w:shd w:val="clear" w:color="auto" w:fill="2AD2C9"/>
          </w:tcPr>
          <w:p>
            <w:pPr>
              <w:spacing w:after="0"/>
              <w:rPr>
                <w:sz w:val="16"/>
                <w:szCs w:val="16"/>
                <w:color w:val="auto"/>
              </w:rPr>
            </w:pPr>
          </w:p>
        </w:tc>
        <w:tc>
          <w:tcPr>
            <w:tcW w:w="1140" w:type="dxa"/>
            <w:vAlign w:val="bottom"/>
            <w:tcBorders>
              <w:top w:val="single" w:sz="8" w:color="auto"/>
            </w:tcBorders>
            <w:shd w:val="clear" w:color="auto" w:fill="2AD2C9"/>
          </w:tcPr>
          <w:p>
            <w:pPr>
              <w:jc w:val="right"/>
              <w:ind w:right="419"/>
              <w:spacing w:after="0"/>
              <w:rPr>
                <w:sz w:val="20"/>
                <w:szCs w:val="20"/>
                <w:color w:val="auto"/>
              </w:rPr>
            </w:pPr>
            <w:r>
              <w:rPr>
                <w:rFonts w:ascii="Arial" w:cs="Arial" w:eastAsia="Arial" w:hAnsi="Arial"/>
                <w:sz w:val="16"/>
                <w:szCs w:val="16"/>
                <w:b w:val="1"/>
                <w:bCs w:val="1"/>
                <w:color w:val="FFFFFF"/>
              </w:rPr>
              <w:t>As of</w:t>
            </w:r>
          </w:p>
        </w:tc>
        <w:tc>
          <w:tcPr>
            <w:tcW w:w="1020" w:type="dxa"/>
            <w:vAlign w:val="bottom"/>
            <w:tcBorders>
              <w:top w:val="single" w:sz="8" w:color="auto"/>
              <w:right w:val="single" w:sz="8" w:color="auto"/>
            </w:tcBorders>
            <w:shd w:val="clear" w:color="auto" w:fill="2AD2C9"/>
          </w:tcPr>
          <w:p>
            <w:pPr>
              <w:spacing w:after="0"/>
              <w:rPr>
                <w:sz w:val="16"/>
                <w:szCs w:val="16"/>
                <w:color w:val="auto"/>
              </w:rPr>
            </w:pPr>
          </w:p>
        </w:tc>
        <w:tc>
          <w:tcPr>
            <w:tcW w:w="1780" w:type="dxa"/>
            <w:vAlign w:val="bottom"/>
            <w:tcBorders>
              <w:top w:val="single" w:sz="8" w:color="auto"/>
              <w:right w:val="single" w:sz="8" w:color="auto"/>
            </w:tcBorders>
            <w:gridSpan w:val="2"/>
            <w:shd w:val="clear" w:color="auto" w:fill="2AD2C9"/>
          </w:tcPr>
          <w:p>
            <w:pPr>
              <w:ind w:left="500"/>
              <w:spacing w:after="0"/>
              <w:rPr>
                <w:sz w:val="20"/>
                <w:szCs w:val="20"/>
                <w:color w:val="auto"/>
              </w:rPr>
            </w:pPr>
            <w:r>
              <w:rPr>
                <w:rFonts w:ascii="Arial" w:cs="Arial" w:eastAsia="Arial" w:hAnsi="Arial"/>
                <w:sz w:val="16"/>
                <w:szCs w:val="16"/>
                <w:b w:val="1"/>
                <w:bCs w:val="1"/>
                <w:color w:val="FFFFFF"/>
              </w:rPr>
              <w:t>% change</w:t>
            </w:r>
          </w:p>
        </w:tc>
      </w:tr>
      <w:tr>
        <w:trPr>
          <w:trHeight w:val="204"/>
        </w:trPr>
        <w:tc>
          <w:tcPr>
            <w:tcW w:w="60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shd w:val="clear" w:color="auto" w:fill="2AD2C9"/>
          </w:tcPr>
          <w:p>
            <w:pPr>
              <w:jc w:val="right"/>
              <w:ind w:right="359"/>
              <w:spacing w:after="0"/>
              <w:rPr>
                <w:sz w:val="20"/>
                <w:szCs w:val="20"/>
                <w:color w:val="auto"/>
              </w:rPr>
            </w:pPr>
            <w:r>
              <w:rPr>
                <w:rFonts w:ascii="Arial" w:cs="Arial" w:eastAsia="Arial" w:hAnsi="Arial"/>
                <w:sz w:val="16"/>
                <w:szCs w:val="16"/>
                <w:b w:val="1"/>
                <w:bCs w:val="1"/>
                <w:color w:val="FFFFFF"/>
              </w:rPr>
              <w:t>Jun 21</w:t>
            </w:r>
          </w:p>
        </w:tc>
        <w:tc>
          <w:tcPr>
            <w:tcW w:w="1140" w:type="dxa"/>
            <w:vAlign w:val="bottom"/>
            <w:tcBorders>
              <w:bottom w:val="single" w:sz="8" w:color="auto"/>
            </w:tcBorders>
            <w:shd w:val="clear" w:color="auto" w:fill="2AD2C9"/>
          </w:tcPr>
          <w:p>
            <w:pPr>
              <w:jc w:val="right"/>
              <w:ind w:right="339"/>
              <w:spacing w:after="0"/>
              <w:rPr>
                <w:sz w:val="20"/>
                <w:szCs w:val="20"/>
                <w:color w:val="auto"/>
              </w:rPr>
            </w:pPr>
            <w:r>
              <w:rPr>
                <w:rFonts w:ascii="Arial" w:cs="Arial" w:eastAsia="Arial" w:hAnsi="Arial"/>
                <w:sz w:val="16"/>
                <w:szCs w:val="16"/>
                <w:b w:val="1"/>
                <w:bCs w:val="1"/>
                <w:color w:val="FFFFFF"/>
              </w:rPr>
              <w:t>Mar 22</w:t>
            </w:r>
          </w:p>
        </w:tc>
        <w:tc>
          <w:tcPr>
            <w:tcW w:w="1020" w:type="dxa"/>
            <w:vAlign w:val="bottom"/>
            <w:tcBorders>
              <w:bottom w:val="single" w:sz="8" w:color="auto"/>
              <w:right w:val="single" w:sz="8" w:color="auto"/>
            </w:tcBorders>
            <w:shd w:val="clear" w:color="auto" w:fill="2AD2C9"/>
          </w:tcPr>
          <w:p>
            <w:pPr>
              <w:jc w:val="right"/>
              <w:ind w:right="239"/>
              <w:spacing w:after="0"/>
              <w:rPr>
                <w:sz w:val="20"/>
                <w:szCs w:val="20"/>
                <w:color w:val="auto"/>
              </w:rPr>
            </w:pPr>
            <w:r>
              <w:rPr>
                <w:rFonts w:ascii="Arial" w:cs="Arial" w:eastAsia="Arial" w:hAnsi="Arial"/>
                <w:sz w:val="16"/>
                <w:szCs w:val="16"/>
                <w:b w:val="1"/>
                <w:bCs w:val="1"/>
                <w:color w:val="FFFFFF"/>
              </w:rPr>
              <w:t>Jun 22</w:t>
            </w:r>
          </w:p>
        </w:tc>
        <w:tc>
          <w:tcPr>
            <w:tcW w:w="88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6"/>
                <w:szCs w:val="16"/>
                <w:b w:val="1"/>
                <w:bCs w:val="1"/>
                <w:color w:val="FFFFFF"/>
              </w:rPr>
              <w:t>QoQ</w:t>
            </w:r>
          </w:p>
        </w:tc>
        <w:tc>
          <w:tcPr>
            <w:tcW w:w="90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6"/>
                <w:szCs w:val="16"/>
                <w:b w:val="1"/>
                <w:bCs w:val="1"/>
                <w:color w:val="FFFFFF"/>
              </w:rPr>
              <w:t>YoY</w:t>
            </w:r>
          </w:p>
        </w:tc>
      </w:tr>
      <w:tr>
        <w:trPr>
          <w:trHeight w:val="166"/>
        </w:trPr>
        <w:tc>
          <w:tcPr>
            <w:tcW w:w="606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ASSETS</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Cash and due from banks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Non-interest bearing</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6,413,791</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4,429,348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4,596,609</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3.8%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-28.3%</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Interest bearing</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25,585,201</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27,448,742</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21,860,250</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-20.4%</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-14.6%</w:t>
            </w:r>
          </w:p>
        </w:tc>
      </w:tr>
      <w:tr>
        <w:trPr>
          <w:trHeight w:val="223"/>
        </w:trPr>
        <w:tc>
          <w:tcPr>
            <w:tcW w:w="6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cash and due from banks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31,998,992</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31,878,090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26,456,859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-17.0%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-17.3%</w:t>
            </w:r>
          </w:p>
        </w:tc>
      </w:tr>
      <w:tr>
        <w:trPr>
          <w:trHeight w:val="35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collateral, reverse repurchase agreements and securities borrowing</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544,937</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202,127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542,521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168.4%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-0.4%</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2,118,559</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729,168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163,187</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-77.6%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-92.3%</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Fair value through other comprehensive income investments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24,477,519</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18,749,758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16,569,716</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-11.6%</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8"/>
              </w:rPr>
              <w:t>-32.3%</w:t>
            </w:r>
          </w:p>
        </w:tc>
      </w:tr>
      <w:tr>
        <w:trPr>
          <w:trHeight w:val="22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Amortized cost investments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7,071,197</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7,249,994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7,331,851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118,872,541</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120,541,004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125,535,209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5.6%</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Current</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115,221,323</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115,852,249</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120,657,794</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4.1%</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Internal overdue loans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3,651,218</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4,688,755</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4,877,415</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4.0%</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33.6%</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Less - allowance for loan losses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(7,124,855)</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(6,616,033)</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(6,636,936)</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0.3%</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w:t>
            </w:r>
          </w:p>
        </w:tc>
      </w:tr>
      <w:tr>
        <w:trPr>
          <w:trHeight w:val="22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 net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111,747,686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113,924,971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118,898,273</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6.4%</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7"/>
                <w:szCs w:val="27"/>
                <w:b w:val="1"/>
                <w:bCs w:val="1"/>
                <w:color w:val="auto"/>
                <w:vertAlign w:val="superscript"/>
              </w:rPr>
              <w:t>(1)</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1,359,061</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1,314,065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1,291,209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-5.0%</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Due from customers on acceptances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558,934</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524,448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743,925</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41.8%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33.1%</w:t>
            </w:r>
          </w:p>
        </w:tc>
      </w:tr>
      <w:tr>
        <w:trPr>
          <w:trHeight w:val="175"/>
        </w:trPr>
        <w:tc>
          <w:tcPr>
            <w:tcW w:w="606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rPr>
              <w:t>Investments in associates</w:t>
            </w:r>
          </w:p>
        </w:tc>
        <w:tc>
          <w:tcPr>
            <w:tcW w:w="128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auto"/>
              </w:rPr>
              <w:t>2,142,791</w:t>
            </w:r>
          </w:p>
        </w:tc>
        <w:tc>
          <w:tcPr>
            <w:tcW w:w="114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2,429,540</w:t>
            </w:r>
          </w:p>
        </w:tc>
        <w:tc>
          <w:tcPr>
            <w:tcW w:w="10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2,541,615</w:t>
            </w: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4.6%</w:t>
            </w:r>
          </w:p>
        </w:tc>
        <w:tc>
          <w:tcPr>
            <w:tcW w:w="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18.6%</w:t>
            </w:r>
          </w:p>
        </w:tc>
      </w:tr>
      <w:tr>
        <w:trPr>
          <w:trHeight w:val="360"/>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7"/>
                <w:szCs w:val="27"/>
                <w:color w:val="auto"/>
                <w:vertAlign w:val="superscript"/>
              </w:rPr>
              <w:t>(2)</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5,836,135</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5,360,983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6,295,694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7.9%</w:t>
            </w:r>
          </w:p>
        </w:tc>
      </w:tr>
      <w:tr>
        <w:trPr>
          <w:trHeight w:val="224"/>
        </w:trPr>
        <w:tc>
          <w:tcPr>
            <w:tcW w:w="6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Assets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187,855,811</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182,363,144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180,834,850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Deposits and obligations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Non-interest bearing</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45,880,454</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45,294,239</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40,978,979</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-9.5%</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-10.7%</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Interest bearing</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78,320,355</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76,416,598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79,282,172</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3.7%</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w:t>
            </w:r>
          </w:p>
        </w:tc>
      </w:tr>
      <w:tr>
        <w:trPr>
          <w:trHeight w:val="223"/>
        </w:trPr>
        <w:tc>
          <w:tcPr>
            <w:tcW w:w="6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deposits and obligations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124,200,809</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121,710,837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120,261,151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-3.2%</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21,394,306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16,093,566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14,886,829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-7.5%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-30.4%</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BCRP instruments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20,845,181</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15,561,430</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14,339,601</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-7.9%</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-31.2%</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Repurchase agreements with third parties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549,125</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532,137</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547,228</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2.8%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-0.3%</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Due to banks and correspondents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4,830,856</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4,905,616</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4,946,046</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0.8%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2.4%</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Bonds and notes issued</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14,179,541</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13,319,276</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13,833,991</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3.9%</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-2.4%</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Banker’s acceptances outstanding</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558,934</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524,448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743,925</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41.8%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33.1%</w:t>
            </w:r>
          </w:p>
        </w:tc>
      </w:tr>
      <w:tr>
        <w:trPr>
          <w:trHeight w:val="175"/>
        </w:trPr>
        <w:tc>
          <w:tcPr>
            <w:tcW w:w="606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rPr>
              <w:t>Financial liabilities at fair value through profit or loss</w:t>
            </w:r>
          </w:p>
        </w:tc>
        <w:tc>
          <w:tcPr>
            <w:tcW w:w="128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auto"/>
              </w:rPr>
              <w:t>84,071</w:t>
            </w:r>
          </w:p>
        </w:tc>
        <w:tc>
          <w:tcPr>
            <w:tcW w:w="114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210,393</w:t>
            </w: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0.0%</w:t>
            </w:r>
          </w:p>
        </w:tc>
        <w:tc>
          <w:tcPr>
            <w:tcW w:w="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9"/>
              </w:rPr>
              <w:t>150.3%</w:t>
            </w:r>
          </w:p>
        </w:tc>
      </w:tr>
      <w:tr>
        <w:trPr>
          <w:trHeight w:val="191"/>
        </w:trPr>
        <w:tc>
          <w:tcPr>
            <w:tcW w:w="606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b w:val="1"/>
                <w:bCs w:val="1"/>
                <w:color w:val="auto"/>
              </w:rPr>
              <w:t xml:space="preserve">Other liabilities </w:t>
            </w:r>
            <w:r>
              <w:rPr>
                <w:rFonts w:ascii="Arial" w:cs="Arial" w:eastAsia="Arial" w:hAnsi="Arial"/>
                <w:sz w:val="22"/>
                <w:szCs w:val="22"/>
                <w:color w:val="auto"/>
                <w:vertAlign w:val="superscript"/>
              </w:rPr>
              <w:t>(3)</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3,695,174</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5,668,164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4,963,871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-12.4%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34.3%</w:t>
            </w:r>
          </w:p>
        </w:tc>
      </w:tr>
      <w:tr>
        <w:trPr>
          <w:trHeight w:val="223"/>
        </w:trPr>
        <w:tc>
          <w:tcPr>
            <w:tcW w:w="6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Liabilities</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168,943,691</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162,221,907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159,846,206</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-5.4%</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18,912,120</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20,141,237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20,988,644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11.0%</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Capital stock</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11,024,006</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11,882,984</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11,882,984</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0.0%</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7.8%</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Reserves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6,488,969</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7,297,648</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7,298,035</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0.0%</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w:t>
            </w:r>
          </w:p>
        </w:tc>
      </w:tr>
      <w:tr>
        <w:trPr>
          <w:trHeight w:val="183"/>
        </w:trPr>
        <w:tc>
          <w:tcPr>
            <w:tcW w:w="60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Unrealized gains and losses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(123,542)</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(780,063)</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(1,089,747)</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39.7%</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782.1%</w:t>
            </w:r>
          </w:p>
        </w:tc>
      </w:tr>
      <w:tr>
        <w:trPr>
          <w:trHeight w:val="215"/>
        </w:trPr>
        <w:tc>
          <w:tcPr>
            <w:tcW w:w="6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Retained earnings</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1,522,687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1,740,668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2,897,372</w:t>
            </w:r>
          </w:p>
        </w:tc>
        <w:tc>
          <w:tcPr>
            <w:tcW w:w="880" w:type="dxa"/>
            <w:vAlign w:val="bottom"/>
          </w:tcPr>
          <w:p>
            <w:pPr>
              <w:jc w:val="center"/>
              <w:spacing w:after="0"/>
              <w:rPr>
                <w:sz w:val="20"/>
                <w:szCs w:val="20"/>
                <w:color w:val="auto"/>
              </w:rPr>
            </w:pPr>
            <w:r>
              <w:rPr>
                <w:rFonts w:ascii="Arial" w:cs="Arial" w:eastAsia="Arial" w:hAnsi="Arial"/>
                <w:sz w:val="16"/>
                <w:szCs w:val="16"/>
                <w:color w:val="auto"/>
              </w:rPr>
              <w:t>66.5%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90.3%</w:t>
            </w:r>
          </w:p>
        </w:tc>
      </w:tr>
      <w:tr>
        <w:trPr>
          <w:trHeight w:val="361"/>
        </w:trPr>
        <w:tc>
          <w:tcPr>
            <w:tcW w:w="6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Net Equity</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18,912,120</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20,141,237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20,988,644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11.0%</w:t>
            </w:r>
          </w:p>
        </w:tc>
      </w:tr>
      <w:tr>
        <w:trPr>
          <w:trHeight w:val="35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187,855,811</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182,363,144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180,834,850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w:t>
            </w:r>
          </w:p>
        </w:tc>
      </w:tr>
      <w:tr>
        <w:trPr>
          <w:trHeight w:val="313"/>
        </w:trPr>
        <w:tc>
          <w:tcPr>
            <w:tcW w:w="6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Off-balance sheet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119,457,875</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127,873,817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131,117,219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2.5%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9.8%</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Total performance bonds, stand-by and L/Cs.</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21,229,047</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19,638,213</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19,490,337</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-0.8%</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w:t>
            </w:r>
          </w:p>
        </w:tc>
      </w:tr>
      <w:tr>
        <w:trPr>
          <w:trHeight w:val="183"/>
        </w:trPr>
        <w:tc>
          <w:tcPr>
            <w:tcW w:w="60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Undrawn credit lines, advised but not committed</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75,613,731</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68,137,602</w:t>
            </w:r>
          </w:p>
        </w:tc>
        <w:tc>
          <w:tcPr>
            <w:tcW w:w="10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71,528,880</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5.0%</w:t>
            </w:r>
          </w:p>
        </w:tc>
        <w:tc>
          <w:tcPr>
            <w:tcW w:w="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w:t>
            </w:r>
          </w:p>
        </w:tc>
      </w:tr>
      <w:tr>
        <w:trPr>
          <w:trHeight w:val="204"/>
        </w:trPr>
        <w:tc>
          <w:tcPr>
            <w:tcW w:w="6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derivatives (notional) and others</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22,615,097</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40,098,002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40,098,002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77.3%</w:t>
            </w:r>
          </w:p>
        </w:tc>
      </w:tr>
    </w:tbl>
    <w:p>
      <w:pPr>
        <w:spacing w:after="0" w:line="211" w:lineRule="exact"/>
        <w:rPr>
          <w:sz w:val="20"/>
          <w:szCs w:val="20"/>
          <w:color w:val="auto"/>
        </w:rPr>
      </w:pPr>
    </w:p>
    <w:p>
      <w:pPr>
        <w:ind w:left="160" w:hanging="143"/>
        <w:spacing w:after="0"/>
        <w:tabs>
          <w:tab w:leader="none" w:pos="1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intangible assets, other receivable accounts and tax credit.</w:t>
      </w:r>
    </w:p>
    <w:p>
      <w:pPr>
        <w:spacing w:after="0" w:line="7" w:lineRule="exact"/>
        <w:rPr>
          <w:rFonts w:ascii="Times New Roman" w:cs="Times New Roman" w:eastAsia="Times New Roman" w:hAnsi="Times New Roman"/>
          <w:sz w:val="11"/>
          <w:szCs w:val="11"/>
          <w:color w:val="auto"/>
        </w:rPr>
      </w:pPr>
    </w:p>
    <w:p>
      <w:pPr>
        <w:ind w:left="160" w:hanging="143"/>
        <w:spacing w:after="0"/>
        <w:tabs>
          <w:tab w:leader="none" w:pos="1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includes other payable accounts.</w:t>
      </w:r>
    </w:p>
    <w:p>
      <w:pPr>
        <w:sectPr>
          <w:pgSz w:w="11900" w:h="16838" w:orient="portrait"/>
          <w:cols w:equalWidth="0" w:num="1">
            <w:col w:w="11280"/>
          </w:cols>
          <w:pgMar w:left="300" w:top="313" w:right="319" w:bottom="1440" w:gutter="0" w:footer="0" w:header="0"/>
        </w:sectPr>
      </w:pPr>
    </w:p>
    <w:p>
      <w:pPr>
        <w:spacing w:after="0" w:line="33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type w:val="continuous"/>
        </w:sectPr>
      </w:pPr>
    </w:p>
    <w:bookmarkStart w:id="62" w:name="page63"/>
    <w:bookmarkEnd w:id="62"/>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600" w:type="dxa"/>
            <w:vAlign w:val="bottom"/>
            <w:tcBorders>
              <w:right w:val="single" w:sz="8" w:color="auto"/>
            </w:tcBorders>
          </w:tcPr>
          <w:p>
            <w:pPr>
              <w:spacing w:after="0"/>
              <w:rPr>
                <w:sz w:val="16"/>
                <w:szCs w:val="16"/>
                <w:color w:val="auto"/>
              </w:rPr>
            </w:pPr>
          </w:p>
        </w:tc>
        <w:tc>
          <w:tcPr>
            <w:tcW w:w="1040" w:type="dxa"/>
            <w:vAlign w:val="bottom"/>
            <w:tcBorders>
              <w:top w:val="single" w:sz="8" w:color="auto"/>
            </w:tcBorders>
            <w:shd w:val="clear" w:color="auto" w:fill="2AD2C9"/>
          </w:tcPr>
          <w:p>
            <w:pPr>
              <w:spacing w:after="0"/>
              <w:rPr>
                <w:sz w:val="16"/>
                <w:szCs w:val="16"/>
                <w:color w:val="auto"/>
              </w:rPr>
            </w:pPr>
          </w:p>
        </w:tc>
        <w:tc>
          <w:tcPr>
            <w:tcW w:w="960" w:type="dxa"/>
            <w:vAlign w:val="bottom"/>
            <w:tcBorders>
              <w:top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6"/>
                <w:szCs w:val="16"/>
                <w:color w:val="auto"/>
              </w:rPr>
            </w:pPr>
          </w:p>
        </w:tc>
        <w:tc>
          <w:tcPr>
            <w:tcW w:w="1580" w:type="dxa"/>
            <w:vAlign w:val="bottom"/>
            <w:tcBorders>
              <w:top w:val="single" w:sz="8" w:color="auto"/>
              <w:right w:val="single" w:sz="8" w:color="auto"/>
            </w:tcBorders>
            <w:gridSpan w:val="2"/>
            <w:shd w:val="clear" w:color="auto" w:fill="2AD2C9"/>
          </w:tcPr>
          <w:p>
            <w:pPr>
              <w:jc w:val="right"/>
              <w:ind w:right="339"/>
              <w:spacing w:after="0"/>
              <w:rPr>
                <w:sz w:val="20"/>
                <w:szCs w:val="20"/>
                <w:color w:val="auto"/>
              </w:rPr>
            </w:pPr>
            <w:r>
              <w:rPr>
                <w:rFonts w:ascii="Arial" w:cs="Arial" w:eastAsia="Arial" w:hAnsi="Arial"/>
                <w:sz w:val="16"/>
                <w:szCs w:val="16"/>
                <w:b w:val="1"/>
                <w:bCs w:val="1"/>
                <w:color w:val="FFFFFF"/>
              </w:rPr>
              <w:t>% change</w:t>
            </w:r>
          </w:p>
        </w:tc>
        <w:tc>
          <w:tcPr>
            <w:tcW w:w="1980" w:type="dxa"/>
            <w:vAlign w:val="bottom"/>
            <w:tcBorders>
              <w:top w:val="single" w:sz="8" w:color="auto"/>
              <w:right w:val="single" w:sz="8" w:color="auto"/>
            </w:tcBorders>
            <w:gridSpan w:val="2"/>
            <w:shd w:val="clear" w:color="auto" w:fill="2AD2C9"/>
          </w:tcPr>
          <w:p>
            <w:pPr>
              <w:jc w:val="right"/>
              <w:ind w:right="719"/>
              <w:spacing w:after="0"/>
              <w:rPr>
                <w:sz w:val="20"/>
                <w:szCs w:val="20"/>
                <w:color w:val="auto"/>
              </w:rPr>
            </w:pPr>
            <w:r>
              <w:rPr>
                <w:rFonts w:ascii="Arial" w:cs="Arial" w:eastAsia="Arial" w:hAnsi="Arial"/>
                <w:sz w:val="16"/>
                <w:szCs w:val="16"/>
                <w:b w:val="1"/>
                <w:bCs w:val="1"/>
                <w:color w:val="FFFFFF"/>
              </w:rPr>
              <w:t>As of</w:t>
            </w:r>
          </w:p>
        </w:tc>
        <w:tc>
          <w:tcPr>
            <w:tcW w:w="12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 change</w:t>
            </w:r>
          </w:p>
        </w:tc>
      </w:tr>
      <w:tr>
        <w:trPr>
          <w:trHeight w:val="204"/>
        </w:trPr>
        <w:tc>
          <w:tcPr>
            <w:tcW w:w="36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2Q21</w:t>
            </w:r>
          </w:p>
        </w:tc>
        <w:tc>
          <w:tcPr>
            <w:tcW w:w="960" w:type="dxa"/>
            <w:vAlign w:val="bottom"/>
            <w:tcBorders>
              <w:bottom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1Q22</w:t>
            </w:r>
          </w:p>
        </w:tc>
        <w:tc>
          <w:tcPr>
            <w:tcW w:w="920" w:type="dxa"/>
            <w:vAlign w:val="bottom"/>
            <w:tcBorders>
              <w:bottom w:val="single" w:sz="8" w:color="auto"/>
              <w:right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2Q22</w:t>
            </w:r>
          </w:p>
        </w:tc>
        <w:tc>
          <w:tcPr>
            <w:tcW w:w="860" w:type="dxa"/>
            <w:vAlign w:val="bottom"/>
            <w:tcBorders>
              <w:bottom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QoQ</w:t>
            </w:r>
          </w:p>
        </w:tc>
        <w:tc>
          <w:tcPr>
            <w:tcW w:w="72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YoY</w:t>
            </w:r>
          </w:p>
        </w:tc>
        <w:tc>
          <w:tcPr>
            <w:tcW w:w="1040" w:type="dxa"/>
            <w:vAlign w:val="bottom"/>
            <w:tcBorders>
              <w:bottom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Jun 21</w:t>
            </w:r>
          </w:p>
        </w:tc>
        <w:tc>
          <w:tcPr>
            <w:tcW w:w="940" w:type="dxa"/>
            <w:vAlign w:val="bottom"/>
            <w:tcBorders>
              <w:bottom w:val="single" w:sz="8" w:color="auto"/>
              <w:right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rPr>
              <w:t>Jun 22</w:t>
            </w:r>
          </w:p>
        </w:tc>
        <w:tc>
          <w:tcPr>
            <w:tcW w:w="12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66"/>
        </w:trPr>
        <w:tc>
          <w:tcPr>
            <w:tcW w:w="360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Interest income and expense</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r>
      <w:tr>
        <w:trPr>
          <w:trHeight w:val="175"/>
        </w:trPr>
        <w:tc>
          <w:tcPr>
            <w:tcW w:w="3600" w:type="dxa"/>
            <w:vAlign w:val="bottom"/>
            <w:tcBorders>
              <w:left w:val="single" w:sz="8" w:color="auto"/>
              <w:right w:val="single" w:sz="8" w:color="auto"/>
            </w:tcBorders>
          </w:tcPr>
          <w:p>
            <w:pPr>
              <w:ind w:left="180"/>
              <w:spacing w:after="0" w:line="175" w:lineRule="exact"/>
              <w:rPr>
                <w:sz w:val="20"/>
                <w:szCs w:val="20"/>
                <w:color w:val="auto"/>
              </w:rPr>
            </w:pPr>
            <w:r>
              <w:rPr>
                <w:rFonts w:ascii="Arial" w:cs="Arial" w:eastAsia="Arial" w:hAnsi="Arial"/>
                <w:sz w:val="16"/>
                <w:szCs w:val="16"/>
                <w:color w:val="auto"/>
              </w:rPr>
              <w:t>Interest and dividend income</w:t>
            </w:r>
          </w:p>
        </w:tc>
        <w:tc>
          <w:tcPr>
            <w:tcW w:w="10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1,930,221</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2,120,216</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2,340,804</w:t>
            </w:r>
          </w:p>
        </w:tc>
        <w:tc>
          <w:tcPr>
            <w:tcW w:w="8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10.4%</w:t>
            </w:r>
          </w:p>
        </w:tc>
        <w:tc>
          <w:tcPr>
            <w:tcW w:w="7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21.3%</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3,869,970</w:t>
            </w:r>
          </w:p>
        </w:tc>
        <w:tc>
          <w:tcPr>
            <w:tcW w:w="9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4,461,020</w:t>
            </w:r>
          </w:p>
        </w:tc>
        <w:tc>
          <w:tcPr>
            <w:tcW w:w="12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15.3%</w:t>
            </w:r>
          </w:p>
        </w:tc>
      </w:tr>
      <w:tr>
        <w:trPr>
          <w:trHeight w:val="191"/>
        </w:trPr>
        <w:tc>
          <w:tcPr>
            <w:tcW w:w="3600" w:type="dxa"/>
            <w:vAlign w:val="bottom"/>
            <w:tcBorders>
              <w:left w:val="single" w:sz="8" w:color="auto"/>
              <w:right w:val="single" w:sz="8" w:color="auto"/>
            </w:tcBorders>
          </w:tcPr>
          <w:p>
            <w:pPr>
              <w:ind w:left="180"/>
              <w:spacing w:after="0" w:line="190"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2"/>
                <w:szCs w:val="22"/>
                <w:color w:val="auto"/>
                <w:vertAlign w:val="superscript"/>
              </w:rPr>
              <w:t>(1)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(382,994)</w:t>
            </w:r>
          </w:p>
        </w:tc>
        <w:tc>
          <w:tcPr>
            <w:tcW w:w="960" w:type="dxa"/>
            <w:vAlign w:val="bottom"/>
          </w:tcPr>
          <w:p>
            <w:pPr>
              <w:jc w:val="right"/>
              <w:spacing w:after="0"/>
              <w:rPr>
                <w:sz w:val="20"/>
                <w:szCs w:val="20"/>
                <w:color w:val="auto"/>
              </w:rPr>
            </w:pPr>
            <w:r>
              <w:rPr>
                <w:rFonts w:ascii="Arial" w:cs="Arial" w:eastAsia="Arial" w:hAnsi="Arial"/>
                <w:sz w:val="16"/>
                <w:szCs w:val="16"/>
                <w:color w:val="auto"/>
              </w:rPr>
              <w:t>(414,863)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(481,139)</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40" w:type="dxa"/>
            <w:vAlign w:val="bottom"/>
          </w:tcPr>
          <w:p>
            <w:pPr>
              <w:jc w:val="right"/>
              <w:spacing w:after="0"/>
              <w:rPr>
                <w:sz w:val="20"/>
                <w:szCs w:val="20"/>
                <w:color w:val="auto"/>
              </w:rPr>
            </w:pPr>
            <w:r>
              <w:rPr>
                <w:rFonts w:ascii="Arial" w:cs="Arial" w:eastAsia="Arial" w:hAnsi="Arial"/>
                <w:sz w:val="16"/>
                <w:szCs w:val="16"/>
                <w:color w:val="auto"/>
              </w:rPr>
              <w:t>(875,093)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(896,002)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2.4%</w:t>
            </w:r>
          </w:p>
        </w:tc>
      </w:tr>
      <w:tr>
        <w:trPr>
          <w:trHeight w:val="223"/>
        </w:trPr>
        <w:tc>
          <w:tcPr>
            <w:tcW w:w="3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Net interest income</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1,547,227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1,705,353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1,859,665</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2,994,877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3,565,018</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19.0%</w:t>
            </w:r>
          </w:p>
        </w:tc>
      </w:tr>
      <w:tr>
        <w:trPr>
          <w:trHeight w:val="313"/>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Provision for credit losses on loan portfolio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(337,668)</w:t>
            </w:r>
          </w:p>
        </w:tc>
        <w:tc>
          <w:tcPr>
            <w:tcW w:w="960" w:type="dxa"/>
            <w:vAlign w:val="bottom"/>
          </w:tcPr>
          <w:p>
            <w:pPr>
              <w:jc w:val="right"/>
              <w:spacing w:after="0"/>
              <w:rPr>
                <w:sz w:val="20"/>
                <w:szCs w:val="20"/>
                <w:color w:val="auto"/>
              </w:rPr>
            </w:pPr>
            <w:r>
              <w:rPr>
                <w:rFonts w:ascii="Arial" w:cs="Arial" w:eastAsia="Arial" w:hAnsi="Arial"/>
                <w:sz w:val="16"/>
                <w:szCs w:val="16"/>
                <w:color w:val="auto"/>
              </w:rPr>
              <w:t>(202,768)</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(268,439)</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40" w:type="dxa"/>
            <w:vAlign w:val="bottom"/>
          </w:tcPr>
          <w:p>
            <w:pPr>
              <w:jc w:val="right"/>
              <w:spacing w:after="0"/>
              <w:rPr>
                <w:sz w:val="20"/>
                <w:szCs w:val="20"/>
                <w:color w:val="auto"/>
              </w:rPr>
            </w:pPr>
            <w:r>
              <w:rPr>
                <w:rFonts w:ascii="Arial" w:cs="Arial" w:eastAsia="Arial" w:hAnsi="Arial"/>
                <w:sz w:val="16"/>
                <w:szCs w:val="16"/>
                <w:color w:val="auto"/>
              </w:rPr>
              <w:t>(773,046)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(471,207)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-39.0%</w:t>
            </w:r>
          </w:p>
        </w:tc>
      </w:tr>
      <w:tr>
        <w:trPr>
          <w:trHeight w:val="183"/>
        </w:trPr>
        <w:tc>
          <w:tcPr>
            <w:tcW w:w="360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Recoveries of written-off loans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55,807</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56,125</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51,155</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-8.9%</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-8.3%</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105,832</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107,280</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w:t>
            </w:r>
          </w:p>
        </w:tc>
      </w:tr>
      <w:tr>
        <w:trPr>
          <w:trHeight w:val="183"/>
        </w:trPr>
        <w:tc>
          <w:tcPr>
            <w:tcW w:w="360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Provision for credit losses on loan portfolio,</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r>
      <w:tr>
        <w:trPr>
          <w:trHeight w:val="223"/>
        </w:trPr>
        <w:tc>
          <w:tcPr>
            <w:tcW w:w="3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net of recoveries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(281,861)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(146,643)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(217,284)</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48.2%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(667,214)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(363,927)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-45.5%</w:t>
            </w:r>
          </w:p>
        </w:tc>
      </w:tr>
      <w:tr>
        <w:trPr>
          <w:trHeight w:val="353"/>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Risk-adjusted net interest income</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1,265,366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1,558,710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1,642,381</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29.8%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2,327,663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3,201,091</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37.5%</w:t>
            </w:r>
          </w:p>
        </w:tc>
      </w:tr>
      <w:tr>
        <w:trPr>
          <w:trHeight w:val="313"/>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Fee income</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637,821</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706,861</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727,644</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2.9%</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14.1%</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1,252,244</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1,434,505</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14.6%</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on foreign exchange transactions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238,775</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238,738</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240,387</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0.7%</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0.7%</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411,264</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479,125</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16.5%</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(losses) on securities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(130,488)</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90,463</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112,761</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24.6%</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-186.4%</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(88,525)</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203,224</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-329.6%</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from associates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52,809</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5,701</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7,421</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n.a.</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66,919</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13,122</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(losses) on derivatives held for trading</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31,076</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(9,976)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(16,568)</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66.1%</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-153.3%</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42,904</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(26,544)</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-161.9%</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Net gain (losses) from exchange differences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55,219</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(10,017)</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7,249</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n.a.</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52,167</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(2,768)</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-105.3%</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Others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41,144</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110,750</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45,276</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-59.1%</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91,075</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156,026</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71.3%</w:t>
            </w:r>
          </w:p>
        </w:tc>
      </w:tr>
      <w:tr>
        <w:trPr>
          <w:trHeight w:val="223"/>
        </w:trPr>
        <w:tc>
          <w:tcPr>
            <w:tcW w:w="3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other income</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926,356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1,132,520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1,124,170</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-0.7%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1,828,048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2,256,690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23.4%</w:t>
            </w:r>
          </w:p>
        </w:tc>
      </w:tr>
      <w:tr>
        <w:trPr>
          <w:trHeight w:val="313"/>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Salaries and employee benefits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(444,586)</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(501,213)</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(487,698)</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-2.7%</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9.7%</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(862,983)</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(988,911)</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14.6%</w:t>
            </w:r>
          </w:p>
        </w:tc>
      </w:tr>
      <w:tr>
        <w:trPr>
          <w:trHeight w:val="175"/>
        </w:trPr>
        <w:tc>
          <w:tcPr>
            <w:tcW w:w="3600" w:type="dxa"/>
            <w:vAlign w:val="bottom"/>
            <w:tcBorders>
              <w:left w:val="single" w:sz="8" w:color="auto"/>
              <w:right w:val="single" w:sz="8" w:color="auto"/>
            </w:tcBorders>
          </w:tcPr>
          <w:p>
            <w:pPr>
              <w:ind w:left="180"/>
              <w:spacing w:after="0" w:line="175" w:lineRule="exact"/>
              <w:rPr>
                <w:sz w:val="20"/>
                <w:szCs w:val="20"/>
                <w:color w:val="auto"/>
              </w:rPr>
            </w:pPr>
            <w:r>
              <w:rPr>
                <w:rFonts w:ascii="Arial" w:cs="Arial" w:eastAsia="Arial" w:hAnsi="Arial"/>
                <w:sz w:val="16"/>
                <w:szCs w:val="16"/>
                <w:color w:val="auto"/>
              </w:rPr>
              <w:t>Administrative expenses</w:t>
            </w:r>
          </w:p>
        </w:tc>
        <w:tc>
          <w:tcPr>
            <w:tcW w:w="10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(461,867)</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(463,927)</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(575,071)</w:t>
            </w:r>
          </w:p>
        </w:tc>
        <w:tc>
          <w:tcPr>
            <w:tcW w:w="8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24.0%</w:t>
            </w:r>
          </w:p>
        </w:tc>
        <w:tc>
          <w:tcPr>
            <w:tcW w:w="7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24.5%</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(841,499)</w:t>
            </w:r>
          </w:p>
        </w:tc>
        <w:tc>
          <w:tcPr>
            <w:tcW w:w="9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(1,038,998)</w:t>
            </w:r>
          </w:p>
        </w:tc>
        <w:tc>
          <w:tcPr>
            <w:tcW w:w="12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23.5%</w:t>
            </w:r>
          </w:p>
        </w:tc>
      </w:tr>
      <w:tr>
        <w:trPr>
          <w:trHeight w:val="191"/>
        </w:trPr>
        <w:tc>
          <w:tcPr>
            <w:tcW w:w="3600" w:type="dxa"/>
            <w:vAlign w:val="bottom"/>
            <w:tcBorders>
              <w:left w:val="single" w:sz="8" w:color="auto"/>
              <w:right w:val="single" w:sz="8" w:color="auto"/>
            </w:tcBorders>
          </w:tcPr>
          <w:p>
            <w:pPr>
              <w:ind w:left="180"/>
              <w:spacing w:after="0" w:line="190"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2"/>
                <w:szCs w:val="22"/>
                <w:color w:val="auto"/>
                <w:vertAlign w:val="superscript"/>
              </w:rPr>
              <w:t>(2)</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(104,592)</w:t>
            </w:r>
          </w:p>
        </w:tc>
        <w:tc>
          <w:tcPr>
            <w:tcW w:w="960" w:type="dxa"/>
            <w:vAlign w:val="bottom"/>
          </w:tcPr>
          <w:p>
            <w:pPr>
              <w:jc w:val="right"/>
              <w:spacing w:after="0"/>
              <w:rPr>
                <w:sz w:val="20"/>
                <w:szCs w:val="20"/>
                <w:color w:val="auto"/>
              </w:rPr>
            </w:pPr>
            <w:r>
              <w:rPr>
                <w:rFonts w:ascii="Arial" w:cs="Arial" w:eastAsia="Arial" w:hAnsi="Arial"/>
                <w:sz w:val="16"/>
                <w:szCs w:val="16"/>
                <w:color w:val="auto"/>
              </w:rPr>
              <w:t>(105,859)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(109,824)</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40" w:type="dxa"/>
            <w:vAlign w:val="bottom"/>
          </w:tcPr>
          <w:p>
            <w:pPr>
              <w:jc w:val="right"/>
              <w:spacing w:after="0"/>
              <w:rPr>
                <w:sz w:val="20"/>
                <w:szCs w:val="20"/>
                <w:color w:val="auto"/>
              </w:rPr>
            </w:pPr>
            <w:r>
              <w:rPr>
                <w:rFonts w:ascii="Arial" w:cs="Arial" w:eastAsia="Arial" w:hAnsi="Arial"/>
                <w:sz w:val="16"/>
                <w:szCs w:val="16"/>
                <w:color w:val="auto"/>
              </w:rPr>
              <w:t>(208,456)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(215,683)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3.5%</w:t>
            </w:r>
          </w:p>
        </w:tc>
      </w:tr>
      <w:tr>
        <w:trPr>
          <w:trHeight w:val="183"/>
        </w:trPr>
        <w:tc>
          <w:tcPr>
            <w:tcW w:w="360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6"/>
                <w:szCs w:val="16"/>
                <w:color w:val="auto"/>
              </w:rPr>
              <w:t>Other expenses</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(50,765)</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(43,686)</w:t>
            </w:r>
          </w:p>
        </w:tc>
        <w:tc>
          <w:tcPr>
            <w:tcW w:w="9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(46,381)</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w:t>
            </w:r>
          </w:p>
        </w:tc>
        <w:tc>
          <w:tcPr>
            <w:tcW w:w="72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-8.6%</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(92,958)</w:t>
            </w:r>
          </w:p>
        </w:tc>
        <w:tc>
          <w:tcPr>
            <w:tcW w:w="9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(90,067)</w:t>
            </w:r>
          </w:p>
        </w:tc>
        <w:tc>
          <w:tcPr>
            <w:tcW w:w="12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w:t>
            </w:r>
          </w:p>
        </w:tc>
      </w:tr>
      <w:tr>
        <w:trPr>
          <w:trHeight w:val="223"/>
        </w:trPr>
        <w:tc>
          <w:tcPr>
            <w:tcW w:w="3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Total expenses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(1,061,810)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(1,114,685)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(1,218,974)</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(2,005,896)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(2,333,659)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16.3%</w:t>
            </w:r>
          </w:p>
        </w:tc>
      </w:tr>
      <w:tr>
        <w:trPr>
          <w:trHeight w:val="353"/>
        </w:trPr>
        <w:tc>
          <w:tcPr>
            <w:tcW w:w="3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1,129,912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1,576,545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1,547,577</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37.0%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2,149,815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3,124,122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45.3%</w:t>
            </w:r>
          </w:p>
        </w:tc>
      </w:tr>
      <w:tr>
        <w:trPr>
          <w:trHeight w:val="345"/>
        </w:trPr>
        <w:tc>
          <w:tcPr>
            <w:tcW w:w="3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Income tax</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(332,151)</w:t>
            </w:r>
          </w:p>
        </w:tc>
        <w:tc>
          <w:tcPr>
            <w:tcW w:w="960" w:type="dxa"/>
            <w:vAlign w:val="bottom"/>
          </w:tcPr>
          <w:p>
            <w:pPr>
              <w:jc w:val="right"/>
              <w:spacing w:after="0"/>
              <w:rPr>
                <w:sz w:val="20"/>
                <w:szCs w:val="20"/>
                <w:color w:val="auto"/>
              </w:rPr>
            </w:pPr>
            <w:r>
              <w:rPr>
                <w:rFonts w:ascii="Arial" w:cs="Arial" w:eastAsia="Arial" w:hAnsi="Arial"/>
                <w:sz w:val="16"/>
                <w:szCs w:val="16"/>
                <w:color w:val="auto"/>
              </w:rPr>
              <w:t>(420,120)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(391,499)</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40" w:type="dxa"/>
            <w:vAlign w:val="bottom"/>
          </w:tcPr>
          <w:p>
            <w:pPr>
              <w:jc w:val="right"/>
              <w:spacing w:after="0"/>
              <w:rPr>
                <w:sz w:val="20"/>
                <w:szCs w:val="20"/>
                <w:color w:val="auto"/>
              </w:rPr>
            </w:pPr>
            <w:r>
              <w:rPr>
                <w:rFonts w:ascii="Arial" w:cs="Arial" w:eastAsia="Arial" w:hAnsi="Arial"/>
                <w:sz w:val="16"/>
                <w:szCs w:val="16"/>
                <w:color w:val="auto"/>
              </w:rPr>
              <w:t>(596,536)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(811,619)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36.1%</w:t>
            </w:r>
          </w:p>
        </w:tc>
      </w:tr>
      <w:tr>
        <w:trPr>
          <w:trHeight w:val="342"/>
        </w:trPr>
        <w:tc>
          <w:tcPr>
            <w:tcW w:w="3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BCP Stand-alone</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797,761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1,156,425</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1,156,078</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44.9%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1,553,279</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2,312,503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48.9%</w:t>
            </w:r>
          </w:p>
        </w:tc>
      </w:tr>
    </w:tbl>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88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BANCO DE CREDITO DEL PERU</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60" w:type="dxa"/>
            <w:vAlign w:val="bottom"/>
            <w:gridSpan w:val="5"/>
          </w:tcPr>
          <w:p>
            <w:pPr>
              <w:jc w:val="center"/>
              <w:ind w:left="4046"/>
              <w:spacing w:after="0"/>
              <w:rPr>
                <w:sz w:val="20"/>
                <w:szCs w:val="20"/>
                <w:color w:val="auto"/>
              </w:rPr>
            </w:pPr>
            <w:r>
              <w:rPr>
                <w:rFonts w:ascii="Times New Roman" w:cs="Times New Roman" w:eastAsia="Times New Roman" w:hAnsi="Times New Roman"/>
                <w:sz w:val="16"/>
                <w:szCs w:val="16"/>
                <w:b w:val="1"/>
                <w:bCs w:val="1"/>
                <w:color w:val="auto"/>
              </w:rPr>
              <w:t>SELECTED FINANCIAL INDICATORS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280" w:type="dxa"/>
            <w:vAlign w:val="bottom"/>
            <w:tcBorders>
              <w:right w:val="single" w:sz="8" w:color="auto"/>
            </w:tcBorders>
          </w:tcPr>
          <w:p>
            <w:pPr>
              <w:spacing w:after="0"/>
              <w:rPr>
                <w:sz w:val="14"/>
                <w:szCs w:val="14"/>
                <w:color w:val="auto"/>
              </w:rPr>
            </w:pPr>
          </w:p>
        </w:tc>
        <w:tc>
          <w:tcPr>
            <w:tcW w:w="700" w:type="dxa"/>
            <w:vAlign w:val="bottom"/>
            <w:shd w:val="clear" w:color="auto" w:fill="2AD2C9"/>
          </w:tcPr>
          <w:p>
            <w:pPr>
              <w:spacing w:after="0"/>
              <w:rPr>
                <w:sz w:val="14"/>
                <w:szCs w:val="14"/>
                <w:color w:val="auto"/>
              </w:rPr>
            </w:pPr>
          </w:p>
        </w:tc>
        <w:tc>
          <w:tcPr>
            <w:tcW w:w="740" w:type="dxa"/>
            <w:vAlign w:val="bottom"/>
            <w:shd w:val="clear" w:color="auto" w:fill="2AD2C9"/>
          </w:tcPr>
          <w:p>
            <w:pPr>
              <w:ind w:left="80"/>
              <w:spacing w:after="0" w:line="166" w:lineRule="exact"/>
              <w:rPr>
                <w:sz w:val="20"/>
                <w:szCs w:val="20"/>
                <w:color w:val="auto"/>
              </w:rPr>
            </w:pPr>
            <w:r>
              <w:rPr>
                <w:rFonts w:ascii="Arial" w:cs="Arial" w:eastAsia="Arial" w:hAnsi="Arial"/>
                <w:sz w:val="16"/>
                <w:szCs w:val="16"/>
                <w:b w:val="1"/>
                <w:bCs w:val="1"/>
                <w:color w:val="FFFFFF"/>
              </w:rPr>
              <w:t>Quarter</w:t>
            </w:r>
          </w:p>
        </w:tc>
        <w:tc>
          <w:tcPr>
            <w:tcW w:w="720" w:type="dxa"/>
            <w:vAlign w:val="bottom"/>
            <w:tcBorders>
              <w:right w:val="single" w:sz="8" w:color="auto"/>
            </w:tcBorders>
            <w:shd w:val="clear" w:color="auto" w:fill="2AD2C9"/>
          </w:tcPr>
          <w:p>
            <w:pPr>
              <w:spacing w:after="0"/>
              <w:rPr>
                <w:sz w:val="14"/>
                <w:szCs w:val="14"/>
                <w:color w:val="auto"/>
              </w:rPr>
            </w:pPr>
          </w:p>
        </w:tc>
        <w:tc>
          <w:tcPr>
            <w:tcW w:w="1440" w:type="dxa"/>
            <w:vAlign w:val="bottom"/>
            <w:tcBorders>
              <w:right w:val="single" w:sz="8" w:color="auto"/>
            </w:tcBorders>
            <w:gridSpan w:val="2"/>
            <w:shd w:val="clear" w:color="auto" w:fill="2AD2C9"/>
          </w:tcPr>
          <w:p>
            <w:pPr>
              <w:ind w:left="480"/>
              <w:spacing w:after="0" w:line="166" w:lineRule="exact"/>
              <w:rPr>
                <w:sz w:val="20"/>
                <w:szCs w:val="20"/>
                <w:color w:val="auto"/>
              </w:rPr>
            </w:pPr>
            <w:r>
              <w:rPr>
                <w:rFonts w:ascii="Arial" w:cs="Arial" w:eastAsia="Arial" w:hAnsi="Arial"/>
                <w:sz w:val="16"/>
                <w:szCs w:val="16"/>
                <w:b w:val="1"/>
                <w:bCs w:val="1"/>
                <w:color w:val="FFFFFF"/>
              </w:rPr>
              <w:t>As od</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2Q21</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1Q22</w:t>
            </w:r>
          </w:p>
        </w:tc>
        <w:tc>
          <w:tcPr>
            <w:tcW w:w="7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2Q22</w:t>
            </w:r>
          </w:p>
        </w:tc>
        <w:tc>
          <w:tcPr>
            <w:tcW w:w="72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6"/>
                <w:szCs w:val="16"/>
                <w:b w:val="1"/>
                <w:bCs w:val="1"/>
                <w:color w:val="FFFFFF"/>
              </w:rPr>
              <w:t>Jun 21</w:t>
            </w:r>
          </w:p>
        </w:tc>
        <w:tc>
          <w:tcPr>
            <w:tcW w:w="720" w:type="dxa"/>
            <w:vAlign w:val="bottom"/>
            <w:tcBorders>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6"/>
                <w:szCs w:val="16"/>
                <w:b w:val="1"/>
                <w:bCs w:val="1"/>
                <w:color w:val="FFFFFF"/>
              </w:rPr>
              <w:t>Jun 22</w:t>
            </w:r>
          </w:p>
        </w:tc>
        <w:tc>
          <w:tcPr>
            <w:tcW w:w="0" w:type="dxa"/>
            <w:vAlign w:val="bottom"/>
          </w:tcPr>
          <w:p>
            <w:pPr>
              <w:spacing w:after="0"/>
              <w:rPr>
                <w:sz w:val="1"/>
                <w:szCs w:val="1"/>
                <w:color w:val="auto"/>
              </w:rPr>
            </w:pPr>
          </w:p>
        </w:tc>
      </w:tr>
      <w:tr>
        <w:trPr>
          <w:trHeight w:val="158"/>
        </w:trPr>
        <w:tc>
          <w:tcPr>
            <w:tcW w:w="4280" w:type="dxa"/>
            <w:vAlign w:val="bottom"/>
            <w:tcBorders>
              <w:left w:val="single" w:sz="8" w:color="auto"/>
              <w:right w:val="single" w:sz="8" w:color="auto"/>
            </w:tcBorders>
          </w:tcPr>
          <w:p>
            <w:pPr>
              <w:ind w:left="20"/>
              <w:spacing w:after="0" w:line="158" w:lineRule="exact"/>
              <w:rPr>
                <w:sz w:val="20"/>
                <w:szCs w:val="20"/>
                <w:color w:val="auto"/>
              </w:rPr>
            </w:pPr>
            <w:r>
              <w:rPr>
                <w:rFonts w:ascii="Arial" w:cs="Arial" w:eastAsia="Arial" w:hAnsi="Arial"/>
                <w:sz w:val="16"/>
                <w:szCs w:val="16"/>
                <w:b w:val="1"/>
                <w:bCs w:val="1"/>
                <w:color w:val="auto"/>
              </w:rPr>
              <w:t>Profitability</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bscript"/>
              </w:rPr>
              <w:t>ROAA</w:t>
            </w:r>
            <w:r>
              <w:rPr>
                <w:rFonts w:ascii="Arial" w:cs="Arial" w:eastAsia="Arial" w:hAnsi="Arial"/>
                <w:sz w:val="11"/>
                <w:szCs w:val="11"/>
                <w:color w:val="auto"/>
              </w:rPr>
              <w:t xml:space="preserve"> (2)(3)</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1.7%</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2.5%</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2.5%</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1.7%</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1"/>
                <w:szCs w:val="11"/>
                <w:color w:val="auto"/>
              </w:rPr>
              <w:t xml:space="preserve"> (2)(3)</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17.2%</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22.7%</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22.5%</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16.7%</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(2)(3)</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3.43%</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3.85%</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3.38%</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4.11%</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Risk adjusted NIM </w:t>
            </w:r>
            <w:r>
              <w:rPr>
                <w:rFonts w:ascii="Arial" w:cs="Arial" w:eastAsia="Arial" w:hAnsi="Arial"/>
                <w:sz w:val="21"/>
                <w:szCs w:val="21"/>
                <w:color w:val="auto"/>
                <w:vertAlign w:val="superscript"/>
              </w:rPr>
              <w:t>(2)(3)</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2.81%</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3.52%</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3.79%</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2.63%</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1"/>
        </w:trPr>
        <w:tc>
          <w:tcPr>
            <w:tcW w:w="428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4"/>
                <w:szCs w:val="14"/>
                <w:color w:val="auto"/>
              </w:rPr>
              <w:t xml:space="preserve">Funding Cost </w:t>
            </w:r>
            <w:r>
              <w:rPr>
                <w:rFonts w:ascii="Arial" w:cs="Arial" w:eastAsia="Arial" w:hAnsi="Arial"/>
                <w:sz w:val="22"/>
                <w:szCs w:val="22"/>
                <w:color w:val="auto"/>
                <w:vertAlign w:val="superscript"/>
              </w:rPr>
              <w:t>(2)(3)(4)</w:t>
            </w:r>
          </w:p>
        </w:tc>
        <w:tc>
          <w:tcPr>
            <w:tcW w:w="700" w:type="dxa"/>
            <w:vAlign w:val="bottom"/>
          </w:tcPr>
          <w:p>
            <w:pPr>
              <w:jc w:val="center"/>
              <w:spacing w:after="0"/>
              <w:rPr>
                <w:sz w:val="20"/>
                <w:szCs w:val="20"/>
                <w:color w:val="auto"/>
              </w:rPr>
            </w:pPr>
            <w:r>
              <w:rPr>
                <w:rFonts w:ascii="Arial" w:cs="Arial" w:eastAsia="Arial" w:hAnsi="Arial"/>
                <w:sz w:val="16"/>
                <w:szCs w:val="16"/>
                <w:color w:val="auto"/>
              </w:rPr>
              <w:t>0.93%</w:t>
            </w:r>
          </w:p>
        </w:tc>
        <w:tc>
          <w:tcPr>
            <w:tcW w:w="740" w:type="dxa"/>
            <w:vAlign w:val="bottom"/>
          </w:tcPr>
          <w:p>
            <w:pPr>
              <w:jc w:val="center"/>
              <w:spacing w:after="0"/>
              <w:rPr>
                <w:sz w:val="20"/>
                <w:szCs w:val="20"/>
                <w:color w:val="auto"/>
              </w:rPr>
            </w:pPr>
            <w:r>
              <w:rPr>
                <w:rFonts w:ascii="Arial" w:cs="Arial" w:eastAsia="Arial" w:hAnsi="Arial"/>
                <w:sz w:val="16"/>
                <w:szCs w:val="16"/>
                <w:color w:val="auto"/>
              </w:rPr>
              <w:t>1.04%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1.24%</w:t>
            </w:r>
          </w:p>
        </w:tc>
        <w:tc>
          <w:tcPr>
            <w:tcW w:w="720" w:type="dxa"/>
            <w:vAlign w:val="bottom"/>
          </w:tcPr>
          <w:p>
            <w:pPr>
              <w:jc w:val="center"/>
              <w:spacing w:after="0"/>
              <w:rPr>
                <w:sz w:val="20"/>
                <w:szCs w:val="20"/>
                <w:color w:val="auto"/>
              </w:rPr>
            </w:pPr>
            <w:r>
              <w:rPr>
                <w:rFonts w:ascii="Arial" w:cs="Arial" w:eastAsia="Arial" w:hAnsi="Arial"/>
                <w:sz w:val="16"/>
                <w:szCs w:val="16"/>
                <w:color w:val="auto"/>
              </w:rPr>
              <w:t>1.08%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4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Quality of loan portfolio</w:t>
            </w: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280" w:type="dxa"/>
            <w:vAlign w:val="bottom"/>
            <w:tcBorders>
              <w:left w:val="single" w:sz="8" w:color="auto"/>
              <w:right w:val="single" w:sz="8" w:color="auto"/>
            </w:tcBorders>
            <w:vMerge w:val="continue"/>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IOL ratio</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3.07%</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3.89%</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3.89%</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3.07%</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NPL ratio</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4.50%</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5.22%</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5.13%</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4.50%</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Coverage of IOLs</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w w:val="99"/>
              </w:rPr>
              <w:t>195.1%</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99"/>
              </w:rPr>
              <w:t>141.1%</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136.1%</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w w:val="99"/>
              </w:rPr>
              <w:t>195.1%</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75"/>
        </w:trPr>
        <w:tc>
          <w:tcPr>
            <w:tcW w:w="428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Coverage of NPLs</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w w:val="99"/>
              </w:rPr>
              <w:t>133.1%</w:t>
            </w:r>
          </w:p>
        </w:tc>
        <w:tc>
          <w:tcPr>
            <w:tcW w:w="740" w:type="dxa"/>
            <w:vAlign w:val="bottom"/>
          </w:tcPr>
          <w:p>
            <w:pPr>
              <w:jc w:val="center"/>
              <w:spacing w:after="0" w:line="175" w:lineRule="exact"/>
              <w:rPr>
                <w:sz w:val="20"/>
                <w:szCs w:val="20"/>
                <w:color w:val="auto"/>
              </w:rPr>
            </w:pPr>
            <w:r>
              <w:rPr>
                <w:rFonts w:ascii="Arial" w:cs="Arial" w:eastAsia="Arial" w:hAnsi="Arial"/>
                <w:sz w:val="16"/>
                <w:szCs w:val="16"/>
                <w:color w:val="auto"/>
                <w:w w:val="99"/>
              </w:rPr>
              <w:t>105.2%</w:t>
            </w:r>
          </w:p>
        </w:tc>
        <w:tc>
          <w:tcPr>
            <w:tcW w:w="7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103.0%</w:t>
            </w: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w w:val="99"/>
              </w:rPr>
              <w:t>133.1%</w:t>
            </w:r>
          </w:p>
        </w:tc>
        <w:tc>
          <w:tcPr>
            <w:tcW w:w="7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360"/>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Cost of risk </w:t>
            </w:r>
            <w:r>
              <w:rPr>
                <w:rFonts w:ascii="Arial" w:cs="Arial" w:eastAsia="Arial" w:hAnsi="Arial"/>
                <w:sz w:val="27"/>
                <w:szCs w:val="27"/>
                <w:color w:val="auto"/>
                <w:vertAlign w:val="superscript"/>
              </w:rPr>
              <w:t>(5)</w:t>
            </w:r>
          </w:p>
        </w:tc>
        <w:tc>
          <w:tcPr>
            <w:tcW w:w="700" w:type="dxa"/>
            <w:vAlign w:val="bottom"/>
          </w:tcPr>
          <w:p>
            <w:pPr>
              <w:jc w:val="center"/>
              <w:spacing w:after="0"/>
              <w:rPr>
                <w:sz w:val="20"/>
                <w:szCs w:val="20"/>
                <w:color w:val="auto"/>
              </w:rPr>
            </w:pPr>
            <w:r>
              <w:rPr>
                <w:rFonts w:ascii="Arial" w:cs="Arial" w:eastAsia="Arial" w:hAnsi="Arial"/>
                <w:sz w:val="16"/>
                <w:szCs w:val="16"/>
                <w:color w:val="auto"/>
              </w:rPr>
              <w:t>0.95%</w:t>
            </w:r>
          </w:p>
        </w:tc>
        <w:tc>
          <w:tcPr>
            <w:tcW w:w="740" w:type="dxa"/>
            <w:vAlign w:val="bottom"/>
          </w:tcPr>
          <w:p>
            <w:pPr>
              <w:jc w:val="center"/>
              <w:spacing w:after="0"/>
              <w:rPr>
                <w:sz w:val="20"/>
                <w:szCs w:val="20"/>
                <w:color w:val="auto"/>
              </w:rPr>
            </w:pPr>
            <w:r>
              <w:rPr>
                <w:rFonts w:ascii="Arial" w:cs="Arial" w:eastAsia="Arial" w:hAnsi="Arial"/>
                <w:sz w:val="16"/>
                <w:szCs w:val="16"/>
                <w:color w:val="auto"/>
              </w:rPr>
              <w:t>0.49%</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0.69%</w:t>
            </w:r>
          </w:p>
        </w:tc>
        <w:tc>
          <w:tcPr>
            <w:tcW w:w="720" w:type="dxa"/>
            <w:vAlign w:val="bottom"/>
          </w:tcPr>
          <w:p>
            <w:pPr>
              <w:jc w:val="center"/>
              <w:spacing w:after="0"/>
              <w:rPr>
                <w:sz w:val="20"/>
                <w:szCs w:val="20"/>
                <w:color w:val="auto"/>
              </w:rPr>
            </w:pPr>
            <w:r>
              <w:rPr>
                <w:rFonts w:ascii="Arial" w:cs="Arial" w:eastAsia="Arial" w:hAnsi="Arial"/>
                <w:sz w:val="16"/>
                <w:szCs w:val="16"/>
                <w:color w:val="auto"/>
              </w:rPr>
              <w:t>1.12%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176"/>
        </w:trPr>
        <w:tc>
          <w:tcPr>
            <w:tcW w:w="428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Operating efficiency</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3"/>
                <w:szCs w:val="13"/>
                <w:color w:val="auto"/>
              </w:rPr>
              <w:t xml:space="preserve">Oper. expenses as a percent. of total income - reported </w:t>
            </w:r>
            <w:r>
              <w:rPr>
                <w:rFonts w:ascii="Arial" w:cs="Arial" w:eastAsia="Arial" w:hAnsi="Arial"/>
                <w:sz w:val="21"/>
                <w:szCs w:val="21"/>
                <w:color w:val="auto"/>
                <w:vertAlign w:val="superscript"/>
              </w:rPr>
              <w:t>(6)</w:t>
            </w:r>
          </w:p>
        </w:tc>
        <w:tc>
          <w:tcPr>
            <w:tcW w:w="700" w:type="dxa"/>
            <w:vAlign w:val="bottom"/>
          </w:tcPr>
          <w:p>
            <w:pPr>
              <w:jc w:val="center"/>
              <w:spacing w:after="0" w:line="183" w:lineRule="exact"/>
              <w:rPr>
                <w:sz w:val="20"/>
                <w:szCs w:val="20"/>
                <w:color w:val="auto"/>
              </w:rPr>
            </w:pPr>
            <w:r>
              <w:rPr>
                <w:rFonts w:ascii="Arial" w:cs="Arial" w:eastAsia="Arial" w:hAnsi="Arial"/>
                <w:sz w:val="16"/>
                <w:szCs w:val="16"/>
                <w:color w:val="auto"/>
              </w:rPr>
              <w:t>40.3%</w:t>
            </w: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rPr>
              <w:t>40.6%</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41.5%</w:t>
            </w:r>
          </w:p>
        </w:tc>
        <w:tc>
          <w:tcPr>
            <w:tcW w:w="720" w:type="dxa"/>
            <w:vAlign w:val="bottom"/>
          </w:tcPr>
          <w:p>
            <w:pPr>
              <w:jc w:val="center"/>
              <w:spacing w:after="0" w:line="183" w:lineRule="exact"/>
              <w:rPr>
                <w:sz w:val="20"/>
                <w:szCs w:val="20"/>
                <w:color w:val="auto"/>
              </w:rPr>
            </w:pPr>
            <w:r>
              <w:rPr>
                <w:rFonts w:ascii="Arial" w:cs="Arial" w:eastAsia="Arial" w:hAnsi="Arial"/>
                <w:sz w:val="16"/>
                <w:szCs w:val="16"/>
                <w:color w:val="auto"/>
              </w:rPr>
              <w:t>40.2%</w:t>
            </w:r>
          </w:p>
        </w:tc>
        <w:tc>
          <w:tcPr>
            <w:tcW w:w="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4.1%</w:t>
            </w:r>
          </w:p>
        </w:tc>
        <w:tc>
          <w:tcPr>
            <w:tcW w:w="0" w:type="dxa"/>
            <w:vAlign w:val="bottom"/>
          </w:tcPr>
          <w:p>
            <w:pPr>
              <w:spacing w:after="0"/>
              <w:rPr>
                <w:sz w:val="1"/>
                <w:szCs w:val="1"/>
                <w:color w:val="auto"/>
              </w:rPr>
            </w:pPr>
          </w:p>
        </w:tc>
      </w:tr>
      <w:tr>
        <w:trPr>
          <w:trHeight w:val="212"/>
        </w:trPr>
        <w:tc>
          <w:tcPr>
            <w:tcW w:w="4280" w:type="dxa"/>
            <w:vAlign w:val="bottom"/>
            <w:tcBorders>
              <w:left w:val="single" w:sz="8" w:color="auto"/>
              <w:bottom w:val="single" w:sz="8" w:color="auto"/>
              <w:right w:val="single" w:sz="8" w:color="auto"/>
            </w:tcBorders>
          </w:tcPr>
          <w:p>
            <w:pPr>
              <w:ind w:left="20"/>
              <w:spacing w:after="0" w:line="207" w:lineRule="exact"/>
              <w:rPr>
                <w:sz w:val="20"/>
                <w:szCs w:val="20"/>
                <w:color w:val="auto"/>
              </w:rPr>
            </w:pPr>
            <w:r>
              <w:rPr>
                <w:rFonts w:ascii="Arial" w:cs="Arial" w:eastAsia="Arial" w:hAnsi="Arial"/>
                <w:sz w:val="15"/>
                <w:szCs w:val="15"/>
                <w:color w:val="auto"/>
              </w:rPr>
              <w:t xml:space="preserve">Oper. expenses as a percent. of av. tot. assets </w:t>
            </w:r>
            <w:r>
              <w:rPr>
                <w:rFonts w:ascii="Arial" w:cs="Arial" w:eastAsia="Arial" w:hAnsi="Arial"/>
                <w:sz w:val="24"/>
                <w:szCs w:val="24"/>
                <w:color w:val="auto"/>
                <w:vertAlign w:val="superscript"/>
              </w:rPr>
              <w:t>(2)(3)(6)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2.15%</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2.32%</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2.58%</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60" w:hanging="143"/>
        <w:spacing w:after="0"/>
        <w:tabs>
          <w:tab w:leader="none" w:pos="1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outstanding of 12,176 million is used for all periods since shares have been issued only for capitalization of profits.</w:t>
      </w:r>
    </w:p>
    <w:p>
      <w:pPr>
        <w:spacing w:after="0" w:line="7" w:lineRule="exact"/>
        <w:rPr>
          <w:rFonts w:ascii="Times New Roman" w:cs="Times New Roman" w:eastAsia="Times New Roman" w:hAnsi="Times New Roman"/>
          <w:sz w:val="11"/>
          <w:szCs w:val="11"/>
          <w:color w:val="auto"/>
        </w:rPr>
      </w:pPr>
    </w:p>
    <w:p>
      <w:pPr>
        <w:ind w:left="160" w:hanging="143"/>
        <w:spacing w:after="0" w:line="231" w:lineRule="auto"/>
        <w:tabs>
          <w:tab w:leader="none" w:pos="1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Ratios are annualized.</w:t>
      </w:r>
    </w:p>
    <w:p>
      <w:pPr>
        <w:ind w:left="160" w:hanging="143"/>
        <w:spacing w:after="0" w:line="231" w:lineRule="auto"/>
        <w:tabs>
          <w:tab w:leader="none" w:pos="1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Averages are determined as the average of period-beginning and period-ending balances.</w:t>
      </w:r>
    </w:p>
    <w:p>
      <w:pPr>
        <w:ind w:left="20" w:right="20" w:hanging="3"/>
        <w:spacing w:after="0" w:line="231" w:lineRule="auto"/>
        <w:tabs>
          <w:tab w:leader="none" w:pos="169"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60" w:hanging="143"/>
        <w:spacing w:after="0" w:line="231" w:lineRule="auto"/>
        <w:tabs>
          <w:tab w:leader="none" w:pos="1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Cost of risk: Annualized provision for loan losses / Total loans.</w:t>
      </w:r>
    </w:p>
    <w:p>
      <w:pPr>
        <w:ind w:left="20" w:right="200" w:hanging="3"/>
        <w:spacing w:after="0" w:line="235" w:lineRule="auto"/>
        <w:tabs>
          <w:tab w:leader="none" w:pos="169"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ectPr>
          <w:pgSz w:w="11900" w:h="16838" w:orient="portrait"/>
          <w:cols w:equalWidth="0" w:num="1">
            <w:col w:w="11280"/>
          </w:cols>
          <w:pgMar w:left="300" w:top="313" w:right="319" w:bottom="1440" w:gutter="0" w:footer="0" w:header="0"/>
        </w:sectPr>
      </w:pPr>
    </w:p>
    <w:p>
      <w:pPr>
        <w:spacing w:after="0" w:line="33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type w:val="continuous"/>
        </w:sectPr>
      </w:pPr>
    </w:p>
    <w:bookmarkStart w:id="63" w:name="page64"/>
    <w:bookmarkEnd w:id="63"/>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12.5.5. BCP Bolivia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BCP BOLIVIA</w:t>
      </w:r>
    </w:p>
    <w:p>
      <w:pPr>
        <w:jc w:val="center"/>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60" w:type="dxa"/>
            <w:vAlign w:val="bottom"/>
            <w:tcBorders>
              <w:top w:val="single" w:sz="8" w:color="auto"/>
            </w:tcBorders>
            <w:gridSpan w:val="2"/>
            <w:vMerge w:val="restart"/>
            <w:shd w:val="clear" w:color="auto" w:fill="2AD2C9"/>
          </w:tcPr>
          <w:p>
            <w:pPr>
              <w:jc w:val="right"/>
              <w:ind w:right="159"/>
              <w:spacing w:after="0"/>
              <w:rPr>
                <w:sz w:val="20"/>
                <w:szCs w:val="20"/>
                <w:color w:val="auto"/>
              </w:rPr>
            </w:pPr>
            <w:r>
              <w:rPr>
                <w:rFonts w:ascii="Arial" w:cs="Arial" w:eastAsia="Arial" w:hAnsi="Arial"/>
                <w:sz w:val="18"/>
                <w:szCs w:val="18"/>
                <w:b w:val="1"/>
                <w:bCs w:val="1"/>
                <w:color w:val="FFFFFF"/>
              </w:rPr>
              <w:t>Jun 21</w:t>
            </w:r>
          </w:p>
        </w:tc>
        <w:tc>
          <w:tcPr>
            <w:tcW w:w="1320" w:type="dxa"/>
            <w:vAlign w:val="bottom"/>
            <w:tcBorders>
              <w:top w:val="single" w:sz="8" w:color="auto"/>
            </w:tcBorders>
            <w:gridSpan w:val="2"/>
            <w:shd w:val="clear" w:color="auto" w:fill="2AD2C9"/>
          </w:tcPr>
          <w:p>
            <w:pPr>
              <w:jc w:val="right"/>
              <w:ind w:right="397"/>
              <w:spacing w:after="0" w:line="198" w:lineRule="exact"/>
              <w:rPr>
                <w:sz w:val="20"/>
                <w:szCs w:val="20"/>
                <w:color w:val="auto"/>
              </w:rPr>
            </w:pPr>
            <w:r>
              <w:rPr>
                <w:rFonts w:ascii="Arial" w:cs="Arial" w:eastAsia="Arial" w:hAnsi="Arial"/>
                <w:sz w:val="18"/>
                <w:szCs w:val="18"/>
                <w:b w:val="1"/>
                <w:bCs w:val="1"/>
                <w:color w:val="FFFFFF"/>
              </w:rPr>
              <w:t>As of</w:t>
            </w:r>
          </w:p>
        </w:tc>
        <w:tc>
          <w:tcPr>
            <w:tcW w:w="120" w:type="dxa"/>
            <w:vAlign w:val="bottom"/>
            <w:tcBorders>
              <w:top w:val="single" w:sz="8" w:color="auto"/>
              <w:right w:val="single" w:sz="8" w:color="2AD2C9"/>
            </w:tcBorders>
            <w:shd w:val="clear" w:color="auto" w:fill="2AD2C9"/>
          </w:tcPr>
          <w:p>
            <w:pPr>
              <w:spacing w:after="0"/>
              <w:rPr>
                <w:sz w:val="17"/>
                <w:szCs w:val="17"/>
                <w:color w:val="auto"/>
              </w:rPr>
            </w:pPr>
          </w:p>
        </w:tc>
        <w:tc>
          <w:tcPr>
            <w:tcW w:w="860" w:type="dxa"/>
            <w:vAlign w:val="bottom"/>
            <w:tcBorders>
              <w:top w:val="single" w:sz="8" w:color="auto"/>
              <w:right w:val="single" w:sz="8" w:color="auto"/>
            </w:tcBorders>
            <w:vMerge w:val="restart"/>
            <w:shd w:val="clear" w:color="auto" w:fill="2AD2C9"/>
          </w:tcPr>
          <w:p>
            <w:pPr>
              <w:jc w:val="right"/>
              <w:ind w:right="175"/>
              <w:spacing w:after="0"/>
              <w:rPr>
                <w:sz w:val="20"/>
                <w:szCs w:val="20"/>
                <w:color w:val="auto"/>
              </w:rPr>
            </w:pPr>
            <w:r>
              <w:rPr>
                <w:rFonts w:ascii="Arial" w:cs="Arial" w:eastAsia="Arial" w:hAnsi="Arial"/>
                <w:sz w:val="18"/>
                <w:szCs w:val="18"/>
                <w:b w:val="1"/>
                <w:bCs w:val="1"/>
                <w:color w:val="FFFFFF"/>
              </w:rPr>
              <w:t>Jun 22</w:t>
            </w:r>
          </w:p>
        </w:tc>
        <w:tc>
          <w:tcPr>
            <w:tcW w:w="1920" w:type="dxa"/>
            <w:vAlign w:val="bottom"/>
            <w:tcBorders>
              <w:top w:val="single" w:sz="8" w:color="auto"/>
              <w:right w:val="single" w:sz="8" w:color="auto"/>
            </w:tcBorders>
            <w:gridSpan w:val="2"/>
            <w:shd w:val="clear" w:color="auto" w:fill="2AD2C9"/>
          </w:tcPr>
          <w:p>
            <w:pPr>
              <w:jc w:val="right"/>
              <w:ind w:right="474"/>
              <w:spacing w:after="0" w:line="198" w:lineRule="exact"/>
              <w:rPr>
                <w:sz w:val="20"/>
                <w:szCs w:val="20"/>
                <w:color w:val="auto"/>
              </w:rPr>
            </w:pPr>
            <w:r>
              <w:rPr>
                <w:rFonts w:ascii="Arial" w:cs="Arial" w:eastAsia="Arial" w:hAnsi="Arial"/>
                <w:sz w:val="18"/>
                <w:szCs w:val="18"/>
                <w:b w:val="1"/>
                <w:bCs w:val="1"/>
                <w:color w:val="FFFFFF"/>
              </w:rPr>
              <w:t>% change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gridSpan w:val="2"/>
            <w:vMerge w:val="continue"/>
            <w:shd w:val="clear" w:color="auto" w:fill="2AD2C9"/>
          </w:tcPr>
          <w:p>
            <w:pPr>
              <w:spacing w:after="0"/>
              <w:rPr>
                <w:sz w:val="19"/>
                <w:szCs w:val="19"/>
                <w:color w:val="auto"/>
              </w:rPr>
            </w:pPr>
          </w:p>
        </w:tc>
        <w:tc>
          <w:tcPr>
            <w:tcW w:w="1320" w:type="dxa"/>
            <w:vAlign w:val="bottom"/>
            <w:tcBorders>
              <w:bottom w:val="single" w:sz="8" w:color="auto"/>
            </w:tcBorders>
            <w:gridSpan w:val="2"/>
            <w:shd w:val="clear" w:color="auto" w:fill="2AD2C9"/>
          </w:tcPr>
          <w:p>
            <w:pPr>
              <w:jc w:val="right"/>
              <w:ind w:right="337"/>
              <w:spacing w:after="0"/>
              <w:rPr>
                <w:sz w:val="20"/>
                <w:szCs w:val="20"/>
                <w:color w:val="auto"/>
              </w:rPr>
            </w:pPr>
            <w:r>
              <w:rPr>
                <w:rFonts w:ascii="Arial" w:cs="Arial" w:eastAsia="Arial" w:hAnsi="Arial"/>
                <w:sz w:val="18"/>
                <w:szCs w:val="18"/>
                <w:b w:val="1"/>
                <w:bCs w:val="1"/>
                <w:color w:val="FFFFFF"/>
              </w:rPr>
              <w:t>Mar 21</w:t>
            </w:r>
          </w:p>
        </w:tc>
        <w:tc>
          <w:tcPr>
            <w:tcW w:w="120" w:type="dxa"/>
            <w:vAlign w:val="bottom"/>
            <w:tcBorders>
              <w:bottom w:val="single" w:sz="8" w:color="auto"/>
              <w:right w:val="single" w:sz="8" w:color="2AD2C9"/>
            </w:tcBorders>
            <w:shd w:val="clear" w:color="auto" w:fill="2AD2C9"/>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2AD2C9"/>
          </w:tcPr>
          <w:p>
            <w:pPr>
              <w:spacing w:after="0"/>
              <w:rPr>
                <w:sz w:val="19"/>
                <w:szCs w:val="19"/>
                <w:color w:val="auto"/>
              </w:rPr>
            </w:pPr>
          </w:p>
        </w:tc>
        <w:tc>
          <w:tcPr>
            <w:tcW w:w="1060" w:type="dxa"/>
            <w:vAlign w:val="bottom"/>
            <w:tcBorders>
              <w:bottom w:val="single" w:sz="8" w:color="auto"/>
              <w:right w:val="single" w:sz="8" w:color="2AD2C9"/>
            </w:tcBorders>
            <w:shd w:val="clear" w:color="auto" w:fill="2AD2C9"/>
          </w:tcPr>
          <w:p>
            <w:pPr>
              <w:ind w:left="280"/>
              <w:spacing w:after="0"/>
              <w:rPr>
                <w:sz w:val="20"/>
                <w:szCs w:val="20"/>
                <w:color w:val="auto"/>
              </w:rPr>
            </w:pPr>
            <w:r>
              <w:rPr>
                <w:rFonts w:ascii="Arial" w:cs="Arial" w:eastAsia="Arial" w:hAnsi="Arial"/>
                <w:sz w:val="18"/>
                <w:szCs w:val="18"/>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54"/>
              <w:spacing w:after="0"/>
              <w:rPr>
                <w:sz w:val="20"/>
                <w:szCs w:val="20"/>
                <w:color w:val="auto"/>
              </w:rPr>
            </w:pPr>
            <w:r>
              <w:rPr>
                <w:rFonts w:ascii="Arial" w:cs="Arial" w:eastAsia="Arial" w:hAnsi="Arial"/>
                <w:sz w:val="18"/>
                <w:szCs w:val="18"/>
                <w:b w:val="1"/>
                <w:bCs w:val="1"/>
                <w:color w:val="FFFFFF"/>
              </w:rPr>
              <w:t>YoY</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560" w:type="dxa"/>
            <w:vAlign w:val="bottom"/>
            <w:tcBorders>
              <w:left w:val="single" w:sz="8" w:color="auto"/>
            </w:tcBorders>
            <w:gridSpan w:val="2"/>
          </w:tcPr>
          <w:p>
            <w:pPr>
              <w:ind w:left="20"/>
              <w:spacing w:after="0" w:line="174"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Cash and due from banks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2,228,226</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2,220,657</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2,308,217</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3.9%</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w w:val="97"/>
              </w:rPr>
              <w:t>3.6%</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Investments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1,671,904</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1,598,725</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1,562,065</w:t>
            </w:r>
          </w:p>
        </w:tc>
        <w:tc>
          <w:tcPr>
            <w:tcW w:w="1060" w:type="dxa"/>
            <w:vAlign w:val="bottom"/>
          </w:tcPr>
          <w:p>
            <w:pPr>
              <w:jc w:val="center"/>
              <w:ind w:right="35"/>
              <w:spacing w:after="0" w:line="195" w:lineRule="exact"/>
              <w:rPr>
                <w:sz w:val="20"/>
                <w:szCs w:val="20"/>
                <w:color w:val="auto"/>
              </w:rPr>
            </w:pPr>
            <w:r>
              <w:rPr>
                <w:rFonts w:ascii="Arial" w:cs="Arial" w:eastAsia="Arial" w:hAnsi="Arial"/>
                <w:sz w:val="18"/>
                <w:szCs w:val="18"/>
                <w:color w:val="auto"/>
                <w:w w:val="97"/>
              </w:rPr>
              <w:t>-2.3%</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-6.6%</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Total loans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9,197,759</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8,890,948</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9,208,057</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b w:val="1"/>
                <w:bCs w:val="1"/>
                <w:color w:val="auto"/>
                <w:w w:val="97"/>
              </w:rPr>
              <w:t>3.6%</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b w:val="1"/>
                <w:bCs w:val="1"/>
                <w:color w:val="auto"/>
                <w:w w:val="97"/>
              </w:rPr>
              <w:t>0.1%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Current</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9,045,300</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8,688,239</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8,987,381</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3.4%</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-0.6%</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Internal overdue loans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112,005</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170,937</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191,007</w:t>
            </w:r>
          </w:p>
        </w:tc>
        <w:tc>
          <w:tcPr>
            <w:tcW w:w="1060" w:type="dxa"/>
            <w:vAlign w:val="bottom"/>
          </w:tcPr>
          <w:p>
            <w:pPr>
              <w:jc w:val="center"/>
              <w:ind w:right="35"/>
              <w:spacing w:after="0" w:line="195" w:lineRule="exact"/>
              <w:rPr>
                <w:sz w:val="20"/>
                <w:szCs w:val="20"/>
                <w:color w:val="auto"/>
              </w:rPr>
            </w:pPr>
            <w:r>
              <w:rPr>
                <w:rFonts w:ascii="Arial" w:cs="Arial" w:eastAsia="Arial" w:hAnsi="Arial"/>
                <w:sz w:val="18"/>
                <w:szCs w:val="18"/>
                <w:color w:val="auto"/>
                <w:w w:val="97"/>
              </w:rPr>
              <w:t>11.7%</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70.5%</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Refinanced</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40,455</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31,772</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29,669</w:t>
            </w:r>
          </w:p>
        </w:tc>
        <w:tc>
          <w:tcPr>
            <w:tcW w:w="1060" w:type="dxa"/>
            <w:vAlign w:val="bottom"/>
          </w:tcPr>
          <w:p>
            <w:pPr>
              <w:jc w:val="center"/>
              <w:ind w:right="35"/>
              <w:spacing w:after="0" w:line="195" w:lineRule="exact"/>
              <w:rPr>
                <w:sz w:val="20"/>
                <w:szCs w:val="20"/>
                <w:color w:val="auto"/>
              </w:rPr>
            </w:pPr>
            <w:r>
              <w:rPr>
                <w:rFonts w:ascii="Arial" w:cs="Arial" w:eastAsia="Arial" w:hAnsi="Arial"/>
                <w:sz w:val="18"/>
                <w:szCs w:val="18"/>
                <w:color w:val="auto"/>
                <w:w w:val="97"/>
              </w:rPr>
              <w:t>-6.6%</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w w:val="98"/>
              </w:rPr>
              <w:t>-26.7%</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Allowance for loan losses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(433,953)</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(404,078)</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(413,446)</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2.3%</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Net loans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8,763,806</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8,486,870</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8,794,611</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b w:val="1"/>
                <w:bCs w:val="1"/>
                <w:color w:val="auto"/>
                <w:w w:val="97"/>
              </w:rPr>
              <w:t>3.6%</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b w:val="1"/>
                <w:bCs w:val="1"/>
                <w:color w:val="auto"/>
                <w:w w:val="97"/>
              </w:rPr>
              <w:t>0.4%</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Property, plant and equipment, net</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56,091</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62,645</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64,017</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2.2%</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14.1%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Other assets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393,292</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368,350</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350,795</w:t>
            </w:r>
          </w:p>
        </w:tc>
        <w:tc>
          <w:tcPr>
            <w:tcW w:w="1060" w:type="dxa"/>
            <w:vAlign w:val="bottom"/>
          </w:tcPr>
          <w:p>
            <w:pPr>
              <w:jc w:val="center"/>
              <w:ind w:right="35"/>
              <w:spacing w:after="0" w:line="195" w:lineRule="exact"/>
              <w:rPr>
                <w:sz w:val="20"/>
                <w:szCs w:val="20"/>
                <w:color w:val="auto"/>
              </w:rPr>
            </w:pPr>
            <w:r>
              <w:rPr>
                <w:rFonts w:ascii="Arial" w:cs="Arial" w:eastAsia="Arial" w:hAnsi="Arial"/>
                <w:sz w:val="18"/>
                <w:szCs w:val="18"/>
                <w:color w:val="auto"/>
                <w:w w:val="97"/>
              </w:rPr>
              <w:t>-4.8%</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w w:val="98"/>
              </w:rPr>
              <w:t>-10.8%</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60" w:type="dxa"/>
            <w:vAlign w:val="bottom"/>
            <w:tcBorders>
              <w:left w:val="single" w:sz="8" w:color="auto"/>
            </w:tcBorders>
            <w:gridSpan w:val="2"/>
          </w:tcPr>
          <w:p>
            <w:pPr>
              <w:ind w:left="13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right w:val="single" w:sz="8" w:color="auto"/>
            </w:tcBorders>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13,113,320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12,737,246</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13,079,705</w:t>
            </w:r>
          </w:p>
        </w:tc>
        <w:tc>
          <w:tcPr>
            <w:tcW w:w="1060" w:type="dxa"/>
            <w:vAlign w:val="bottom"/>
          </w:tcPr>
          <w:p>
            <w:pPr>
              <w:jc w:val="center"/>
              <w:ind w:right="15"/>
              <w:spacing w:after="0"/>
              <w:rPr>
                <w:sz w:val="20"/>
                <w:szCs w:val="20"/>
                <w:color w:val="auto"/>
              </w:rPr>
            </w:pPr>
            <w:r>
              <w:rPr>
                <w:rFonts w:ascii="Arial" w:cs="Arial" w:eastAsia="Arial" w:hAnsi="Arial"/>
                <w:sz w:val="18"/>
                <w:szCs w:val="18"/>
                <w:b w:val="1"/>
                <w:bCs w:val="1"/>
                <w:color w:val="auto"/>
                <w:w w:val="97"/>
              </w:rPr>
              <w:t>2.7%</w:t>
            </w:r>
          </w:p>
        </w:tc>
        <w:tc>
          <w:tcPr>
            <w:tcW w:w="860" w:type="dxa"/>
            <w:vAlign w:val="bottom"/>
            <w:tcBorders>
              <w:right w:val="single" w:sz="8" w:color="auto"/>
            </w:tcBorders>
          </w:tcPr>
          <w:p>
            <w:pPr>
              <w:jc w:val="center"/>
              <w:ind w:right="54"/>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35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LIABILITIES AND NET SHAREHOLDERS'</w:t>
            </w:r>
          </w:p>
        </w:tc>
        <w:tc>
          <w:tcPr>
            <w:tcW w:w="18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140"/>
              <w:spacing w:after="0" w:line="195" w:lineRule="exact"/>
              <w:rPr>
                <w:sz w:val="20"/>
                <w:szCs w:val="20"/>
                <w:color w:val="auto"/>
              </w:rPr>
            </w:pPr>
            <w:r>
              <w:rPr>
                <w:rFonts w:ascii="Arial" w:cs="Arial" w:eastAsia="Arial" w:hAnsi="Arial"/>
                <w:sz w:val="18"/>
                <w:szCs w:val="18"/>
                <w:b w:val="1"/>
                <w:bCs w:val="1"/>
                <w:color w:val="auto"/>
              </w:rPr>
              <w:t>EQUITY</w:t>
            </w:r>
          </w:p>
        </w:tc>
        <w:tc>
          <w:tcPr>
            <w:tcW w:w="1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Deposits and obligations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11,057,286</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10,678,175</w:t>
            </w:r>
          </w:p>
        </w:tc>
        <w:tc>
          <w:tcPr>
            <w:tcW w:w="980" w:type="dxa"/>
            <w:vAlign w:val="bottom"/>
            <w:tcBorders>
              <w:right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10,955,468</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2.6%</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-0.9%</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Due to banks and correspondents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119,795</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89,938</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86,639</w:t>
            </w:r>
          </w:p>
        </w:tc>
        <w:tc>
          <w:tcPr>
            <w:tcW w:w="1060" w:type="dxa"/>
            <w:vAlign w:val="bottom"/>
          </w:tcPr>
          <w:p>
            <w:pPr>
              <w:jc w:val="center"/>
              <w:ind w:right="35"/>
              <w:spacing w:after="0" w:line="195" w:lineRule="exact"/>
              <w:rPr>
                <w:sz w:val="20"/>
                <w:szCs w:val="20"/>
                <w:color w:val="auto"/>
              </w:rPr>
            </w:pPr>
            <w:r>
              <w:rPr>
                <w:rFonts w:ascii="Arial" w:cs="Arial" w:eastAsia="Arial" w:hAnsi="Arial"/>
                <w:sz w:val="18"/>
                <w:szCs w:val="18"/>
                <w:color w:val="auto"/>
                <w:w w:val="97"/>
              </w:rPr>
              <w:t>-3.7%</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w w:val="98"/>
              </w:rPr>
              <w:t>-27.7%</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Bonds and subordinated debt</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178,578</w:t>
            </w:r>
          </w:p>
        </w:tc>
        <w:tc>
          <w:tcPr>
            <w:tcW w:w="54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171,787</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178,395</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3.8%</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Other liabilities</w:t>
            </w:r>
          </w:p>
        </w:tc>
        <w:tc>
          <w:tcPr>
            <w:tcW w:w="180" w:type="dxa"/>
            <w:vAlign w:val="bottom"/>
            <w:tcBorders>
              <w:right w:val="single" w:sz="8" w:color="auto"/>
            </w:tcBorders>
          </w:tcPr>
          <w:p>
            <w:pPr>
              <w:spacing w:after="0"/>
              <w:rPr>
                <w:sz w:val="16"/>
                <w:szCs w:val="16"/>
                <w:color w:val="auto"/>
              </w:rPr>
            </w:pP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994,580</w:t>
            </w:r>
          </w:p>
        </w:tc>
        <w:tc>
          <w:tcPr>
            <w:tcW w:w="1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1,007,946</w:t>
            </w:r>
          </w:p>
        </w:tc>
        <w:tc>
          <w:tcPr>
            <w:tcW w:w="12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1,038,527</w:t>
            </w:r>
          </w:p>
        </w:tc>
        <w:tc>
          <w:tcPr>
            <w:tcW w:w="1060" w:type="dxa"/>
            <w:vAlign w:val="bottom"/>
          </w:tcPr>
          <w:p>
            <w:pPr>
              <w:jc w:val="center"/>
              <w:ind w:right="15"/>
              <w:spacing w:after="0" w:line="195" w:lineRule="exact"/>
              <w:rPr>
                <w:sz w:val="20"/>
                <w:szCs w:val="20"/>
                <w:color w:val="auto"/>
              </w:rPr>
            </w:pPr>
            <w:r>
              <w:rPr>
                <w:rFonts w:ascii="Arial" w:cs="Arial" w:eastAsia="Arial" w:hAnsi="Arial"/>
                <w:sz w:val="18"/>
                <w:szCs w:val="18"/>
                <w:color w:val="auto"/>
                <w:w w:val="97"/>
              </w:rPr>
              <w:t>3.0%</w:t>
            </w:r>
          </w:p>
        </w:tc>
        <w:tc>
          <w:tcPr>
            <w:tcW w:w="860" w:type="dxa"/>
            <w:vAlign w:val="bottom"/>
            <w:tcBorders>
              <w:right w:val="single" w:sz="8" w:color="auto"/>
            </w:tcBorders>
          </w:tcPr>
          <w:p>
            <w:pPr>
              <w:jc w:val="center"/>
              <w:ind w:right="54"/>
              <w:spacing w:after="0" w:line="195" w:lineRule="exact"/>
              <w:rPr>
                <w:sz w:val="20"/>
                <w:szCs w:val="20"/>
                <w:color w:val="auto"/>
              </w:rPr>
            </w:pPr>
            <w:r>
              <w:rPr>
                <w:rFonts w:ascii="Arial" w:cs="Arial" w:eastAsia="Arial" w:hAnsi="Arial"/>
                <w:sz w:val="18"/>
                <w:szCs w:val="18"/>
                <w:color w:val="auto"/>
                <w:w w:val="97"/>
              </w:rPr>
              <w:t>4.4%</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60" w:type="dxa"/>
            <w:vAlign w:val="bottom"/>
            <w:tcBorders>
              <w:left w:val="single" w:sz="8" w:color="auto"/>
            </w:tcBorders>
            <w:gridSpan w:val="2"/>
          </w:tcPr>
          <w:p>
            <w:pPr>
              <w:ind w:left="12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right w:val="single" w:sz="8" w:color="auto"/>
            </w:tcBorders>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12,350,240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11,947,847</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12,259,029</w:t>
            </w:r>
          </w:p>
        </w:tc>
        <w:tc>
          <w:tcPr>
            <w:tcW w:w="1060" w:type="dxa"/>
            <w:vAlign w:val="bottom"/>
          </w:tcPr>
          <w:p>
            <w:pPr>
              <w:jc w:val="center"/>
              <w:ind w:right="15"/>
              <w:spacing w:after="0"/>
              <w:rPr>
                <w:sz w:val="20"/>
                <w:szCs w:val="20"/>
                <w:color w:val="auto"/>
              </w:rPr>
            </w:pPr>
            <w:r>
              <w:rPr>
                <w:rFonts w:ascii="Arial" w:cs="Arial" w:eastAsia="Arial" w:hAnsi="Arial"/>
                <w:sz w:val="18"/>
                <w:szCs w:val="18"/>
                <w:b w:val="1"/>
                <w:bCs w:val="1"/>
                <w:color w:val="auto"/>
                <w:w w:val="97"/>
              </w:rPr>
              <w:t>2.6%</w:t>
            </w:r>
          </w:p>
        </w:tc>
        <w:tc>
          <w:tcPr>
            <w:tcW w:w="860" w:type="dxa"/>
            <w:vAlign w:val="bottom"/>
            <w:tcBorders>
              <w:right w:val="single" w:sz="8" w:color="auto"/>
            </w:tcBorders>
          </w:tcPr>
          <w:p>
            <w:pPr>
              <w:jc w:val="center"/>
              <w:ind w:right="54"/>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5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equity</w:t>
            </w:r>
          </w:p>
        </w:tc>
        <w:tc>
          <w:tcPr>
            <w:tcW w:w="180" w:type="dxa"/>
            <w:vAlign w:val="bottom"/>
            <w:tcBorders>
              <w:right w:val="single" w:sz="8" w:color="auto"/>
            </w:tcBorders>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763,080</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789,399</w:t>
            </w:r>
          </w:p>
        </w:tc>
        <w:tc>
          <w:tcPr>
            <w:tcW w:w="120" w:type="dxa"/>
            <w:vAlign w:val="bottom"/>
          </w:tcPr>
          <w:p>
            <w:pPr>
              <w:spacing w:after="0"/>
              <w:rPr>
                <w:sz w:val="24"/>
                <w:szCs w:val="24"/>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820,677</w:t>
            </w:r>
          </w:p>
        </w:tc>
        <w:tc>
          <w:tcPr>
            <w:tcW w:w="1060" w:type="dxa"/>
            <w:vAlign w:val="bottom"/>
          </w:tcPr>
          <w:p>
            <w:pPr>
              <w:jc w:val="center"/>
              <w:ind w:right="15"/>
              <w:spacing w:after="0"/>
              <w:rPr>
                <w:sz w:val="20"/>
                <w:szCs w:val="20"/>
                <w:color w:val="auto"/>
              </w:rPr>
            </w:pPr>
            <w:r>
              <w:rPr>
                <w:rFonts w:ascii="Arial" w:cs="Arial" w:eastAsia="Arial" w:hAnsi="Arial"/>
                <w:sz w:val="18"/>
                <w:szCs w:val="18"/>
                <w:b w:val="1"/>
                <w:bCs w:val="1"/>
                <w:color w:val="auto"/>
                <w:w w:val="97"/>
              </w:rPr>
              <w:t>4.0%</w:t>
            </w:r>
          </w:p>
        </w:tc>
        <w:tc>
          <w:tcPr>
            <w:tcW w:w="860" w:type="dxa"/>
            <w:vAlign w:val="bottom"/>
            <w:tcBorders>
              <w:right w:val="single" w:sz="8" w:color="auto"/>
            </w:tcBorders>
          </w:tcPr>
          <w:p>
            <w:pPr>
              <w:jc w:val="center"/>
              <w:ind w:right="54"/>
              <w:spacing w:after="0"/>
              <w:rPr>
                <w:sz w:val="20"/>
                <w:szCs w:val="20"/>
                <w:color w:val="auto"/>
              </w:rPr>
            </w:pPr>
            <w:r>
              <w:rPr>
                <w:rFonts w:ascii="Arial" w:cs="Arial" w:eastAsia="Arial" w:hAnsi="Arial"/>
                <w:sz w:val="18"/>
                <w:szCs w:val="18"/>
                <w:b w:val="1"/>
                <w:bCs w:val="1"/>
                <w:color w:val="auto"/>
                <w:w w:val="97"/>
              </w:rPr>
              <w:t>7.5%</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LIABILITIES AND NET</w:t>
            </w:r>
          </w:p>
        </w:tc>
        <w:tc>
          <w:tcPr>
            <w:tcW w:w="180" w:type="dxa"/>
            <w:vAlign w:val="bottom"/>
            <w:tcBorders>
              <w:right w:val="single" w:sz="8" w:color="auto"/>
            </w:tcBorders>
          </w:tcPr>
          <w:p>
            <w:pPr>
              <w:spacing w:after="0"/>
              <w:rPr>
                <w:sz w:val="24"/>
                <w:szCs w:val="2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13,113,320</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12,737,246</w:t>
            </w:r>
          </w:p>
        </w:tc>
        <w:tc>
          <w:tcPr>
            <w:tcW w:w="9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13,079,705</w:t>
            </w:r>
          </w:p>
        </w:tc>
        <w:tc>
          <w:tcPr>
            <w:tcW w:w="1060" w:type="dxa"/>
            <w:vAlign w:val="bottom"/>
            <w:vMerge w:val="restart"/>
          </w:tcPr>
          <w:p>
            <w:pPr>
              <w:jc w:val="center"/>
              <w:ind w:right="15"/>
              <w:spacing w:after="0"/>
              <w:rPr>
                <w:sz w:val="20"/>
                <w:szCs w:val="20"/>
                <w:color w:val="auto"/>
              </w:rPr>
            </w:pPr>
            <w:r>
              <w:rPr>
                <w:rFonts w:ascii="Arial" w:cs="Arial" w:eastAsia="Arial" w:hAnsi="Arial"/>
                <w:sz w:val="18"/>
                <w:szCs w:val="18"/>
                <w:b w:val="1"/>
                <w:bCs w:val="1"/>
                <w:color w:val="auto"/>
                <w:w w:val="97"/>
              </w:rPr>
              <w:t>2.7%</w:t>
            </w:r>
          </w:p>
        </w:tc>
        <w:tc>
          <w:tcPr>
            <w:tcW w:w="8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Borders>
              <w:left w:val="single" w:sz="8" w:color="auto"/>
            </w:tcBorders>
            <w:gridSpan w:val="2"/>
            <w:vMerge w:val="restart"/>
          </w:tcPr>
          <w:p>
            <w:pPr>
              <w:ind w:left="1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right w:val="single" w:sz="8" w:color="auto"/>
            </w:tcBorders>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560" w:type="dxa"/>
            <w:vAlign w:val="bottom"/>
            <w:tcBorders>
              <w:left w:val="single" w:sz="8" w:color="auto"/>
              <w:bottom w:val="single" w:sz="8" w:color="auto"/>
            </w:tcBorders>
            <w:gridSpan w:val="2"/>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20" w:type="dxa"/>
            <w:vAlign w:val="bottom"/>
            <w:tcBorders>
              <w:right w:val="single" w:sz="8" w:color="auto"/>
            </w:tcBorders>
          </w:tcPr>
          <w:p>
            <w:pPr>
              <w:spacing w:after="0"/>
              <w:rPr>
                <w:sz w:val="14"/>
                <w:szCs w:val="14"/>
                <w:color w:val="auto"/>
              </w:rPr>
            </w:pPr>
          </w:p>
        </w:tc>
        <w:tc>
          <w:tcPr>
            <w:tcW w:w="140" w:type="dxa"/>
            <w:vAlign w:val="bottom"/>
            <w:shd w:val="clear" w:color="auto" w:fill="2AD2C9"/>
          </w:tcPr>
          <w:p>
            <w:pPr>
              <w:spacing w:after="0"/>
              <w:rPr>
                <w:sz w:val="14"/>
                <w:szCs w:val="14"/>
                <w:color w:val="auto"/>
              </w:rPr>
            </w:pPr>
          </w:p>
        </w:tc>
        <w:tc>
          <w:tcPr>
            <w:tcW w:w="180" w:type="dxa"/>
            <w:vAlign w:val="bottom"/>
            <w:tcBorders>
              <w:right w:val="single" w:sz="8" w:color="2AD2C9"/>
            </w:tcBorders>
            <w:shd w:val="clear" w:color="auto" w:fill="2AD2C9"/>
          </w:tcPr>
          <w:p>
            <w:pPr>
              <w:spacing w:after="0"/>
              <w:rPr>
                <w:sz w:val="14"/>
                <w:szCs w:val="14"/>
                <w:color w:val="auto"/>
              </w:rPr>
            </w:pPr>
          </w:p>
        </w:tc>
        <w:tc>
          <w:tcPr>
            <w:tcW w:w="680" w:type="dxa"/>
            <w:vAlign w:val="bottom"/>
            <w:shd w:val="clear" w:color="auto" w:fill="2AD2C9"/>
          </w:tcPr>
          <w:p>
            <w:pPr>
              <w:spacing w:after="0"/>
              <w:rPr>
                <w:sz w:val="14"/>
                <w:szCs w:val="14"/>
                <w:color w:val="auto"/>
              </w:rPr>
            </w:pPr>
          </w:p>
        </w:tc>
        <w:tc>
          <w:tcPr>
            <w:tcW w:w="920" w:type="dxa"/>
            <w:vAlign w:val="bottom"/>
            <w:gridSpan w:val="2"/>
            <w:shd w:val="clear" w:color="auto" w:fill="2AD2C9"/>
          </w:tcPr>
          <w:p>
            <w:pPr>
              <w:jc w:val="right"/>
              <w:ind w:right="154"/>
              <w:spacing w:after="0" w:line="166" w:lineRule="exact"/>
              <w:rPr>
                <w:sz w:val="20"/>
                <w:szCs w:val="20"/>
                <w:color w:val="auto"/>
              </w:rPr>
            </w:pPr>
            <w:r>
              <w:rPr>
                <w:rFonts w:ascii="Arial" w:cs="Arial" w:eastAsia="Arial" w:hAnsi="Arial"/>
                <w:sz w:val="16"/>
                <w:szCs w:val="16"/>
                <w:b w:val="1"/>
                <w:bCs w:val="1"/>
                <w:color w:val="FFFFFF"/>
              </w:rPr>
              <w:t>Quarter</w:t>
            </w:r>
          </w:p>
        </w:tc>
        <w:tc>
          <w:tcPr>
            <w:tcW w:w="780" w:type="dxa"/>
            <w:vAlign w:val="bottom"/>
            <w:shd w:val="clear" w:color="auto" w:fill="2AD2C9"/>
          </w:tcPr>
          <w:p>
            <w:pPr>
              <w:spacing w:after="0"/>
              <w:rPr>
                <w:sz w:val="14"/>
                <w:szCs w:val="14"/>
                <w:color w:val="auto"/>
              </w:rPr>
            </w:pPr>
          </w:p>
        </w:tc>
        <w:tc>
          <w:tcPr>
            <w:tcW w:w="120" w:type="dxa"/>
            <w:vAlign w:val="bottom"/>
            <w:tcBorders>
              <w:right w:val="single" w:sz="8" w:color="auto"/>
            </w:tcBorders>
            <w:shd w:val="clear" w:color="auto" w:fill="2AD2C9"/>
          </w:tcPr>
          <w:p>
            <w:pPr>
              <w:spacing w:after="0"/>
              <w:rPr>
                <w:sz w:val="14"/>
                <w:szCs w:val="14"/>
                <w:color w:val="auto"/>
              </w:rPr>
            </w:pPr>
          </w:p>
        </w:tc>
        <w:tc>
          <w:tcPr>
            <w:tcW w:w="1920" w:type="dxa"/>
            <w:vAlign w:val="bottom"/>
            <w:tcBorders>
              <w:right w:val="single" w:sz="8" w:color="auto"/>
            </w:tcBorders>
            <w:gridSpan w:val="2"/>
            <w:shd w:val="clear" w:color="auto" w:fill="2AD2C9"/>
          </w:tcPr>
          <w:p>
            <w:pPr>
              <w:ind w:left="560"/>
              <w:spacing w:after="0" w:line="166" w:lineRule="exact"/>
              <w:rPr>
                <w:sz w:val="20"/>
                <w:szCs w:val="20"/>
                <w:color w:val="auto"/>
              </w:rPr>
            </w:pPr>
            <w:r>
              <w:rPr>
                <w:rFonts w:ascii="Arial" w:cs="Arial" w:eastAsia="Arial" w:hAnsi="Arial"/>
                <w:sz w:val="16"/>
                <w:szCs w:val="16"/>
                <w:b w:val="1"/>
                <w:bCs w:val="1"/>
                <w:color w:val="FFFFFF"/>
              </w:rPr>
              <w:t>% change</w:t>
            </w:r>
          </w:p>
        </w:tc>
        <w:tc>
          <w:tcPr>
            <w:tcW w:w="1180" w:type="dxa"/>
            <w:vAlign w:val="bottom"/>
            <w:gridSpan w:val="2"/>
            <w:shd w:val="clear" w:color="auto" w:fill="2AD2C9"/>
          </w:tcPr>
          <w:p>
            <w:pPr>
              <w:jc w:val="right"/>
              <w:spacing w:after="0" w:line="166" w:lineRule="exact"/>
              <w:rPr>
                <w:sz w:val="20"/>
                <w:szCs w:val="20"/>
                <w:color w:val="auto"/>
              </w:rPr>
            </w:pPr>
            <w:r>
              <w:rPr>
                <w:rFonts w:ascii="Arial" w:cs="Arial" w:eastAsia="Arial" w:hAnsi="Arial"/>
                <w:sz w:val="16"/>
                <w:szCs w:val="16"/>
                <w:b w:val="1"/>
                <w:bCs w:val="1"/>
                <w:color w:val="FFFFFF"/>
              </w:rPr>
              <w:t>As of</w:t>
            </w:r>
          </w:p>
        </w:tc>
        <w:tc>
          <w:tcPr>
            <w:tcW w:w="780" w:type="dxa"/>
            <w:vAlign w:val="bottom"/>
            <w:tcBorders>
              <w:right w:val="single" w:sz="8" w:color="auto"/>
            </w:tcBorders>
            <w:shd w:val="clear" w:color="auto" w:fill="2AD2C9"/>
          </w:tcPr>
          <w:p>
            <w:pPr>
              <w:spacing w:after="0"/>
              <w:rPr>
                <w:sz w:val="14"/>
                <w:szCs w:val="14"/>
                <w:color w:val="auto"/>
              </w:rPr>
            </w:pPr>
          </w:p>
        </w:tc>
        <w:tc>
          <w:tcPr>
            <w:tcW w:w="1160" w:type="dxa"/>
            <w:vAlign w:val="bottom"/>
            <w:tcBorders>
              <w:right w:val="single" w:sz="8" w:color="auto"/>
            </w:tcBorders>
            <w:shd w:val="clear" w:color="auto" w:fill="2AD2C9"/>
          </w:tcPr>
          <w:p>
            <w:pPr>
              <w:jc w:val="center"/>
              <w:spacing w:after="0" w:line="16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34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shd w:val="clear" w:color="auto" w:fill="2AD2C9"/>
          </w:tcPr>
          <w:p>
            <w:pPr>
              <w:spacing w:after="0"/>
              <w:rPr>
                <w:sz w:val="17"/>
                <w:szCs w:val="17"/>
                <w:color w:val="auto"/>
              </w:rPr>
            </w:pPr>
          </w:p>
        </w:tc>
        <w:tc>
          <w:tcPr>
            <w:tcW w:w="860" w:type="dxa"/>
            <w:vAlign w:val="bottom"/>
            <w:tcBorders>
              <w:bottom w:val="single" w:sz="8" w:color="auto"/>
            </w:tcBorders>
            <w:gridSpan w:val="2"/>
            <w:shd w:val="clear" w:color="auto" w:fill="2AD2C9"/>
          </w:tcPr>
          <w:p>
            <w:pPr>
              <w:jc w:val="right"/>
              <w:ind w:right="251"/>
              <w:spacing w:after="0"/>
              <w:rPr>
                <w:sz w:val="20"/>
                <w:szCs w:val="20"/>
                <w:color w:val="auto"/>
              </w:rPr>
            </w:pPr>
            <w:r>
              <w:rPr>
                <w:rFonts w:ascii="Arial" w:cs="Arial" w:eastAsia="Arial" w:hAnsi="Arial"/>
                <w:sz w:val="16"/>
                <w:szCs w:val="16"/>
                <w:b w:val="1"/>
                <w:bCs w:val="1"/>
                <w:color w:val="FFFFFF"/>
              </w:rPr>
              <w:t>2Q21</w:t>
            </w:r>
          </w:p>
        </w:tc>
        <w:tc>
          <w:tcPr>
            <w:tcW w:w="920" w:type="dxa"/>
            <w:vAlign w:val="bottom"/>
            <w:tcBorders>
              <w:bottom w:val="single" w:sz="8" w:color="auto"/>
            </w:tcBorders>
            <w:gridSpan w:val="2"/>
            <w:shd w:val="clear" w:color="auto" w:fill="2AD2C9"/>
          </w:tcPr>
          <w:p>
            <w:pPr>
              <w:jc w:val="right"/>
              <w:ind w:right="254"/>
              <w:spacing w:after="0"/>
              <w:rPr>
                <w:sz w:val="20"/>
                <w:szCs w:val="20"/>
                <w:color w:val="auto"/>
              </w:rPr>
            </w:pPr>
            <w:r>
              <w:rPr>
                <w:rFonts w:ascii="Arial" w:cs="Arial" w:eastAsia="Arial" w:hAnsi="Arial"/>
                <w:sz w:val="16"/>
                <w:szCs w:val="16"/>
                <w:b w:val="1"/>
                <w:bCs w:val="1"/>
                <w:color w:val="FFFFFF"/>
              </w:rPr>
              <w:t>1Q22</w:t>
            </w:r>
          </w:p>
        </w:tc>
        <w:tc>
          <w:tcPr>
            <w:tcW w:w="780" w:type="dxa"/>
            <w:vAlign w:val="bottom"/>
            <w:tcBorders>
              <w:bottom w:val="single" w:sz="8" w:color="auto"/>
            </w:tcBorders>
            <w:shd w:val="clear" w:color="auto" w:fill="2AD2C9"/>
          </w:tcPr>
          <w:p>
            <w:pPr>
              <w:jc w:val="right"/>
              <w:ind w:right="97"/>
              <w:spacing w:after="0"/>
              <w:rPr>
                <w:sz w:val="20"/>
                <w:szCs w:val="20"/>
                <w:color w:val="auto"/>
              </w:rPr>
            </w:pPr>
            <w:r>
              <w:rPr>
                <w:rFonts w:ascii="Arial" w:cs="Arial" w:eastAsia="Arial" w:hAnsi="Arial"/>
                <w:sz w:val="16"/>
                <w:szCs w:val="16"/>
                <w:b w:val="1"/>
                <w:bCs w:val="1"/>
                <w:color w:val="FFFFFF"/>
              </w:rPr>
              <w:t>2Q22</w:t>
            </w:r>
          </w:p>
        </w:tc>
        <w:tc>
          <w:tcPr>
            <w:tcW w:w="120" w:type="dxa"/>
            <w:vAlign w:val="bottom"/>
            <w:tcBorders>
              <w:bottom w:val="single" w:sz="8" w:color="auto"/>
              <w:right w:val="single" w:sz="8" w:color="auto"/>
            </w:tcBorders>
            <w:shd w:val="clear" w:color="auto" w:fill="2AD2C9"/>
          </w:tcPr>
          <w:p>
            <w:pPr>
              <w:spacing w:after="0"/>
              <w:rPr>
                <w:sz w:val="17"/>
                <w:szCs w:val="17"/>
                <w:color w:val="auto"/>
              </w:rPr>
            </w:pPr>
          </w:p>
        </w:tc>
        <w:tc>
          <w:tcPr>
            <w:tcW w:w="860" w:type="dxa"/>
            <w:vAlign w:val="bottom"/>
            <w:tcBorders>
              <w:bottom w:val="single" w:sz="8" w:color="auto"/>
              <w:right w:val="single" w:sz="8" w:color="2AD2C9"/>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YoY</w:t>
            </w:r>
          </w:p>
        </w:tc>
        <w:tc>
          <w:tcPr>
            <w:tcW w:w="1180" w:type="dxa"/>
            <w:vAlign w:val="bottom"/>
            <w:tcBorders>
              <w:bottom w:val="single" w:sz="8" w:color="auto"/>
            </w:tcBorders>
            <w:gridSpan w:val="2"/>
            <w:shd w:val="clear" w:color="auto" w:fill="2AD2C9"/>
          </w:tcPr>
          <w:p>
            <w:pPr>
              <w:jc w:val="right"/>
              <w:ind w:right="460"/>
              <w:spacing w:after="0"/>
              <w:rPr>
                <w:sz w:val="20"/>
                <w:szCs w:val="20"/>
                <w:color w:val="auto"/>
              </w:rPr>
            </w:pPr>
            <w:r>
              <w:rPr>
                <w:rFonts w:ascii="Arial" w:cs="Arial" w:eastAsia="Arial" w:hAnsi="Arial"/>
                <w:sz w:val="16"/>
                <w:szCs w:val="16"/>
                <w:b w:val="1"/>
                <w:bCs w:val="1"/>
                <w:color w:val="FFFFFF"/>
              </w:rPr>
              <w:t>Jun 21</w:t>
            </w:r>
          </w:p>
        </w:tc>
        <w:tc>
          <w:tcPr>
            <w:tcW w:w="780" w:type="dxa"/>
            <w:vAlign w:val="bottom"/>
            <w:tcBorders>
              <w:bottom w:val="single" w:sz="8" w:color="auto"/>
              <w:right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w w:val="98"/>
              </w:rPr>
              <w:t>Jun 22</w:t>
            </w:r>
          </w:p>
        </w:tc>
        <w:tc>
          <w:tcPr>
            <w:tcW w:w="11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Jun 22/ Jun 21</w:t>
            </w:r>
          </w:p>
        </w:tc>
        <w:tc>
          <w:tcPr>
            <w:tcW w:w="0" w:type="dxa"/>
            <w:vAlign w:val="bottom"/>
          </w:tcPr>
          <w:p>
            <w:pPr>
              <w:spacing w:after="0"/>
              <w:rPr>
                <w:sz w:val="1"/>
                <w:szCs w:val="1"/>
                <w:color w:val="auto"/>
              </w:rPr>
            </w:pPr>
          </w:p>
        </w:tc>
      </w:tr>
      <w:tr>
        <w:trPr>
          <w:trHeight w:val="174"/>
        </w:trPr>
        <w:tc>
          <w:tcPr>
            <w:tcW w:w="34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Net interest income</w:t>
            </w:r>
          </w:p>
        </w:tc>
        <w:tc>
          <w:tcPr>
            <w:tcW w:w="140" w:type="dxa"/>
            <w:vAlign w:val="bottom"/>
          </w:tcPr>
          <w:p>
            <w:pPr>
              <w:spacing w:after="0"/>
              <w:rPr>
                <w:sz w:val="15"/>
                <w:szCs w:val="15"/>
                <w:color w:val="auto"/>
              </w:rPr>
            </w:pPr>
          </w:p>
        </w:tc>
        <w:tc>
          <w:tcPr>
            <w:tcW w:w="860" w:type="dxa"/>
            <w:vAlign w:val="bottom"/>
            <w:gridSpan w:val="2"/>
          </w:tcPr>
          <w:p>
            <w:pPr>
              <w:jc w:val="right"/>
              <w:spacing w:after="0" w:line="174" w:lineRule="exact"/>
              <w:rPr>
                <w:sz w:val="20"/>
                <w:szCs w:val="20"/>
                <w:color w:val="auto"/>
              </w:rPr>
            </w:pPr>
            <w:r>
              <w:rPr>
                <w:rFonts w:ascii="Arial" w:cs="Arial" w:eastAsia="Arial" w:hAnsi="Arial"/>
                <w:sz w:val="16"/>
                <w:szCs w:val="16"/>
                <w:color w:val="auto"/>
              </w:rPr>
              <w:t>79,897</w:t>
            </w:r>
          </w:p>
        </w:tc>
        <w:tc>
          <w:tcPr>
            <w:tcW w:w="920" w:type="dxa"/>
            <w:vAlign w:val="bottom"/>
            <w:gridSpan w:val="2"/>
          </w:tcPr>
          <w:p>
            <w:pPr>
              <w:jc w:val="right"/>
              <w:spacing w:after="0" w:line="174" w:lineRule="exact"/>
              <w:rPr>
                <w:sz w:val="20"/>
                <w:szCs w:val="20"/>
                <w:color w:val="auto"/>
              </w:rPr>
            </w:pPr>
            <w:r>
              <w:rPr>
                <w:rFonts w:ascii="Arial" w:cs="Arial" w:eastAsia="Arial" w:hAnsi="Arial"/>
                <w:sz w:val="16"/>
                <w:szCs w:val="16"/>
                <w:color w:val="auto"/>
              </w:rPr>
              <w:t>81,157</w:t>
            </w:r>
          </w:p>
        </w:tc>
        <w:tc>
          <w:tcPr>
            <w:tcW w:w="90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82,086</w:t>
            </w:r>
          </w:p>
        </w:tc>
        <w:tc>
          <w:tcPr>
            <w:tcW w:w="860" w:type="dxa"/>
            <w:vAlign w:val="bottom"/>
          </w:tcPr>
          <w:p>
            <w:pPr>
              <w:jc w:val="center"/>
              <w:spacing w:after="0" w:line="174" w:lineRule="exact"/>
              <w:rPr>
                <w:sz w:val="20"/>
                <w:szCs w:val="20"/>
                <w:color w:val="auto"/>
              </w:rPr>
            </w:pPr>
            <w:r>
              <w:rPr>
                <w:rFonts w:ascii="Arial" w:cs="Arial" w:eastAsia="Arial" w:hAnsi="Arial"/>
                <w:sz w:val="16"/>
                <w:szCs w:val="16"/>
                <w:color w:val="auto"/>
                <w:w w:val="98"/>
              </w:rPr>
              <w:t>1.1%</w:t>
            </w:r>
          </w:p>
        </w:tc>
        <w:tc>
          <w:tcPr>
            <w:tcW w:w="10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2.7%</w:t>
            </w:r>
          </w:p>
        </w:tc>
        <w:tc>
          <w:tcPr>
            <w:tcW w:w="1180" w:type="dxa"/>
            <w:vAlign w:val="bottom"/>
            <w:gridSpan w:val="2"/>
          </w:tcPr>
          <w:p>
            <w:pPr>
              <w:jc w:val="right"/>
              <w:ind w:right="240"/>
              <w:spacing w:after="0" w:line="174" w:lineRule="exact"/>
              <w:rPr>
                <w:sz w:val="20"/>
                <w:szCs w:val="20"/>
                <w:color w:val="auto"/>
              </w:rPr>
            </w:pPr>
            <w:r>
              <w:rPr>
                <w:rFonts w:ascii="Arial" w:cs="Arial" w:eastAsia="Arial" w:hAnsi="Arial"/>
                <w:sz w:val="16"/>
                <w:szCs w:val="16"/>
                <w:color w:val="auto"/>
              </w:rPr>
              <w:t>181,692</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336,530</w:t>
            </w:r>
          </w:p>
        </w:tc>
        <w:tc>
          <w:tcPr>
            <w:tcW w:w="11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Provision for loan losses, net of recoveries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49,116</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2,858</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(31,509)</w:t>
            </w:r>
          </w:p>
        </w:tc>
        <w:tc>
          <w:tcPr>
            <w:tcW w:w="860" w:type="dxa"/>
            <w:vAlign w:val="bottom"/>
          </w:tcPr>
          <w:p>
            <w:pPr>
              <w:jc w:val="center"/>
              <w:spacing w:after="0"/>
              <w:rPr>
                <w:sz w:val="20"/>
                <w:szCs w:val="20"/>
                <w:color w:val="auto"/>
              </w:rPr>
            </w:pPr>
            <w:r>
              <w:rPr>
                <w:rFonts w:ascii="Arial" w:cs="Arial" w:eastAsia="Arial" w:hAnsi="Arial"/>
                <w:sz w:val="16"/>
                <w:szCs w:val="16"/>
                <w:color w:val="auto"/>
              </w:rPr>
              <w:t>-1202.4%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-164.2%</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(245,311)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(5,535)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Net interest income after provisions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129,012</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84,015</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50,577</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-39.8%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-60.8%</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-63,619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330,995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Non-financial income</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37,598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39,645</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43,982</w:t>
            </w:r>
          </w:p>
        </w:tc>
        <w:tc>
          <w:tcPr>
            <w:tcW w:w="860" w:type="dxa"/>
            <w:vAlign w:val="bottom"/>
          </w:tcPr>
          <w:p>
            <w:pPr>
              <w:jc w:val="center"/>
              <w:spacing w:after="0"/>
              <w:rPr>
                <w:sz w:val="20"/>
                <w:szCs w:val="20"/>
                <w:color w:val="auto"/>
              </w:rPr>
            </w:pPr>
            <w:r>
              <w:rPr>
                <w:rFonts w:ascii="Arial" w:cs="Arial" w:eastAsia="Arial" w:hAnsi="Arial"/>
                <w:sz w:val="16"/>
                <w:szCs w:val="16"/>
                <w:color w:val="auto"/>
              </w:rPr>
              <w:t>10.9%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17.0%</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110,151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166,326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(127,985)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(72,563)</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(44,296)</w:t>
            </w:r>
          </w:p>
        </w:tc>
        <w:tc>
          <w:tcPr>
            <w:tcW w:w="860" w:type="dxa"/>
            <w:vAlign w:val="bottom"/>
          </w:tcPr>
          <w:p>
            <w:pPr>
              <w:jc w:val="center"/>
              <w:spacing w:after="0"/>
              <w:rPr>
                <w:sz w:val="20"/>
                <w:szCs w:val="20"/>
                <w:color w:val="auto"/>
              </w:rPr>
            </w:pPr>
            <w:r>
              <w:rPr>
                <w:rFonts w:ascii="Arial" w:cs="Arial" w:eastAsia="Arial" w:hAnsi="Arial"/>
                <w:sz w:val="16"/>
                <w:szCs w:val="16"/>
                <w:color w:val="auto"/>
              </w:rPr>
              <w:t>-39.0%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-65.4%</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(260,356)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(361,989)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Translation result</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(41)</w:t>
            </w:r>
          </w:p>
        </w:tc>
        <w:tc>
          <w:tcPr>
            <w:tcW w:w="860" w:type="dxa"/>
            <w:vAlign w:val="bottom"/>
          </w:tcPr>
          <w:p>
            <w:pPr>
              <w:jc w:val="center"/>
              <w:spacing w:after="0"/>
              <w:rPr>
                <w:sz w:val="20"/>
                <w:szCs w:val="20"/>
                <w:color w:val="auto"/>
              </w:rPr>
            </w:pPr>
            <w:r>
              <w:rPr>
                <w:rFonts w:ascii="Arial" w:cs="Arial" w:eastAsia="Arial" w:hAnsi="Arial"/>
                <w:sz w:val="16"/>
                <w:szCs w:val="16"/>
                <w:color w:val="auto"/>
              </w:rPr>
              <w:t>-343.2%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-297.3%</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134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(23,486)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(30,640)</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(33,364)</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8.9%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42.1%</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139,434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(62,994)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20"/>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15,161</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20,474</w:t>
            </w:r>
          </w:p>
        </w:tc>
        <w:tc>
          <w:tcPr>
            <w:tcW w:w="9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16,859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17.7%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11.2%</w:t>
            </w: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(74,257)</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72,267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Efficiency ratio</w:t>
            </w:r>
          </w:p>
        </w:tc>
        <w:tc>
          <w:tcPr>
            <w:tcW w:w="140" w:type="dxa"/>
            <w:vAlign w:val="bottom"/>
          </w:tcPr>
          <w:p>
            <w:pPr>
              <w:spacing w:after="0"/>
              <w:rPr>
                <w:sz w:val="15"/>
                <w:szCs w:val="15"/>
                <w:color w:val="auto"/>
              </w:rPr>
            </w:pPr>
          </w:p>
        </w:tc>
        <w:tc>
          <w:tcPr>
            <w:tcW w:w="860" w:type="dxa"/>
            <w:vAlign w:val="bottom"/>
            <w:gridSpan w:val="2"/>
          </w:tcPr>
          <w:p>
            <w:pPr>
              <w:jc w:val="right"/>
              <w:spacing w:after="0" w:line="174" w:lineRule="exact"/>
              <w:rPr>
                <w:sz w:val="20"/>
                <w:szCs w:val="20"/>
                <w:color w:val="auto"/>
              </w:rPr>
            </w:pPr>
            <w:r>
              <w:rPr>
                <w:rFonts w:ascii="Arial" w:cs="Arial" w:eastAsia="Arial" w:hAnsi="Arial"/>
                <w:sz w:val="16"/>
                <w:szCs w:val="16"/>
                <w:color w:val="auto"/>
              </w:rPr>
              <w:t>58.9%</w:t>
            </w:r>
          </w:p>
        </w:tc>
        <w:tc>
          <w:tcPr>
            <w:tcW w:w="380" w:type="dxa"/>
            <w:vAlign w:val="bottom"/>
          </w:tcPr>
          <w:p>
            <w:pPr>
              <w:spacing w:after="0"/>
              <w:rPr>
                <w:sz w:val="15"/>
                <w:szCs w:val="15"/>
                <w:color w:val="auto"/>
              </w:rPr>
            </w:pP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59.9%</w:t>
            </w:r>
          </w:p>
        </w:tc>
        <w:tc>
          <w:tcPr>
            <w:tcW w:w="90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58.0%</w:t>
            </w:r>
          </w:p>
        </w:tc>
        <w:tc>
          <w:tcPr>
            <w:tcW w:w="860" w:type="dxa"/>
            <w:vAlign w:val="bottom"/>
          </w:tcPr>
          <w:p>
            <w:pPr>
              <w:jc w:val="center"/>
              <w:spacing w:after="0" w:line="174" w:lineRule="exact"/>
              <w:rPr>
                <w:sz w:val="20"/>
                <w:szCs w:val="20"/>
                <w:color w:val="auto"/>
              </w:rPr>
            </w:pPr>
            <w:r>
              <w:rPr>
                <w:rFonts w:ascii="Arial" w:cs="Arial" w:eastAsia="Arial" w:hAnsi="Arial"/>
                <w:sz w:val="16"/>
                <w:szCs w:val="16"/>
                <w:color w:val="auto"/>
              </w:rPr>
              <w:t>-190 pbs</w:t>
            </w:r>
          </w:p>
        </w:tc>
        <w:tc>
          <w:tcPr>
            <w:tcW w:w="10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-90 pbs</w:t>
            </w:r>
          </w:p>
        </w:tc>
        <w:tc>
          <w:tcPr>
            <w:tcW w:w="1180" w:type="dxa"/>
            <w:vAlign w:val="bottom"/>
            <w:gridSpan w:val="2"/>
          </w:tcPr>
          <w:p>
            <w:pPr>
              <w:jc w:val="right"/>
              <w:ind w:right="240"/>
              <w:spacing w:after="0" w:line="174" w:lineRule="exact"/>
              <w:rPr>
                <w:sz w:val="20"/>
                <w:szCs w:val="20"/>
                <w:color w:val="auto"/>
              </w:rPr>
            </w:pPr>
            <w:r>
              <w:rPr>
                <w:rFonts w:ascii="Arial" w:cs="Arial" w:eastAsia="Arial" w:hAnsi="Arial"/>
                <w:sz w:val="16"/>
                <w:szCs w:val="16"/>
                <w:color w:val="auto"/>
              </w:rPr>
              <w:t>59.3%</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58.9%</w:t>
            </w:r>
          </w:p>
        </w:tc>
        <w:tc>
          <w:tcPr>
            <w:tcW w:w="11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-40 pbs</w:t>
            </w:r>
          </w:p>
        </w:tc>
        <w:tc>
          <w:tcPr>
            <w:tcW w:w="0" w:type="dxa"/>
            <w:vAlign w:val="bottom"/>
          </w:tcPr>
          <w:p>
            <w:pPr>
              <w:spacing w:after="0"/>
              <w:rPr>
                <w:sz w:val="1"/>
                <w:szCs w:val="1"/>
                <w:color w:val="auto"/>
              </w:rPr>
            </w:pPr>
          </w:p>
        </w:tc>
      </w:tr>
      <w:tr>
        <w:trPr>
          <w:trHeight w:val="208"/>
        </w:trPr>
        <w:tc>
          <w:tcPr>
            <w:tcW w:w="3420" w:type="dxa"/>
            <w:vAlign w:val="bottom"/>
            <w:tcBorders>
              <w:left w:val="single" w:sz="8" w:color="auto"/>
              <w:right w:val="single" w:sz="8" w:color="auto"/>
            </w:tcBorders>
          </w:tcPr>
          <w:p>
            <w:pPr>
              <w:ind w:left="20"/>
              <w:spacing w:after="0" w:line="204" w:lineRule="exact"/>
              <w:rPr>
                <w:sz w:val="20"/>
                <w:szCs w:val="20"/>
                <w:color w:val="auto"/>
              </w:rPr>
            </w:pPr>
            <w:r>
              <w:rPr>
                <w:rFonts w:ascii="Arial" w:cs="Arial" w:eastAsia="Arial" w:hAnsi="Arial"/>
                <w:sz w:val="18"/>
                <w:szCs w:val="18"/>
                <w:color w:val="auto"/>
              </w:rPr>
              <w:t>ROAE</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8.4%</w:t>
            </w:r>
          </w:p>
        </w:tc>
        <w:tc>
          <w:tcPr>
            <w:tcW w:w="860" w:type="dxa"/>
            <w:vAlign w:val="bottom"/>
          </w:tcPr>
          <w:p>
            <w:pPr>
              <w:jc w:val="center"/>
              <w:spacing w:after="0"/>
              <w:rPr>
                <w:sz w:val="20"/>
                <w:szCs w:val="20"/>
                <w:color w:val="auto"/>
              </w:rPr>
            </w:pPr>
            <w:r>
              <w:rPr>
                <w:rFonts w:ascii="Arial" w:cs="Arial" w:eastAsia="Arial" w:hAnsi="Arial"/>
                <w:sz w:val="16"/>
                <w:szCs w:val="16"/>
                <w:color w:val="auto"/>
              </w:rPr>
              <w:t>-170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 pbs</w:t>
            </w: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-10.4%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1987 pbs</w:t>
            </w:r>
          </w:p>
        </w:tc>
        <w:tc>
          <w:tcPr>
            <w:tcW w:w="0" w:type="dxa"/>
            <w:vAlign w:val="bottom"/>
          </w:tcPr>
          <w:p>
            <w:pPr>
              <w:spacing w:after="0"/>
              <w:rPr>
                <w:sz w:val="1"/>
                <w:szCs w:val="1"/>
                <w:color w:val="auto"/>
              </w:rPr>
            </w:pPr>
          </w:p>
        </w:tc>
      </w:tr>
      <w:tr>
        <w:trPr>
          <w:trHeight w:val="161"/>
        </w:trPr>
        <w:tc>
          <w:tcPr>
            <w:tcW w:w="342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8"/>
                <w:szCs w:val="18"/>
                <w:color w:val="auto"/>
              </w:rPr>
              <w:t>L/D ratio</w:t>
            </w:r>
          </w:p>
        </w:tc>
        <w:tc>
          <w:tcPr>
            <w:tcW w:w="140" w:type="dxa"/>
            <w:vAlign w:val="bottom"/>
          </w:tcPr>
          <w:p>
            <w:pPr>
              <w:spacing w:after="0"/>
              <w:rPr>
                <w:sz w:val="14"/>
                <w:szCs w:val="14"/>
                <w:color w:val="auto"/>
              </w:rPr>
            </w:pPr>
          </w:p>
        </w:tc>
        <w:tc>
          <w:tcPr>
            <w:tcW w:w="860" w:type="dxa"/>
            <w:vAlign w:val="bottom"/>
            <w:gridSpan w:val="2"/>
          </w:tcPr>
          <w:p>
            <w:pPr>
              <w:jc w:val="right"/>
              <w:spacing w:after="0" w:line="161" w:lineRule="exact"/>
              <w:rPr>
                <w:sz w:val="20"/>
                <w:szCs w:val="20"/>
                <w:color w:val="auto"/>
              </w:rPr>
            </w:pPr>
            <w:r>
              <w:rPr>
                <w:rFonts w:ascii="Arial" w:cs="Arial" w:eastAsia="Arial" w:hAnsi="Arial"/>
                <w:sz w:val="16"/>
                <w:szCs w:val="16"/>
                <w:color w:val="auto"/>
              </w:rPr>
              <w:t>83.2%</w:t>
            </w:r>
          </w:p>
        </w:tc>
        <w:tc>
          <w:tcPr>
            <w:tcW w:w="38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83.3%</w:t>
            </w:r>
          </w:p>
        </w:tc>
        <w:tc>
          <w:tcPr>
            <w:tcW w:w="90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84.0%</w:t>
            </w:r>
          </w:p>
        </w:tc>
        <w:tc>
          <w:tcPr>
            <w:tcW w:w="860" w:type="dxa"/>
            <w:vAlign w:val="bottom"/>
          </w:tcPr>
          <w:p>
            <w:pPr>
              <w:jc w:val="center"/>
              <w:spacing w:after="0" w:line="161" w:lineRule="exact"/>
              <w:rPr>
                <w:sz w:val="20"/>
                <w:szCs w:val="20"/>
                <w:color w:val="auto"/>
              </w:rPr>
            </w:pPr>
            <w:r>
              <w:rPr>
                <w:rFonts w:ascii="Arial" w:cs="Arial" w:eastAsia="Arial" w:hAnsi="Arial"/>
                <w:sz w:val="16"/>
                <w:szCs w:val="16"/>
                <w:color w:val="auto"/>
                <w:w w:val="99"/>
              </w:rPr>
              <w:t>70 pbs</w:t>
            </w:r>
          </w:p>
        </w:tc>
        <w:tc>
          <w:tcPr>
            <w:tcW w:w="10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color w:val="auto"/>
              </w:rPr>
              <w:t>87 pbs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IOL ratio</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1.92%</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2.07%</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20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85 pbs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NPL ratio</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2.40%</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74 pbs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Coverage of IOLs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387.4%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236.4%</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216.5%</w:t>
            </w:r>
          </w:p>
        </w:tc>
        <w:tc>
          <w:tcPr>
            <w:tcW w:w="860" w:type="dxa"/>
            <w:vAlign w:val="bottom"/>
          </w:tcPr>
          <w:p>
            <w:pPr>
              <w:jc w:val="center"/>
              <w:spacing w:after="0"/>
              <w:rPr>
                <w:sz w:val="20"/>
                <w:szCs w:val="20"/>
                <w:color w:val="auto"/>
              </w:rPr>
            </w:pPr>
            <w:r>
              <w:rPr>
                <w:rFonts w:ascii="Arial" w:cs="Arial" w:eastAsia="Arial" w:hAnsi="Arial"/>
                <w:sz w:val="16"/>
                <w:szCs w:val="16"/>
                <w:color w:val="auto"/>
              </w:rPr>
              <w:t>-1990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-17098 pbs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Coverage of NPLs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284.6%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199.3%</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187.4%</w:t>
            </w:r>
          </w:p>
        </w:tc>
        <w:tc>
          <w:tcPr>
            <w:tcW w:w="860" w:type="dxa"/>
            <w:vAlign w:val="bottom"/>
          </w:tcPr>
          <w:p>
            <w:pPr>
              <w:jc w:val="center"/>
              <w:spacing w:after="0"/>
              <w:rPr>
                <w:sz w:val="20"/>
                <w:szCs w:val="20"/>
                <w:color w:val="auto"/>
              </w:rPr>
            </w:pPr>
            <w:r>
              <w:rPr>
                <w:rFonts w:ascii="Arial" w:cs="Arial" w:eastAsia="Arial" w:hAnsi="Arial"/>
                <w:sz w:val="16"/>
                <w:szCs w:val="16"/>
                <w:color w:val="auto"/>
              </w:rPr>
              <w:t>-1190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-9729 pbs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Branches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45</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Agentes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851</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1078</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1090</w:t>
            </w:r>
          </w:p>
        </w:tc>
        <w:tc>
          <w:tcPr>
            <w:tcW w:w="860" w:type="dxa"/>
            <w:vAlign w:val="bottom"/>
          </w:tcPr>
          <w:p>
            <w:pPr>
              <w:jc w:val="center"/>
              <w:spacing w:after="0"/>
              <w:rPr>
                <w:sz w:val="20"/>
                <w:szCs w:val="20"/>
                <w:color w:val="auto"/>
              </w:rPr>
            </w:pPr>
            <w:r>
              <w:rPr>
                <w:rFonts w:ascii="Arial" w:cs="Arial" w:eastAsia="Arial" w:hAnsi="Arial"/>
                <w:sz w:val="16"/>
                <w:szCs w:val="16"/>
                <w:color w:val="auto"/>
              </w:rPr>
              <w:t>12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239</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ATMs</w:t>
            </w: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305</w:t>
            </w: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310</w:t>
            </w:r>
          </w:p>
        </w:tc>
        <w:tc>
          <w:tcPr>
            <w:tcW w:w="9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312</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1,564</w:t>
            </w: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9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1,604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40</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39"/>
        </w:trPr>
        <w:tc>
          <w:tcPr>
            <w:tcW w:w="3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13" w:right="319" w:bottom="1440" w:gutter="0" w:footer="0" w:header="0"/>
        </w:sectPr>
      </w:pPr>
    </w:p>
    <w:bookmarkStart w:id="64" w:name="page65"/>
    <w:bookmarkEnd w:id="64"/>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12.5.6. Mibanco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MIBANCO</w:t>
      </w: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34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top w:val="single" w:sz="8" w:color="auto"/>
              <w:bottom w:val="single" w:sz="8" w:color="2AD2C9"/>
            </w:tcBorders>
            <w:shd w:val="clear" w:color="auto" w:fill="2AD2C9"/>
          </w:tcPr>
          <w:p>
            <w:pPr>
              <w:spacing w:after="0"/>
              <w:rPr>
                <w:sz w:val="17"/>
                <w:szCs w:val="17"/>
                <w:color w:val="auto"/>
              </w:rPr>
            </w:pPr>
          </w:p>
        </w:tc>
        <w:tc>
          <w:tcPr>
            <w:tcW w:w="300" w:type="dxa"/>
            <w:vAlign w:val="bottom"/>
            <w:tcBorders>
              <w:top w:val="single" w:sz="8" w:color="auto"/>
              <w:bottom w:val="single" w:sz="8" w:color="2AD2C9"/>
            </w:tcBorders>
            <w:shd w:val="clear" w:color="auto" w:fill="2AD2C9"/>
          </w:tcPr>
          <w:p>
            <w:pPr>
              <w:spacing w:after="0"/>
              <w:rPr>
                <w:sz w:val="17"/>
                <w:szCs w:val="17"/>
                <w:color w:val="auto"/>
              </w:rPr>
            </w:pPr>
          </w:p>
        </w:tc>
        <w:tc>
          <w:tcPr>
            <w:tcW w:w="1500" w:type="dxa"/>
            <w:vAlign w:val="bottom"/>
            <w:tcBorders>
              <w:top w:val="single" w:sz="8" w:color="auto"/>
              <w:bottom w:val="single" w:sz="8" w:color="2AD2C9"/>
              <w:right w:val="single" w:sz="8" w:color="2AD2C9"/>
            </w:tcBorders>
            <w:gridSpan w:val="2"/>
            <w:shd w:val="clear" w:color="auto" w:fill="2AD2C9"/>
          </w:tcPr>
          <w:p>
            <w:pPr>
              <w:jc w:val="right"/>
              <w:ind w:right="591"/>
              <w:spacing w:after="0" w:line="198" w:lineRule="exact"/>
              <w:rPr>
                <w:sz w:val="20"/>
                <w:szCs w:val="20"/>
                <w:color w:val="auto"/>
              </w:rPr>
            </w:pPr>
            <w:r>
              <w:rPr>
                <w:rFonts w:ascii="Arial" w:cs="Arial" w:eastAsia="Arial" w:hAnsi="Arial"/>
                <w:sz w:val="18"/>
                <w:szCs w:val="18"/>
                <w:b w:val="1"/>
                <w:bCs w:val="1"/>
                <w:color w:val="FFFFFF"/>
              </w:rPr>
              <w:t>As of</w:t>
            </w:r>
          </w:p>
        </w:tc>
        <w:tc>
          <w:tcPr>
            <w:tcW w:w="900" w:type="dxa"/>
            <w:vAlign w:val="bottom"/>
            <w:tcBorders>
              <w:top w:val="single" w:sz="8" w:color="auto"/>
              <w:bottom w:val="single" w:sz="8" w:color="2AD2C9"/>
              <w:right w:val="single" w:sz="8" w:color="auto"/>
            </w:tcBorders>
            <w:shd w:val="clear" w:color="auto" w:fill="2AD2C9"/>
          </w:tcPr>
          <w:p>
            <w:pPr>
              <w:spacing w:after="0"/>
              <w:rPr>
                <w:sz w:val="17"/>
                <w:szCs w:val="17"/>
                <w:color w:val="auto"/>
              </w:rPr>
            </w:pPr>
          </w:p>
        </w:tc>
        <w:tc>
          <w:tcPr>
            <w:tcW w:w="100" w:type="dxa"/>
            <w:vAlign w:val="bottom"/>
            <w:tcBorders>
              <w:top w:val="single" w:sz="8" w:color="auto"/>
              <w:bottom w:val="single" w:sz="8" w:color="2AD2C9"/>
            </w:tcBorders>
            <w:shd w:val="clear" w:color="auto" w:fill="2AD2C9"/>
          </w:tcPr>
          <w:p>
            <w:pPr>
              <w:spacing w:after="0"/>
              <w:rPr>
                <w:sz w:val="17"/>
                <w:szCs w:val="17"/>
                <w:color w:val="auto"/>
              </w:rPr>
            </w:pPr>
          </w:p>
        </w:tc>
        <w:tc>
          <w:tcPr>
            <w:tcW w:w="1720" w:type="dxa"/>
            <w:vAlign w:val="bottom"/>
            <w:tcBorders>
              <w:top w:val="single" w:sz="8" w:color="auto"/>
              <w:bottom w:val="single" w:sz="8" w:color="2AD2C9"/>
              <w:right w:val="single" w:sz="8" w:color="2AD2C9"/>
            </w:tcBorders>
            <w:gridSpan w:val="2"/>
            <w:shd w:val="clear" w:color="auto" w:fill="2AD2C9"/>
          </w:tcPr>
          <w:p>
            <w:pPr>
              <w:jc w:val="right"/>
              <w:ind w:right="411"/>
              <w:spacing w:after="0" w:line="198" w:lineRule="exact"/>
              <w:rPr>
                <w:sz w:val="20"/>
                <w:szCs w:val="20"/>
                <w:color w:val="auto"/>
              </w:rPr>
            </w:pPr>
            <w:r>
              <w:rPr>
                <w:rFonts w:ascii="Arial" w:cs="Arial" w:eastAsia="Arial" w:hAnsi="Arial"/>
                <w:sz w:val="18"/>
                <w:szCs w:val="18"/>
                <w:b w:val="1"/>
                <w:bCs w:val="1"/>
                <w:color w:val="FFFFFF"/>
              </w:rPr>
              <w:t>% change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shd w:val="clear" w:color="auto" w:fill="2AD2C9"/>
          </w:tcPr>
          <w:p>
            <w:pPr>
              <w:jc w:val="right"/>
              <w:spacing w:after="0" w:line="195" w:lineRule="exact"/>
              <w:rPr>
                <w:sz w:val="20"/>
                <w:szCs w:val="20"/>
                <w:color w:val="auto"/>
              </w:rPr>
            </w:pPr>
            <w:r>
              <w:rPr>
                <w:rFonts w:ascii="Arial" w:cs="Arial" w:eastAsia="Arial" w:hAnsi="Arial"/>
                <w:sz w:val="18"/>
                <w:szCs w:val="18"/>
                <w:b w:val="1"/>
                <w:bCs w:val="1"/>
                <w:color w:val="FFFFFF"/>
              </w:rPr>
              <w:t>Jun 21</w:t>
            </w:r>
          </w:p>
        </w:tc>
        <w:tc>
          <w:tcPr>
            <w:tcW w:w="300" w:type="dxa"/>
            <w:vAlign w:val="bottom"/>
            <w:tcBorders>
              <w:bottom w:val="single" w:sz="8" w:color="auto"/>
            </w:tcBorders>
            <w:shd w:val="clear" w:color="auto" w:fill="2AD2C9"/>
          </w:tcPr>
          <w:p>
            <w:pPr>
              <w:spacing w:after="0"/>
              <w:rPr>
                <w:sz w:val="17"/>
                <w:szCs w:val="17"/>
                <w:color w:val="auto"/>
              </w:rPr>
            </w:pPr>
          </w:p>
        </w:tc>
        <w:tc>
          <w:tcPr>
            <w:tcW w:w="1500" w:type="dxa"/>
            <w:vAlign w:val="bottom"/>
            <w:tcBorders>
              <w:bottom w:val="single" w:sz="8" w:color="auto"/>
              <w:right w:val="single" w:sz="8" w:color="2AD2C9"/>
            </w:tcBorders>
            <w:gridSpan w:val="2"/>
            <w:shd w:val="clear" w:color="auto" w:fill="2AD2C9"/>
          </w:tcPr>
          <w:p>
            <w:pPr>
              <w:jc w:val="right"/>
              <w:ind w:right="531"/>
              <w:spacing w:after="0" w:line="195" w:lineRule="exact"/>
              <w:rPr>
                <w:sz w:val="20"/>
                <w:szCs w:val="20"/>
                <w:color w:val="auto"/>
              </w:rPr>
            </w:pPr>
            <w:r>
              <w:rPr>
                <w:rFonts w:ascii="Arial" w:cs="Arial" w:eastAsia="Arial" w:hAnsi="Arial"/>
                <w:sz w:val="18"/>
                <w:szCs w:val="18"/>
                <w:b w:val="1"/>
                <w:bCs w:val="1"/>
                <w:color w:val="FFFFFF"/>
              </w:rPr>
              <w:t>Mar 22</w:t>
            </w:r>
          </w:p>
        </w:tc>
        <w:tc>
          <w:tcPr>
            <w:tcW w:w="900" w:type="dxa"/>
            <w:vAlign w:val="bottom"/>
            <w:tcBorders>
              <w:bottom w:val="single" w:sz="8" w:color="auto"/>
              <w:right w:val="single" w:sz="8" w:color="auto"/>
            </w:tcBorders>
            <w:shd w:val="clear" w:color="auto" w:fill="2AD2C9"/>
          </w:tcPr>
          <w:p>
            <w:pPr>
              <w:jc w:val="right"/>
              <w:ind w:right="251"/>
              <w:spacing w:after="0" w:line="195" w:lineRule="exact"/>
              <w:rPr>
                <w:sz w:val="20"/>
                <w:szCs w:val="20"/>
                <w:color w:val="auto"/>
              </w:rPr>
            </w:pPr>
            <w:r>
              <w:rPr>
                <w:rFonts w:ascii="Arial" w:cs="Arial" w:eastAsia="Arial" w:hAnsi="Arial"/>
                <w:sz w:val="18"/>
                <w:szCs w:val="18"/>
                <w:b w:val="1"/>
                <w:bCs w:val="1"/>
                <w:color w:val="FFFFFF"/>
                <w:w w:val="94"/>
              </w:rPr>
              <w:t>Jun 22</w:t>
            </w:r>
          </w:p>
        </w:tc>
        <w:tc>
          <w:tcPr>
            <w:tcW w:w="100" w:type="dxa"/>
            <w:vAlign w:val="bottom"/>
            <w:tcBorders>
              <w:bottom w:val="single" w:sz="8" w:color="auto"/>
            </w:tcBorders>
            <w:shd w:val="clear" w:color="auto" w:fill="2AD2C9"/>
          </w:tcPr>
          <w:p>
            <w:pPr>
              <w:spacing w:after="0"/>
              <w:rPr>
                <w:sz w:val="17"/>
                <w:szCs w:val="17"/>
                <w:color w:val="auto"/>
              </w:rPr>
            </w:pPr>
          </w:p>
        </w:tc>
        <w:tc>
          <w:tcPr>
            <w:tcW w:w="900" w:type="dxa"/>
            <w:vAlign w:val="bottom"/>
            <w:tcBorders>
              <w:bottom w:val="single" w:sz="8" w:color="auto"/>
              <w:right w:val="single" w:sz="8" w:color="2AD2C9"/>
            </w:tcBorders>
            <w:shd w:val="clear" w:color="auto" w:fill="2AD2C9"/>
          </w:tcPr>
          <w:p>
            <w:pPr>
              <w:jc w:val="right"/>
              <w:ind w:right="271"/>
              <w:spacing w:after="0" w:line="195" w:lineRule="exact"/>
              <w:rPr>
                <w:sz w:val="20"/>
                <w:szCs w:val="20"/>
                <w:color w:val="auto"/>
              </w:rPr>
            </w:pPr>
            <w:r>
              <w:rPr>
                <w:rFonts w:ascii="Arial" w:cs="Arial" w:eastAsia="Arial" w:hAnsi="Arial"/>
                <w:sz w:val="18"/>
                <w:szCs w:val="18"/>
                <w:b w:val="1"/>
                <w:bCs w:val="1"/>
                <w:color w:val="FFFFFF"/>
              </w:rPr>
              <w:t>QoQ</w:t>
            </w:r>
          </w:p>
        </w:tc>
        <w:tc>
          <w:tcPr>
            <w:tcW w:w="820" w:type="dxa"/>
            <w:vAlign w:val="bottom"/>
            <w:tcBorders>
              <w:bottom w:val="single" w:sz="8" w:color="auto"/>
              <w:right w:val="single" w:sz="8" w:color="auto"/>
            </w:tcBorders>
            <w:shd w:val="clear" w:color="auto" w:fill="2AD2C9"/>
          </w:tcPr>
          <w:p>
            <w:pPr>
              <w:jc w:val="right"/>
              <w:ind w:right="211"/>
              <w:spacing w:after="0" w:line="195" w:lineRule="exact"/>
              <w:rPr>
                <w:sz w:val="20"/>
                <w:szCs w:val="20"/>
                <w:color w:val="auto"/>
              </w:rPr>
            </w:pPr>
            <w:r>
              <w:rPr>
                <w:rFonts w:ascii="Arial" w:cs="Arial" w:eastAsia="Arial" w:hAnsi="Arial"/>
                <w:sz w:val="18"/>
                <w:szCs w:val="18"/>
                <w:b w:val="1"/>
                <w:bCs w:val="1"/>
                <w:color w:val="FFFFFF"/>
              </w:rPr>
              <w:t>YoY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0" w:type="dxa"/>
            <w:vAlign w:val="bottom"/>
            <w:tcBorders>
              <w:left w:val="single" w:sz="8" w:color="auto"/>
              <w:right w:val="single" w:sz="8" w:color="auto"/>
            </w:tcBorders>
            <w:gridSpan w:val="2"/>
          </w:tcPr>
          <w:p>
            <w:pPr>
              <w:ind w:left="20"/>
              <w:spacing w:after="0" w:line="174" w:lineRule="exact"/>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Cash and due from banks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1,477,527</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1,400,085</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1,242,267</w:t>
            </w:r>
          </w:p>
        </w:tc>
        <w:tc>
          <w:tcPr>
            <w:tcW w:w="100" w:type="dxa"/>
            <w:vAlign w:val="bottom"/>
          </w:tcPr>
          <w:p>
            <w:pPr>
              <w:spacing w:after="0"/>
              <w:rPr>
                <w:sz w:val="16"/>
                <w:szCs w:val="16"/>
                <w:color w:val="auto"/>
              </w:rPr>
            </w:pPr>
          </w:p>
        </w:tc>
        <w:tc>
          <w:tcPr>
            <w:tcW w:w="9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94"/>
              </w:rPr>
              <w:t>-11.3%</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-15.9%</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Investments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1,533,808</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1,746,228</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1,597,228</w:t>
            </w:r>
          </w:p>
        </w:tc>
        <w:tc>
          <w:tcPr>
            <w:tcW w:w="100" w:type="dxa"/>
            <w:vAlign w:val="bottom"/>
          </w:tcPr>
          <w:p>
            <w:pPr>
              <w:spacing w:after="0"/>
              <w:rPr>
                <w:sz w:val="16"/>
                <w:szCs w:val="16"/>
                <w:color w:val="auto"/>
              </w:rPr>
            </w:pPr>
          </w:p>
        </w:tc>
        <w:tc>
          <w:tcPr>
            <w:tcW w:w="9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97"/>
              </w:rPr>
              <w:t>-8.5%</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7"/>
              </w:rPr>
              <w:t>4.1%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Total loans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13,039,316</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b w:val="1"/>
                <w:bCs w:val="1"/>
                <w:color w:val="auto"/>
              </w:rPr>
              <w:t>13,983,905</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5"/>
              </w:rPr>
              <w:t>14,434,898</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b w:val="1"/>
                <w:bCs w:val="1"/>
                <w:color w:val="auto"/>
                <w:w w:val="97"/>
              </w:rPr>
              <w:t>3.2%</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b w:val="1"/>
                <w:bCs w:val="1"/>
                <w:color w:val="auto"/>
                <w:w w:val="97"/>
              </w:rPr>
              <w:t>10.7%</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Current</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11,824,810</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12,965,841</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13,379,071</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3.2%</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color w:val="auto"/>
                <w:w w:val="97"/>
              </w:rPr>
              <w:t>13.1%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Internal overdue loans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1,158,977</w:t>
            </w:r>
          </w:p>
        </w:tc>
        <w:tc>
          <w:tcPr>
            <w:tcW w:w="520" w:type="dxa"/>
            <w:vAlign w:val="bottom"/>
          </w:tcPr>
          <w:p>
            <w:pPr>
              <w:spacing w:after="0"/>
              <w:rPr>
                <w:sz w:val="16"/>
                <w:szCs w:val="16"/>
                <w:color w:val="auto"/>
              </w:rPr>
            </w:pPr>
          </w:p>
        </w:tc>
        <w:tc>
          <w:tcPr>
            <w:tcW w:w="980" w:type="dxa"/>
            <w:vAlign w:val="bottom"/>
          </w:tcPr>
          <w:p>
            <w:pPr>
              <w:jc w:val="right"/>
              <w:ind w:right="231"/>
              <w:spacing w:after="0" w:line="195" w:lineRule="exact"/>
              <w:rPr>
                <w:sz w:val="20"/>
                <w:szCs w:val="20"/>
                <w:color w:val="auto"/>
              </w:rPr>
            </w:pPr>
            <w:r>
              <w:rPr>
                <w:rFonts w:ascii="Arial" w:cs="Arial" w:eastAsia="Arial" w:hAnsi="Arial"/>
                <w:sz w:val="18"/>
                <w:szCs w:val="18"/>
                <w:color w:val="auto"/>
                <w:w w:val="98"/>
              </w:rPr>
              <w:t>951,029</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979,685</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3.0%</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-15.5%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Refinanced</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55,529</w:t>
            </w:r>
          </w:p>
        </w:tc>
        <w:tc>
          <w:tcPr>
            <w:tcW w:w="520" w:type="dxa"/>
            <w:vAlign w:val="bottom"/>
          </w:tcPr>
          <w:p>
            <w:pPr>
              <w:spacing w:after="0"/>
              <w:rPr>
                <w:sz w:val="16"/>
                <w:szCs w:val="16"/>
                <w:color w:val="auto"/>
              </w:rPr>
            </w:pPr>
          </w:p>
        </w:tc>
        <w:tc>
          <w:tcPr>
            <w:tcW w:w="98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67,035</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76,142</w:t>
            </w:r>
          </w:p>
        </w:tc>
        <w:tc>
          <w:tcPr>
            <w:tcW w:w="100" w:type="dxa"/>
            <w:vAlign w:val="bottom"/>
          </w:tcPr>
          <w:p>
            <w:pPr>
              <w:spacing w:after="0"/>
              <w:rPr>
                <w:sz w:val="16"/>
                <w:szCs w:val="16"/>
                <w:color w:val="auto"/>
              </w:rPr>
            </w:pPr>
          </w:p>
        </w:tc>
        <w:tc>
          <w:tcPr>
            <w:tcW w:w="9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97"/>
              </w:rPr>
              <w:t>13.6%</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color w:val="auto"/>
                <w:w w:val="97"/>
              </w:rPr>
              <w:t>37.1%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Allowance for loan losses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-1,662,457</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-1,146,067</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-1,168,604</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2.0%</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-29.7%</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Net loans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11,376,859</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b w:val="1"/>
                <w:bCs w:val="1"/>
                <w:color w:val="auto"/>
              </w:rPr>
              <w:t>12,837,838</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5"/>
              </w:rPr>
              <w:t>13,266,294</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b w:val="1"/>
                <w:bCs w:val="1"/>
                <w:color w:val="auto"/>
                <w:w w:val="97"/>
              </w:rPr>
              <w:t>3.3%</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b w:val="1"/>
                <w:bCs w:val="1"/>
                <w:color w:val="auto"/>
                <w:w w:val="97"/>
              </w:rPr>
              <w:t>16.6%</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Property, plant and equipment, net</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148,899</w:t>
            </w:r>
          </w:p>
        </w:tc>
        <w:tc>
          <w:tcPr>
            <w:tcW w:w="520" w:type="dxa"/>
            <w:vAlign w:val="bottom"/>
          </w:tcPr>
          <w:p>
            <w:pPr>
              <w:spacing w:after="0"/>
              <w:rPr>
                <w:sz w:val="16"/>
                <w:szCs w:val="16"/>
                <w:color w:val="auto"/>
              </w:rPr>
            </w:pPr>
          </w:p>
        </w:tc>
        <w:tc>
          <w:tcPr>
            <w:tcW w:w="980" w:type="dxa"/>
            <w:vAlign w:val="bottom"/>
          </w:tcPr>
          <w:p>
            <w:pPr>
              <w:jc w:val="right"/>
              <w:ind w:right="231"/>
              <w:spacing w:after="0" w:line="195" w:lineRule="exact"/>
              <w:rPr>
                <w:sz w:val="20"/>
                <w:szCs w:val="20"/>
                <w:color w:val="auto"/>
              </w:rPr>
            </w:pPr>
            <w:r>
              <w:rPr>
                <w:rFonts w:ascii="Arial" w:cs="Arial" w:eastAsia="Arial" w:hAnsi="Arial"/>
                <w:sz w:val="18"/>
                <w:szCs w:val="18"/>
                <w:color w:val="auto"/>
                <w:w w:val="98"/>
              </w:rPr>
              <w:t>139,875</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136,399</w:t>
            </w:r>
          </w:p>
        </w:tc>
        <w:tc>
          <w:tcPr>
            <w:tcW w:w="100" w:type="dxa"/>
            <w:vAlign w:val="bottom"/>
          </w:tcPr>
          <w:p>
            <w:pPr>
              <w:spacing w:after="0"/>
              <w:rPr>
                <w:sz w:val="16"/>
                <w:szCs w:val="16"/>
                <w:color w:val="auto"/>
              </w:rPr>
            </w:pPr>
          </w:p>
        </w:tc>
        <w:tc>
          <w:tcPr>
            <w:tcW w:w="9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97"/>
              </w:rPr>
              <w:t>-2.5%</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color w:val="auto"/>
                <w:w w:val="97"/>
              </w:rPr>
              <w:t>-8.4%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Other assets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1,075,526</w:t>
            </w:r>
          </w:p>
        </w:tc>
        <w:tc>
          <w:tcPr>
            <w:tcW w:w="520" w:type="dxa"/>
            <w:vAlign w:val="bottom"/>
          </w:tcPr>
          <w:p>
            <w:pPr>
              <w:spacing w:after="0"/>
              <w:rPr>
                <w:sz w:val="16"/>
                <w:szCs w:val="16"/>
                <w:color w:val="auto"/>
              </w:rPr>
            </w:pPr>
          </w:p>
        </w:tc>
        <w:tc>
          <w:tcPr>
            <w:tcW w:w="980" w:type="dxa"/>
            <w:vAlign w:val="bottom"/>
          </w:tcPr>
          <w:p>
            <w:pPr>
              <w:jc w:val="right"/>
              <w:ind w:right="231"/>
              <w:spacing w:after="0" w:line="195" w:lineRule="exact"/>
              <w:rPr>
                <w:sz w:val="20"/>
                <w:szCs w:val="20"/>
                <w:color w:val="auto"/>
              </w:rPr>
            </w:pPr>
            <w:r>
              <w:rPr>
                <w:rFonts w:ascii="Arial" w:cs="Arial" w:eastAsia="Arial" w:hAnsi="Arial"/>
                <w:sz w:val="18"/>
                <w:szCs w:val="18"/>
                <w:color w:val="auto"/>
                <w:w w:val="98"/>
              </w:rPr>
              <w:t>854,944</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823,401</w:t>
            </w:r>
          </w:p>
        </w:tc>
        <w:tc>
          <w:tcPr>
            <w:tcW w:w="100" w:type="dxa"/>
            <w:vAlign w:val="bottom"/>
          </w:tcPr>
          <w:p>
            <w:pPr>
              <w:spacing w:after="0"/>
              <w:rPr>
                <w:sz w:val="16"/>
                <w:szCs w:val="16"/>
                <w:color w:val="auto"/>
              </w:rPr>
            </w:pPr>
          </w:p>
        </w:tc>
        <w:tc>
          <w:tcPr>
            <w:tcW w:w="9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97"/>
              </w:rPr>
              <w:t>-3.7%</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-23.4%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00" w:type="dxa"/>
            <w:vAlign w:val="bottom"/>
            <w:tcBorders>
              <w:left w:val="single" w:sz="8" w:color="auto"/>
              <w:right w:val="single" w:sz="8" w:color="auto"/>
            </w:tcBorders>
            <w:gridSpan w:val="2"/>
          </w:tcPr>
          <w:p>
            <w:pPr>
              <w:ind w:left="1300"/>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15,612,618</w:t>
            </w:r>
          </w:p>
        </w:tc>
        <w:tc>
          <w:tcPr>
            <w:tcW w:w="1500" w:type="dxa"/>
            <w:vAlign w:val="bottom"/>
            <w:gridSpan w:val="2"/>
          </w:tcPr>
          <w:p>
            <w:pPr>
              <w:jc w:val="right"/>
              <w:ind w:right="231"/>
              <w:spacing w:after="0"/>
              <w:rPr>
                <w:sz w:val="20"/>
                <w:szCs w:val="20"/>
                <w:color w:val="auto"/>
              </w:rPr>
            </w:pPr>
            <w:r>
              <w:rPr>
                <w:rFonts w:ascii="Arial" w:cs="Arial" w:eastAsia="Arial" w:hAnsi="Arial"/>
                <w:sz w:val="18"/>
                <w:szCs w:val="18"/>
                <w:b w:val="1"/>
                <w:bCs w:val="1"/>
                <w:color w:val="auto"/>
              </w:rPr>
              <w:t>16,978,970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17,065,588</w:t>
            </w:r>
          </w:p>
        </w:tc>
        <w:tc>
          <w:tcPr>
            <w:tcW w:w="100" w:type="dxa"/>
            <w:vAlign w:val="bottom"/>
          </w:tcPr>
          <w:p>
            <w:pPr>
              <w:spacing w:after="0"/>
              <w:rPr>
                <w:sz w:val="21"/>
                <w:szCs w:val="21"/>
                <w:color w:val="auto"/>
              </w:rPr>
            </w:pPr>
          </w:p>
        </w:tc>
        <w:tc>
          <w:tcPr>
            <w:tcW w:w="900" w:type="dxa"/>
            <w:vAlign w:val="bottom"/>
          </w:tcPr>
          <w:p>
            <w:pPr>
              <w:jc w:val="center"/>
              <w:ind w:right="91"/>
              <w:spacing w:after="0"/>
              <w:rPr>
                <w:sz w:val="20"/>
                <w:szCs w:val="20"/>
                <w:color w:val="auto"/>
              </w:rPr>
            </w:pPr>
            <w:r>
              <w:rPr>
                <w:rFonts w:ascii="Arial" w:cs="Arial" w:eastAsia="Arial" w:hAnsi="Arial"/>
                <w:sz w:val="18"/>
                <w:szCs w:val="18"/>
                <w:b w:val="1"/>
                <w:bCs w:val="1"/>
                <w:color w:val="auto"/>
                <w:w w:val="97"/>
              </w:rPr>
              <w:t>0.5%</w:t>
            </w:r>
          </w:p>
        </w:tc>
        <w:tc>
          <w:tcPr>
            <w:tcW w:w="82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7"/>
              </w:rPr>
              <w:t>9.3%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36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LIABILITIES AND NET SHAREHOLDERS'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140"/>
              <w:spacing w:after="0" w:line="195" w:lineRule="exact"/>
              <w:rPr>
                <w:sz w:val="20"/>
                <w:szCs w:val="20"/>
                <w:color w:val="auto"/>
              </w:rPr>
            </w:pPr>
            <w:r>
              <w:rPr>
                <w:rFonts w:ascii="Arial" w:cs="Arial" w:eastAsia="Arial" w:hAnsi="Arial"/>
                <w:sz w:val="18"/>
                <w:szCs w:val="18"/>
                <w:b w:val="1"/>
                <w:bCs w:val="1"/>
                <w:color w:val="auto"/>
              </w:rPr>
              <w:t>EQUITY</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Deposits and obligations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8,292,913</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8,782,960</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8,956,909</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2.0%</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7"/>
              </w:rPr>
              <w:t>8.0%</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Due to banks and correspondents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1,898,921</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2,952,092</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3,014,403</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2.1%</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color w:val="auto"/>
                <w:w w:val="97"/>
              </w:rPr>
              <w:t>58.7%</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Bonds and subordinated debt</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188,775</w:t>
            </w:r>
          </w:p>
        </w:tc>
        <w:tc>
          <w:tcPr>
            <w:tcW w:w="520" w:type="dxa"/>
            <w:vAlign w:val="bottom"/>
          </w:tcPr>
          <w:p>
            <w:pPr>
              <w:spacing w:after="0"/>
              <w:rPr>
                <w:sz w:val="16"/>
                <w:szCs w:val="16"/>
                <w:color w:val="auto"/>
              </w:rPr>
            </w:pPr>
          </w:p>
        </w:tc>
        <w:tc>
          <w:tcPr>
            <w:tcW w:w="980" w:type="dxa"/>
            <w:vAlign w:val="bottom"/>
          </w:tcPr>
          <w:p>
            <w:pPr>
              <w:jc w:val="right"/>
              <w:ind w:right="231"/>
              <w:spacing w:after="0" w:line="195" w:lineRule="exact"/>
              <w:rPr>
                <w:sz w:val="20"/>
                <w:szCs w:val="20"/>
                <w:color w:val="auto"/>
              </w:rPr>
            </w:pPr>
            <w:r>
              <w:rPr>
                <w:rFonts w:ascii="Arial" w:cs="Arial" w:eastAsia="Arial" w:hAnsi="Arial"/>
                <w:sz w:val="18"/>
                <w:szCs w:val="18"/>
                <w:color w:val="auto"/>
                <w:w w:val="98"/>
              </w:rPr>
              <w:t>256,701</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259,436</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7"/>
              </w:rPr>
              <w:t>1.1%</w:t>
            </w:r>
          </w:p>
        </w:tc>
        <w:tc>
          <w:tcPr>
            <w:tcW w:w="820" w:type="dxa"/>
            <w:vAlign w:val="bottom"/>
            <w:tcBorders>
              <w:right w:val="single" w:sz="8" w:color="auto"/>
            </w:tcBorders>
          </w:tcPr>
          <w:p>
            <w:pPr>
              <w:jc w:val="center"/>
              <w:ind w:right="31"/>
              <w:spacing w:after="0" w:line="195" w:lineRule="exact"/>
              <w:rPr>
                <w:sz w:val="20"/>
                <w:szCs w:val="20"/>
                <w:color w:val="auto"/>
              </w:rPr>
            </w:pPr>
            <w:r>
              <w:rPr>
                <w:rFonts w:ascii="Arial" w:cs="Arial" w:eastAsia="Arial" w:hAnsi="Arial"/>
                <w:sz w:val="18"/>
                <w:szCs w:val="18"/>
                <w:color w:val="auto"/>
                <w:w w:val="97"/>
              </w:rPr>
              <w:t>37.4%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Other liabilities</w:t>
            </w:r>
          </w:p>
        </w:tc>
        <w:tc>
          <w:tcPr>
            <w:tcW w:w="1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3,058,752</w:t>
            </w:r>
          </w:p>
        </w:tc>
        <w:tc>
          <w:tcPr>
            <w:tcW w:w="1500" w:type="dxa"/>
            <w:vAlign w:val="bottom"/>
            <w:gridSpan w:val="2"/>
          </w:tcPr>
          <w:p>
            <w:pPr>
              <w:jc w:val="right"/>
              <w:ind w:right="231"/>
              <w:spacing w:after="0" w:line="195" w:lineRule="exact"/>
              <w:rPr>
                <w:sz w:val="20"/>
                <w:szCs w:val="20"/>
                <w:color w:val="auto"/>
              </w:rPr>
            </w:pPr>
            <w:r>
              <w:rPr>
                <w:rFonts w:ascii="Arial" w:cs="Arial" w:eastAsia="Arial" w:hAnsi="Arial"/>
                <w:sz w:val="18"/>
                <w:szCs w:val="18"/>
                <w:color w:val="auto"/>
              </w:rPr>
              <w:t>2,523,136</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2,247,632</w:t>
            </w:r>
          </w:p>
        </w:tc>
        <w:tc>
          <w:tcPr>
            <w:tcW w:w="100" w:type="dxa"/>
            <w:vAlign w:val="bottom"/>
          </w:tcPr>
          <w:p>
            <w:pPr>
              <w:spacing w:after="0"/>
              <w:rPr>
                <w:sz w:val="16"/>
                <w:szCs w:val="16"/>
                <w:color w:val="auto"/>
              </w:rPr>
            </w:pPr>
          </w:p>
        </w:tc>
        <w:tc>
          <w:tcPr>
            <w:tcW w:w="90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8"/>
              </w:rPr>
              <w:t>-10.9%</w:t>
            </w:r>
          </w:p>
        </w:tc>
        <w:tc>
          <w:tcPr>
            <w:tcW w:w="82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-26.5%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00" w:type="dxa"/>
            <w:vAlign w:val="bottom"/>
            <w:tcBorders>
              <w:left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Total liabilities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13,439,362</w:t>
            </w:r>
          </w:p>
        </w:tc>
        <w:tc>
          <w:tcPr>
            <w:tcW w:w="1500" w:type="dxa"/>
            <w:vAlign w:val="bottom"/>
            <w:gridSpan w:val="2"/>
          </w:tcPr>
          <w:p>
            <w:pPr>
              <w:jc w:val="right"/>
              <w:ind w:right="231"/>
              <w:spacing w:after="0"/>
              <w:rPr>
                <w:sz w:val="20"/>
                <w:szCs w:val="20"/>
                <w:color w:val="auto"/>
              </w:rPr>
            </w:pPr>
            <w:r>
              <w:rPr>
                <w:rFonts w:ascii="Arial" w:cs="Arial" w:eastAsia="Arial" w:hAnsi="Arial"/>
                <w:sz w:val="18"/>
                <w:szCs w:val="18"/>
                <w:b w:val="1"/>
                <w:bCs w:val="1"/>
                <w:color w:val="auto"/>
              </w:rPr>
              <w:t>14,514,889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14,478,379</w:t>
            </w:r>
          </w:p>
        </w:tc>
        <w:tc>
          <w:tcPr>
            <w:tcW w:w="100" w:type="dxa"/>
            <w:vAlign w:val="bottom"/>
          </w:tcPr>
          <w:p>
            <w:pPr>
              <w:spacing w:after="0"/>
              <w:rPr>
                <w:sz w:val="21"/>
                <w:szCs w:val="21"/>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97"/>
              </w:rPr>
              <w:t>-0.3%</w:t>
            </w:r>
          </w:p>
        </w:tc>
        <w:tc>
          <w:tcPr>
            <w:tcW w:w="82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7"/>
              </w:rPr>
              <w:t>7.7%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6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equity</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2,173,257</w:t>
            </w:r>
          </w:p>
        </w:tc>
        <w:tc>
          <w:tcPr>
            <w:tcW w:w="1500" w:type="dxa"/>
            <w:vAlign w:val="bottom"/>
            <w:gridSpan w:val="2"/>
          </w:tcPr>
          <w:p>
            <w:pPr>
              <w:jc w:val="right"/>
              <w:ind w:right="231"/>
              <w:spacing w:after="0"/>
              <w:rPr>
                <w:sz w:val="20"/>
                <w:szCs w:val="20"/>
                <w:color w:val="auto"/>
              </w:rPr>
            </w:pPr>
            <w:r>
              <w:rPr>
                <w:rFonts w:ascii="Arial" w:cs="Arial" w:eastAsia="Arial" w:hAnsi="Arial"/>
                <w:sz w:val="18"/>
                <w:szCs w:val="18"/>
                <w:b w:val="1"/>
                <w:bCs w:val="1"/>
                <w:color w:val="auto"/>
              </w:rPr>
              <w:t>2,464,082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2,587,209</w:t>
            </w:r>
          </w:p>
        </w:tc>
        <w:tc>
          <w:tcPr>
            <w:tcW w:w="100" w:type="dxa"/>
            <w:vAlign w:val="bottom"/>
          </w:tcPr>
          <w:p>
            <w:pPr>
              <w:spacing w:after="0"/>
              <w:rPr>
                <w:sz w:val="24"/>
                <w:szCs w:val="24"/>
                <w:color w:val="auto"/>
              </w:rPr>
            </w:pPr>
          </w:p>
        </w:tc>
        <w:tc>
          <w:tcPr>
            <w:tcW w:w="900" w:type="dxa"/>
            <w:vAlign w:val="bottom"/>
          </w:tcPr>
          <w:p>
            <w:pPr>
              <w:jc w:val="center"/>
              <w:ind w:right="91"/>
              <w:spacing w:after="0"/>
              <w:rPr>
                <w:sz w:val="20"/>
                <w:szCs w:val="20"/>
                <w:color w:val="auto"/>
              </w:rPr>
            </w:pPr>
            <w:r>
              <w:rPr>
                <w:rFonts w:ascii="Arial" w:cs="Arial" w:eastAsia="Arial" w:hAnsi="Arial"/>
                <w:sz w:val="18"/>
                <w:szCs w:val="18"/>
                <w:b w:val="1"/>
                <w:bCs w:val="1"/>
                <w:color w:val="auto"/>
                <w:w w:val="97"/>
              </w:rPr>
              <w:t>5.0%</w:t>
            </w:r>
          </w:p>
        </w:tc>
        <w:tc>
          <w:tcPr>
            <w:tcW w:w="820" w:type="dxa"/>
            <w:vAlign w:val="bottom"/>
            <w:tcBorders>
              <w:right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7"/>
              </w:rPr>
              <w:t>19.0%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LIABILITIES AND NET</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15,612,618</w:t>
            </w:r>
          </w:p>
        </w:tc>
        <w:tc>
          <w:tcPr>
            <w:tcW w:w="1500" w:type="dxa"/>
            <w:vAlign w:val="bottom"/>
            <w:gridSpan w:val="2"/>
            <w:vMerge w:val="restart"/>
          </w:tcPr>
          <w:p>
            <w:pPr>
              <w:jc w:val="right"/>
              <w:ind w:right="231"/>
              <w:spacing w:after="0"/>
              <w:rPr>
                <w:sz w:val="20"/>
                <w:szCs w:val="20"/>
                <w:color w:val="auto"/>
              </w:rPr>
            </w:pPr>
            <w:r>
              <w:rPr>
                <w:rFonts w:ascii="Arial" w:cs="Arial" w:eastAsia="Arial" w:hAnsi="Arial"/>
                <w:sz w:val="18"/>
                <w:szCs w:val="18"/>
                <w:b w:val="1"/>
                <w:bCs w:val="1"/>
                <w:color w:val="auto"/>
              </w:rPr>
              <w:t>16,978,970</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5"/>
              </w:rPr>
              <w:t>17,065,588</w:t>
            </w:r>
          </w:p>
        </w:tc>
        <w:tc>
          <w:tcPr>
            <w:tcW w:w="100" w:type="dxa"/>
            <w:vAlign w:val="bottom"/>
          </w:tcPr>
          <w:p>
            <w:pPr>
              <w:spacing w:after="0"/>
              <w:rPr>
                <w:sz w:val="24"/>
                <w:szCs w:val="24"/>
                <w:color w:val="auto"/>
              </w:rPr>
            </w:pPr>
          </w:p>
        </w:tc>
        <w:tc>
          <w:tcPr>
            <w:tcW w:w="90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w w:val="97"/>
              </w:rPr>
              <w:t>0.5%</w:t>
            </w:r>
          </w:p>
        </w:tc>
        <w:tc>
          <w:tcPr>
            <w:tcW w:w="820" w:type="dxa"/>
            <w:vAlign w:val="bottom"/>
            <w:tcBorders>
              <w:right w:val="single" w:sz="8" w:color="auto"/>
            </w:tcBorders>
            <w:vMerge w:val="restart"/>
          </w:tcPr>
          <w:p>
            <w:pPr>
              <w:jc w:val="center"/>
              <w:ind w:right="11"/>
              <w:spacing w:after="0"/>
              <w:rPr>
                <w:sz w:val="20"/>
                <w:szCs w:val="20"/>
                <w:color w:val="auto"/>
              </w:rPr>
            </w:pPr>
            <w:r>
              <w:rPr>
                <w:rFonts w:ascii="Arial" w:cs="Arial" w:eastAsia="Arial" w:hAnsi="Arial"/>
                <w:sz w:val="18"/>
                <w:szCs w:val="18"/>
                <w:b w:val="1"/>
                <w:bCs w:val="1"/>
                <w:color w:val="auto"/>
                <w:w w:val="97"/>
              </w:rPr>
              <w:t>9.3%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gridSpan w:val="2"/>
            <w:vMerge w:val="restart"/>
          </w:tcPr>
          <w:p>
            <w:pPr>
              <w:ind w:left="140"/>
              <w:spacing w:after="0"/>
              <w:rPr>
                <w:sz w:val="20"/>
                <w:szCs w:val="20"/>
                <w:color w:val="auto"/>
              </w:rPr>
            </w:pPr>
            <w:r>
              <w:rPr>
                <w:rFonts w:ascii="Arial" w:cs="Arial" w:eastAsia="Arial" w:hAnsi="Arial"/>
                <w:sz w:val="18"/>
                <w:szCs w:val="18"/>
                <w:b w:val="1"/>
                <w:bCs w:val="1"/>
                <w:color w:val="auto"/>
              </w:rPr>
              <w:t>SHAREHOLDERS' EQUITY</w:t>
            </w:r>
          </w:p>
        </w:tc>
        <w:tc>
          <w:tcPr>
            <w:tcW w:w="12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60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spacing w:after="0"/>
              <w:rPr>
                <w:sz w:val="19"/>
                <w:szCs w:val="19"/>
                <w:color w:val="auto"/>
              </w:rPr>
            </w:pPr>
          </w:p>
        </w:tc>
        <w:tc>
          <w:tcPr>
            <w:tcW w:w="192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20" w:type="dxa"/>
            <w:vAlign w:val="bottom"/>
            <w:tcBorders>
              <w:right w:val="single" w:sz="8" w:color="auto"/>
            </w:tcBorders>
          </w:tcPr>
          <w:p>
            <w:pPr>
              <w:spacing w:after="0"/>
              <w:rPr>
                <w:sz w:val="14"/>
                <w:szCs w:val="14"/>
                <w:color w:val="auto"/>
              </w:rPr>
            </w:pPr>
          </w:p>
        </w:tc>
        <w:tc>
          <w:tcPr>
            <w:tcW w:w="180" w:type="dxa"/>
            <w:vAlign w:val="bottom"/>
            <w:tcBorders>
              <w:right w:val="single" w:sz="8" w:color="2AD2C9"/>
            </w:tcBorders>
            <w:shd w:val="clear" w:color="auto" w:fill="2AD2C9"/>
          </w:tcPr>
          <w:p>
            <w:pPr>
              <w:spacing w:after="0"/>
              <w:rPr>
                <w:sz w:val="14"/>
                <w:szCs w:val="14"/>
                <w:color w:val="auto"/>
              </w:rPr>
            </w:pPr>
          </w:p>
        </w:tc>
        <w:tc>
          <w:tcPr>
            <w:tcW w:w="900" w:type="dxa"/>
            <w:vAlign w:val="bottom"/>
            <w:shd w:val="clear" w:color="auto" w:fill="2AD2C9"/>
          </w:tcPr>
          <w:p>
            <w:pPr>
              <w:spacing w:after="0"/>
              <w:rPr>
                <w:sz w:val="14"/>
                <w:szCs w:val="14"/>
                <w:color w:val="auto"/>
              </w:rPr>
            </w:pPr>
          </w:p>
        </w:tc>
        <w:tc>
          <w:tcPr>
            <w:tcW w:w="820" w:type="dxa"/>
            <w:vAlign w:val="bottom"/>
            <w:gridSpan w:val="2"/>
            <w:shd w:val="clear" w:color="auto" w:fill="2AD2C9"/>
          </w:tcPr>
          <w:p>
            <w:pPr>
              <w:jc w:val="right"/>
              <w:ind w:right="111"/>
              <w:spacing w:after="0" w:line="166" w:lineRule="exact"/>
              <w:rPr>
                <w:sz w:val="20"/>
                <w:szCs w:val="20"/>
                <w:color w:val="auto"/>
              </w:rPr>
            </w:pPr>
            <w:r>
              <w:rPr>
                <w:rFonts w:ascii="Arial" w:cs="Arial" w:eastAsia="Arial" w:hAnsi="Arial"/>
                <w:sz w:val="16"/>
                <w:szCs w:val="16"/>
                <w:b w:val="1"/>
                <w:bCs w:val="1"/>
                <w:color w:val="FFFFFF"/>
              </w:rPr>
              <w:t>Quarter</w:t>
            </w:r>
          </w:p>
        </w:tc>
        <w:tc>
          <w:tcPr>
            <w:tcW w:w="980" w:type="dxa"/>
            <w:vAlign w:val="bottom"/>
            <w:tcBorders>
              <w:right w:val="single" w:sz="8" w:color="auto"/>
            </w:tcBorders>
            <w:shd w:val="clear" w:color="auto" w:fill="2AD2C9"/>
          </w:tcPr>
          <w:p>
            <w:pPr>
              <w:spacing w:after="0"/>
              <w:rPr>
                <w:sz w:val="14"/>
                <w:szCs w:val="14"/>
                <w:color w:val="auto"/>
              </w:rPr>
            </w:pPr>
          </w:p>
        </w:tc>
        <w:tc>
          <w:tcPr>
            <w:tcW w:w="1900" w:type="dxa"/>
            <w:vAlign w:val="bottom"/>
            <w:tcBorders>
              <w:right w:val="single" w:sz="8" w:color="auto"/>
            </w:tcBorders>
            <w:gridSpan w:val="3"/>
            <w:shd w:val="clear" w:color="auto" w:fill="2AD2C9"/>
          </w:tcPr>
          <w:p>
            <w:pPr>
              <w:jc w:val="right"/>
              <w:ind w:right="511"/>
              <w:spacing w:after="0" w:line="166" w:lineRule="exact"/>
              <w:rPr>
                <w:sz w:val="20"/>
                <w:szCs w:val="20"/>
                <w:color w:val="auto"/>
              </w:rPr>
            </w:pPr>
            <w:r>
              <w:rPr>
                <w:rFonts w:ascii="Arial" w:cs="Arial" w:eastAsia="Arial" w:hAnsi="Arial"/>
                <w:sz w:val="16"/>
                <w:szCs w:val="16"/>
                <w:b w:val="1"/>
                <w:bCs w:val="1"/>
                <w:color w:val="FFFFFF"/>
              </w:rPr>
              <w:t>% change</w:t>
            </w:r>
          </w:p>
        </w:tc>
        <w:tc>
          <w:tcPr>
            <w:tcW w:w="1920" w:type="dxa"/>
            <w:vAlign w:val="bottom"/>
            <w:tcBorders>
              <w:right w:val="single" w:sz="8" w:color="auto"/>
            </w:tcBorders>
            <w:gridSpan w:val="3"/>
            <w:shd w:val="clear" w:color="auto" w:fill="2AD2C9"/>
          </w:tcPr>
          <w:p>
            <w:pPr>
              <w:jc w:val="right"/>
              <w:ind w:right="671"/>
              <w:spacing w:after="0" w:line="166" w:lineRule="exact"/>
              <w:rPr>
                <w:sz w:val="20"/>
                <w:szCs w:val="20"/>
                <w:color w:val="auto"/>
              </w:rPr>
            </w:pPr>
            <w:r>
              <w:rPr>
                <w:rFonts w:ascii="Arial" w:cs="Arial" w:eastAsia="Arial" w:hAnsi="Arial"/>
                <w:sz w:val="16"/>
                <w:szCs w:val="16"/>
                <w:b w:val="1"/>
                <w:bCs w:val="1"/>
                <w:color w:val="FFFFFF"/>
              </w:rPr>
              <w:t>As of</w:t>
            </w:r>
          </w:p>
        </w:tc>
        <w:tc>
          <w:tcPr>
            <w:tcW w:w="1160" w:type="dxa"/>
            <w:vAlign w:val="bottom"/>
            <w:tcBorders>
              <w:right w:val="single" w:sz="8" w:color="auto"/>
            </w:tcBorders>
            <w:shd w:val="clear" w:color="auto" w:fill="2AD2C9"/>
          </w:tcPr>
          <w:p>
            <w:pPr>
              <w:jc w:val="right"/>
              <w:ind w:right="132"/>
              <w:spacing w:after="0" w:line="16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34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right w:val="single" w:sz="8" w:color="2AD2C9"/>
            </w:tcBorders>
            <w:shd w:val="clear" w:color="auto" w:fill="2AD2C9"/>
          </w:tcPr>
          <w:p>
            <w:pPr>
              <w:spacing w:after="0"/>
              <w:rPr>
                <w:sz w:val="17"/>
                <w:szCs w:val="17"/>
                <w:color w:val="auto"/>
              </w:rPr>
            </w:pPr>
          </w:p>
        </w:tc>
        <w:tc>
          <w:tcPr>
            <w:tcW w:w="900" w:type="dxa"/>
            <w:vAlign w:val="bottom"/>
            <w:tcBorders>
              <w:bottom w:val="single" w:sz="8" w:color="auto"/>
            </w:tcBorders>
            <w:shd w:val="clear" w:color="auto" w:fill="2AD2C9"/>
          </w:tcPr>
          <w:p>
            <w:pPr>
              <w:jc w:val="right"/>
              <w:ind w:right="331"/>
              <w:spacing w:after="0"/>
              <w:rPr>
                <w:sz w:val="20"/>
                <w:szCs w:val="20"/>
                <w:color w:val="auto"/>
              </w:rPr>
            </w:pPr>
            <w:r>
              <w:rPr>
                <w:rFonts w:ascii="Arial" w:cs="Arial" w:eastAsia="Arial" w:hAnsi="Arial"/>
                <w:sz w:val="16"/>
                <w:szCs w:val="16"/>
                <w:b w:val="1"/>
                <w:bCs w:val="1"/>
                <w:color w:val="FFFFFF"/>
              </w:rPr>
              <w:t>2Q21</w:t>
            </w:r>
          </w:p>
        </w:tc>
        <w:tc>
          <w:tcPr>
            <w:tcW w:w="820" w:type="dxa"/>
            <w:vAlign w:val="bottom"/>
            <w:tcBorders>
              <w:bottom w:val="single" w:sz="8" w:color="auto"/>
            </w:tcBorders>
            <w:gridSpan w:val="2"/>
            <w:shd w:val="clear" w:color="auto" w:fill="2AD2C9"/>
          </w:tcPr>
          <w:p>
            <w:pPr>
              <w:jc w:val="right"/>
              <w:ind w:right="211"/>
              <w:spacing w:after="0"/>
              <w:rPr>
                <w:sz w:val="20"/>
                <w:szCs w:val="20"/>
                <w:color w:val="auto"/>
              </w:rPr>
            </w:pPr>
            <w:r>
              <w:rPr>
                <w:rFonts w:ascii="Arial" w:cs="Arial" w:eastAsia="Arial" w:hAnsi="Arial"/>
                <w:sz w:val="16"/>
                <w:szCs w:val="16"/>
                <w:b w:val="1"/>
                <w:bCs w:val="1"/>
                <w:color w:val="FFFFFF"/>
              </w:rPr>
              <w:t>1Q22</w:t>
            </w:r>
          </w:p>
        </w:tc>
        <w:tc>
          <w:tcPr>
            <w:tcW w:w="980" w:type="dxa"/>
            <w:vAlign w:val="bottom"/>
            <w:tcBorders>
              <w:bottom w:val="single" w:sz="8" w:color="auto"/>
              <w:right w:val="single" w:sz="8" w:color="auto"/>
            </w:tcBorders>
            <w:shd w:val="clear" w:color="auto" w:fill="2AD2C9"/>
          </w:tcPr>
          <w:p>
            <w:pPr>
              <w:jc w:val="right"/>
              <w:ind w:right="231"/>
              <w:spacing w:after="0"/>
              <w:rPr>
                <w:sz w:val="20"/>
                <w:szCs w:val="20"/>
                <w:color w:val="auto"/>
              </w:rPr>
            </w:pPr>
            <w:r>
              <w:rPr>
                <w:rFonts w:ascii="Arial" w:cs="Arial" w:eastAsia="Arial" w:hAnsi="Arial"/>
                <w:sz w:val="16"/>
                <w:szCs w:val="16"/>
                <w:b w:val="1"/>
                <w:bCs w:val="1"/>
                <w:color w:val="FFFFFF"/>
              </w:rPr>
              <w:t>2Q22</w:t>
            </w:r>
          </w:p>
        </w:tc>
        <w:tc>
          <w:tcPr>
            <w:tcW w:w="1000" w:type="dxa"/>
            <w:vAlign w:val="bottom"/>
            <w:tcBorders>
              <w:bottom w:val="single" w:sz="8" w:color="auto"/>
            </w:tcBorders>
            <w:gridSpan w:val="2"/>
            <w:shd w:val="clear" w:color="auto" w:fill="2AD2C9"/>
          </w:tcPr>
          <w:p>
            <w:pPr>
              <w:jc w:val="right"/>
              <w:ind w:right="380"/>
              <w:spacing w:after="0"/>
              <w:rPr>
                <w:sz w:val="20"/>
                <w:szCs w:val="20"/>
                <w:color w:val="auto"/>
              </w:rPr>
            </w:pPr>
            <w:r>
              <w:rPr>
                <w:rFonts w:ascii="Arial" w:cs="Arial" w:eastAsia="Arial" w:hAnsi="Arial"/>
                <w:sz w:val="16"/>
                <w:szCs w:val="16"/>
                <w:b w:val="1"/>
                <w:bCs w:val="1"/>
                <w:color w:val="FFFFFF"/>
              </w:rPr>
              <w:t>QoQ</w:t>
            </w:r>
          </w:p>
        </w:tc>
        <w:tc>
          <w:tcPr>
            <w:tcW w:w="900" w:type="dxa"/>
            <w:vAlign w:val="bottom"/>
            <w:tcBorders>
              <w:bottom w:val="single" w:sz="8" w:color="auto"/>
              <w:right w:val="single" w:sz="8" w:color="auto"/>
            </w:tcBorders>
            <w:shd w:val="clear" w:color="auto" w:fill="2AD2C9"/>
          </w:tcPr>
          <w:p>
            <w:pPr>
              <w:jc w:val="right"/>
              <w:ind w:right="251"/>
              <w:spacing w:after="0"/>
              <w:rPr>
                <w:sz w:val="20"/>
                <w:szCs w:val="20"/>
                <w:color w:val="auto"/>
              </w:rPr>
            </w:pPr>
            <w:r>
              <w:rPr>
                <w:rFonts w:ascii="Arial" w:cs="Arial" w:eastAsia="Arial" w:hAnsi="Arial"/>
                <w:sz w:val="16"/>
                <w:szCs w:val="16"/>
                <w:b w:val="1"/>
                <w:bCs w:val="1"/>
                <w:color w:val="FFFFFF"/>
              </w:rPr>
              <w:t>YoY</w:t>
            </w:r>
          </w:p>
        </w:tc>
        <w:tc>
          <w:tcPr>
            <w:tcW w:w="1020" w:type="dxa"/>
            <w:vAlign w:val="bottom"/>
            <w:tcBorders>
              <w:bottom w:val="single" w:sz="8" w:color="auto"/>
            </w:tcBorders>
            <w:gridSpan w:val="2"/>
            <w:shd w:val="clear" w:color="auto" w:fill="2AD2C9"/>
          </w:tcPr>
          <w:p>
            <w:pPr>
              <w:jc w:val="right"/>
              <w:ind w:right="280"/>
              <w:spacing w:after="0"/>
              <w:rPr>
                <w:sz w:val="20"/>
                <w:szCs w:val="20"/>
                <w:color w:val="auto"/>
              </w:rPr>
            </w:pPr>
            <w:r>
              <w:rPr>
                <w:rFonts w:ascii="Arial" w:cs="Arial" w:eastAsia="Arial" w:hAnsi="Arial"/>
                <w:sz w:val="16"/>
                <w:szCs w:val="16"/>
                <w:b w:val="1"/>
                <w:bCs w:val="1"/>
                <w:color w:val="FFFFFF"/>
              </w:rPr>
              <w:t>Jun 21</w:t>
            </w:r>
          </w:p>
        </w:tc>
        <w:tc>
          <w:tcPr>
            <w:tcW w:w="900" w:type="dxa"/>
            <w:vAlign w:val="bottom"/>
            <w:tcBorders>
              <w:bottom w:val="single" w:sz="8" w:color="auto"/>
              <w:right w:val="single" w:sz="8" w:color="auto"/>
            </w:tcBorders>
            <w:shd w:val="clear" w:color="auto" w:fill="2AD2C9"/>
          </w:tcPr>
          <w:p>
            <w:pPr>
              <w:jc w:val="right"/>
              <w:ind w:right="151"/>
              <w:spacing w:after="0"/>
              <w:rPr>
                <w:sz w:val="20"/>
                <w:szCs w:val="20"/>
                <w:color w:val="auto"/>
              </w:rPr>
            </w:pPr>
            <w:r>
              <w:rPr>
                <w:rFonts w:ascii="Arial" w:cs="Arial" w:eastAsia="Arial" w:hAnsi="Arial"/>
                <w:sz w:val="16"/>
                <w:szCs w:val="16"/>
                <w:b w:val="1"/>
                <w:bCs w:val="1"/>
                <w:color w:val="FFFFFF"/>
              </w:rPr>
              <w:t>Jun 22</w:t>
            </w:r>
          </w:p>
        </w:tc>
        <w:tc>
          <w:tcPr>
            <w:tcW w:w="116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w w:val="99"/>
              </w:rPr>
              <w:t>Jun 22/ Jun 21</w:t>
            </w:r>
          </w:p>
        </w:tc>
        <w:tc>
          <w:tcPr>
            <w:tcW w:w="0" w:type="dxa"/>
            <w:vAlign w:val="bottom"/>
          </w:tcPr>
          <w:p>
            <w:pPr>
              <w:spacing w:after="0"/>
              <w:rPr>
                <w:sz w:val="1"/>
                <w:szCs w:val="1"/>
                <w:color w:val="auto"/>
              </w:rPr>
            </w:pPr>
          </w:p>
        </w:tc>
      </w:tr>
      <w:tr>
        <w:trPr>
          <w:trHeight w:val="174"/>
        </w:trPr>
        <w:tc>
          <w:tcPr>
            <w:tcW w:w="34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5"/>
                <w:szCs w:val="15"/>
                <w:color w:val="auto"/>
              </w:rPr>
            </w:pPr>
          </w:p>
        </w:tc>
        <w:tc>
          <w:tcPr>
            <w:tcW w:w="900" w:type="dxa"/>
            <w:vAlign w:val="bottom"/>
          </w:tcPr>
          <w:p>
            <w:pPr>
              <w:jc w:val="right"/>
              <w:ind w:right="51"/>
              <w:spacing w:after="0" w:line="174" w:lineRule="exact"/>
              <w:rPr>
                <w:sz w:val="20"/>
                <w:szCs w:val="20"/>
                <w:color w:val="auto"/>
              </w:rPr>
            </w:pPr>
            <w:r>
              <w:rPr>
                <w:rFonts w:ascii="Arial" w:cs="Arial" w:eastAsia="Arial" w:hAnsi="Arial"/>
                <w:sz w:val="18"/>
                <w:szCs w:val="18"/>
                <w:color w:val="auto"/>
              </w:rPr>
              <w:t>458,762</w:t>
            </w:r>
          </w:p>
        </w:tc>
        <w:tc>
          <w:tcPr>
            <w:tcW w:w="820" w:type="dxa"/>
            <w:vAlign w:val="bottom"/>
            <w:gridSpan w:val="2"/>
          </w:tcPr>
          <w:p>
            <w:pPr>
              <w:jc w:val="right"/>
              <w:spacing w:after="0" w:line="174" w:lineRule="exact"/>
              <w:rPr>
                <w:sz w:val="20"/>
                <w:szCs w:val="20"/>
                <w:color w:val="auto"/>
              </w:rPr>
            </w:pPr>
            <w:r>
              <w:rPr>
                <w:rFonts w:ascii="Arial" w:cs="Arial" w:eastAsia="Arial" w:hAnsi="Arial"/>
                <w:sz w:val="18"/>
                <w:szCs w:val="18"/>
                <w:color w:val="auto"/>
              </w:rPr>
              <w:t>512,222</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537,262</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center"/>
              <w:ind w:right="11"/>
              <w:spacing w:after="0" w:line="174" w:lineRule="exact"/>
              <w:rPr>
                <w:sz w:val="20"/>
                <w:szCs w:val="20"/>
                <w:color w:val="auto"/>
              </w:rPr>
            </w:pPr>
            <w:r>
              <w:rPr>
                <w:rFonts w:ascii="Arial" w:cs="Arial" w:eastAsia="Arial" w:hAnsi="Arial"/>
                <w:sz w:val="18"/>
                <w:szCs w:val="18"/>
                <w:color w:val="auto"/>
              </w:rPr>
              <w:t>17.1%</w:t>
            </w:r>
          </w:p>
        </w:tc>
        <w:tc>
          <w:tcPr>
            <w:tcW w:w="1020" w:type="dxa"/>
            <w:vAlign w:val="bottom"/>
            <w:gridSpan w:val="2"/>
          </w:tcPr>
          <w:p>
            <w:pPr>
              <w:jc w:val="right"/>
              <w:ind w:right="60"/>
              <w:spacing w:after="0" w:line="174" w:lineRule="exact"/>
              <w:rPr>
                <w:sz w:val="20"/>
                <w:szCs w:val="20"/>
                <w:color w:val="auto"/>
              </w:rPr>
            </w:pPr>
            <w:r>
              <w:rPr>
                <w:rFonts w:ascii="Arial" w:cs="Arial" w:eastAsia="Arial" w:hAnsi="Arial"/>
                <w:sz w:val="18"/>
                <w:szCs w:val="18"/>
                <w:color w:val="auto"/>
              </w:rPr>
              <w:t>862,169</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1,049,484</w:t>
            </w:r>
          </w:p>
        </w:tc>
        <w:tc>
          <w:tcPr>
            <w:tcW w:w="11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7"/>
              </w:rPr>
              <w:t>21.7%</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Provision for loan losses, net of recoveries</w:t>
            </w:r>
          </w:p>
        </w:tc>
        <w:tc>
          <w:tcPr>
            <w:tcW w:w="180" w:type="dxa"/>
            <w:vAlign w:val="bottom"/>
          </w:tcPr>
          <w:p>
            <w:pPr>
              <w:spacing w:after="0"/>
              <w:rPr>
                <w:sz w:val="16"/>
                <w:szCs w:val="16"/>
                <w:color w:val="auto"/>
              </w:rPr>
            </w:pPr>
          </w:p>
        </w:tc>
        <w:tc>
          <w:tcPr>
            <w:tcW w:w="2700" w:type="dxa"/>
            <w:vAlign w:val="bottom"/>
            <w:tcBorders>
              <w:right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-124,451   -105,337   -105,522</w:t>
            </w: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8"/>
              </w:rPr>
              <w:t>-15.2%</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-263,169</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-210,859</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-19.9%</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Net interest income after provisions</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b w:val="1"/>
                <w:bCs w:val="1"/>
                <w:color w:val="auto"/>
              </w:rPr>
              <w:t>334,311</w:t>
            </w: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406,885</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431,740</w:t>
            </w:r>
          </w:p>
        </w:tc>
        <w:tc>
          <w:tcPr>
            <w:tcW w:w="9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b w:val="1"/>
                <w:bCs w:val="1"/>
                <w:color w:val="auto"/>
              </w:rPr>
              <w:t>29.1%</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599,000</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838,625</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7"/>
              </w:rPr>
              <w:t>40.0%</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Non-financial income</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16,552</w:t>
            </w: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30,620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29,708</w:t>
            </w: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7"/>
              </w:rPr>
              <w:t>-3.0%</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rPr>
              <w:t>79.5%</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44,891</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60,328</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34.4%</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-271,465</w:t>
            </w: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-288,029</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-290,293</w:t>
            </w: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rPr>
              <w:t>0.8%</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7"/>
              </w:rPr>
              <w:t>6.9%</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-540,215</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-578,322</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Translation result</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0</w:t>
            </w:r>
          </w:p>
        </w:tc>
        <w:tc>
          <w:tcPr>
            <w:tcW w:w="30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7"/>
              </w:rPr>
              <w:t>0.0%</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0</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-24,093</w:t>
            </w: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-46,540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-43,174</w:t>
            </w: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7"/>
              </w:rPr>
              <w:t>-7.2%</w:t>
            </w:r>
          </w:p>
        </w:tc>
        <w:tc>
          <w:tcPr>
            <w:tcW w:w="100" w:type="dxa"/>
            <w:vAlign w:val="bottom"/>
          </w:tcPr>
          <w:p>
            <w:pPr>
              <w:spacing w:after="0"/>
              <w:rPr>
                <w:sz w:val="16"/>
                <w:szCs w:val="16"/>
                <w:color w:val="auto"/>
              </w:rPr>
            </w:pPr>
          </w:p>
        </w:tc>
        <w:tc>
          <w:tcPr>
            <w:tcW w:w="90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rPr>
              <w:t>79.2%</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-34,316</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-89,714</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161.4%</w:t>
            </w:r>
          </w:p>
        </w:tc>
        <w:tc>
          <w:tcPr>
            <w:tcW w:w="0" w:type="dxa"/>
            <w:vAlign w:val="bottom"/>
          </w:tcPr>
          <w:p>
            <w:pPr>
              <w:spacing w:after="0"/>
              <w:rPr>
                <w:sz w:val="1"/>
                <w:szCs w:val="1"/>
                <w:color w:val="auto"/>
              </w:rPr>
            </w:pPr>
          </w:p>
        </w:tc>
      </w:tr>
      <w:tr>
        <w:trPr>
          <w:trHeight w:val="220"/>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55,305</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102,935</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127,982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24.3%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8"/>
              </w:rPr>
              <w:t>131.4%</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69,360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230,917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232.9%</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Efficiency ratio</w:t>
            </w:r>
          </w:p>
        </w:tc>
        <w:tc>
          <w:tcPr>
            <w:tcW w:w="180" w:type="dxa"/>
            <w:vAlign w:val="bottom"/>
          </w:tcPr>
          <w:p>
            <w:pPr>
              <w:spacing w:after="0"/>
              <w:rPr>
                <w:sz w:val="15"/>
                <w:szCs w:val="15"/>
                <w:color w:val="auto"/>
              </w:rPr>
            </w:pPr>
          </w:p>
        </w:tc>
        <w:tc>
          <w:tcPr>
            <w:tcW w:w="900" w:type="dxa"/>
            <w:vAlign w:val="bottom"/>
          </w:tcPr>
          <w:p>
            <w:pPr>
              <w:jc w:val="right"/>
              <w:ind w:right="51"/>
              <w:spacing w:after="0" w:line="174" w:lineRule="exact"/>
              <w:rPr>
                <w:sz w:val="20"/>
                <w:szCs w:val="20"/>
                <w:color w:val="auto"/>
              </w:rPr>
            </w:pPr>
            <w:r>
              <w:rPr>
                <w:rFonts w:ascii="Arial" w:cs="Arial" w:eastAsia="Arial" w:hAnsi="Arial"/>
                <w:sz w:val="18"/>
                <w:szCs w:val="18"/>
                <w:color w:val="auto"/>
              </w:rPr>
              <w:t>55.6%</w:t>
            </w:r>
          </w:p>
        </w:tc>
        <w:tc>
          <w:tcPr>
            <w:tcW w:w="300" w:type="dxa"/>
            <w:vAlign w:val="bottom"/>
          </w:tcPr>
          <w:p>
            <w:pPr>
              <w:spacing w:after="0"/>
              <w:rPr>
                <w:sz w:val="15"/>
                <w:szCs w:val="15"/>
                <w:color w:val="auto"/>
              </w:rPr>
            </w:pPr>
          </w:p>
        </w:tc>
        <w:tc>
          <w:tcPr>
            <w:tcW w:w="520" w:type="dxa"/>
            <w:vAlign w:val="bottom"/>
          </w:tcPr>
          <w:p>
            <w:pPr>
              <w:jc w:val="right"/>
              <w:spacing w:after="0" w:line="174" w:lineRule="exact"/>
              <w:rPr>
                <w:sz w:val="20"/>
                <w:szCs w:val="20"/>
                <w:color w:val="auto"/>
              </w:rPr>
            </w:pPr>
            <w:r>
              <w:rPr>
                <w:rFonts w:ascii="Arial" w:cs="Arial" w:eastAsia="Arial" w:hAnsi="Arial"/>
                <w:sz w:val="18"/>
                <w:szCs w:val="18"/>
                <w:color w:val="auto"/>
                <w:w w:val="93"/>
              </w:rPr>
              <w:t>53.0%</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50.4%</w:t>
            </w:r>
          </w:p>
        </w:tc>
        <w:tc>
          <w:tcPr>
            <w:tcW w:w="100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auto"/>
              </w:rPr>
              <w:t>-262 pbs</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-520 pbs</w:t>
            </w:r>
          </w:p>
        </w:tc>
        <w:tc>
          <w:tcPr>
            <w:tcW w:w="1020" w:type="dxa"/>
            <w:vAlign w:val="bottom"/>
            <w:gridSpan w:val="2"/>
          </w:tcPr>
          <w:p>
            <w:pPr>
              <w:jc w:val="right"/>
              <w:ind w:right="60"/>
              <w:spacing w:after="0" w:line="174" w:lineRule="exact"/>
              <w:rPr>
                <w:sz w:val="20"/>
                <w:szCs w:val="20"/>
                <w:color w:val="auto"/>
              </w:rPr>
            </w:pPr>
            <w:r>
              <w:rPr>
                <w:rFonts w:ascii="Arial" w:cs="Arial" w:eastAsia="Arial" w:hAnsi="Arial"/>
                <w:sz w:val="18"/>
                <w:szCs w:val="18"/>
                <w:color w:val="auto"/>
              </w:rPr>
              <w:t>58.62%</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51.60%</w:t>
            </w:r>
          </w:p>
        </w:tc>
        <w:tc>
          <w:tcPr>
            <w:tcW w:w="11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-700 pbs</w:t>
            </w: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ROAE</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w w:val="93"/>
              </w:rPr>
              <w:t>17.1%</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20.3%</w:t>
            </w: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319 pbs</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1000 pbs</w:t>
            </w: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6.48%</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18.64%</w:t>
            </w:r>
          </w:p>
        </w:tc>
        <w:tc>
          <w:tcPr>
            <w:tcW w:w="1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1210 pbs</w:t>
            </w:r>
          </w:p>
        </w:tc>
        <w:tc>
          <w:tcPr>
            <w:tcW w:w="0" w:type="dxa"/>
            <w:vAlign w:val="bottom"/>
          </w:tcPr>
          <w:p>
            <w:pPr>
              <w:spacing w:after="0"/>
              <w:rPr>
                <w:sz w:val="1"/>
                <w:szCs w:val="1"/>
                <w:color w:val="auto"/>
              </w:rPr>
            </w:pPr>
          </w:p>
        </w:tc>
      </w:tr>
      <w:tr>
        <w:trPr>
          <w:trHeight w:val="220"/>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ROAE incl. Goowdill</w:t>
            </w:r>
          </w:p>
        </w:tc>
        <w:tc>
          <w:tcPr>
            <w:tcW w:w="1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16.3%</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302 pbs</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960 pbs</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6.18%</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1160 pbs</w:t>
            </w:r>
          </w:p>
        </w:tc>
        <w:tc>
          <w:tcPr>
            <w:tcW w:w="0" w:type="dxa"/>
            <w:vAlign w:val="bottom"/>
          </w:tcPr>
          <w:p>
            <w:pPr>
              <w:spacing w:after="0"/>
              <w:rPr>
                <w:sz w:val="1"/>
                <w:szCs w:val="1"/>
                <w:color w:val="auto"/>
              </w:rPr>
            </w:pPr>
          </w:p>
        </w:tc>
      </w:tr>
      <w:tr>
        <w:trPr>
          <w:trHeight w:val="161"/>
        </w:trPr>
        <w:tc>
          <w:tcPr>
            <w:tcW w:w="342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8"/>
                <w:szCs w:val="18"/>
                <w:color w:val="auto"/>
              </w:rPr>
              <w:t>L/D ratio</w:t>
            </w:r>
          </w:p>
        </w:tc>
        <w:tc>
          <w:tcPr>
            <w:tcW w:w="180" w:type="dxa"/>
            <w:vAlign w:val="bottom"/>
          </w:tcPr>
          <w:p>
            <w:pPr>
              <w:spacing w:after="0"/>
              <w:rPr>
                <w:sz w:val="14"/>
                <w:szCs w:val="14"/>
                <w:color w:val="auto"/>
              </w:rPr>
            </w:pPr>
          </w:p>
        </w:tc>
        <w:tc>
          <w:tcPr>
            <w:tcW w:w="900" w:type="dxa"/>
            <w:vAlign w:val="bottom"/>
          </w:tcPr>
          <w:p>
            <w:pPr>
              <w:jc w:val="right"/>
              <w:ind w:right="51"/>
              <w:spacing w:after="0" w:line="162" w:lineRule="exact"/>
              <w:rPr>
                <w:sz w:val="20"/>
                <w:szCs w:val="20"/>
                <w:color w:val="auto"/>
              </w:rPr>
            </w:pPr>
            <w:r>
              <w:rPr>
                <w:rFonts w:ascii="Arial" w:cs="Arial" w:eastAsia="Arial" w:hAnsi="Arial"/>
                <w:sz w:val="18"/>
                <w:szCs w:val="18"/>
                <w:color w:val="auto"/>
              </w:rPr>
              <w:t>157.2%</w:t>
            </w:r>
          </w:p>
        </w:tc>
        <w:tc>
          <w:tcPr>
            <w:tcW w:w="8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159.2%</w:t>
            </w:r>
          </w:p>
        </w:tc>
        <w:tc>
          <w:tcPr>
            <w:tcW w:w="980" w:type="dxa"/>
            <w:vAlign w:val="bottom"/>
            <w:tcBorders>
              <w:right w:val="single" w:sz="8" w:color="auto"/>
            </w:tcBorders>
          </w:tcPr>
          <w:p>
            <w:pPr>
              <w:jc w:val="right"/>
              <w:spacing w:after="0" w:line="162" w:lineRule="exact"/>
              <w:rPr>
                <w:sz w:val="20"/>
                <w:szCs w:val="20"/>
                <w:color w:val="auto"/>
              </w:rPr>
            </w:pPr>
            <w:r>
              <w:rPr>
                <w:rFonts w:ascii="Arial" w:cs="Arial" w:eastAsia="Arial" w:hAnsi="Arial"/>
                <w:sz w:val="18"/>
                <w:szCs w:val="18"/>
                <w:color w:val="auto"/>
              </w:rPr>
              <w:t>161.2%</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194 pbs</w:t>
            </w:r>
          </w:p>
        </w:tc>
        <w:tc>
          <w:tcPr>
            <w:tcW w:w="900" w:type="dxa"/>
            <w:vAlign w:val="bottom"/>
            <w:tcBorders>
              <w:right w:val="single" w:sz="8" w:color="auto"/>
            </w:tcBorders>
          </w:tcPr>
          <w:p>
            <w:pPr>
              <w:jc w:val="right"/>
              <w:spacing w:after="0" w:line="162" w:lineRule="exact"/>
              <w:rPr>
                <w:sz w:val="20"/>
                <w:szCs w:val="20"/>
                <w:color w:val="auto"/>
              </w:rPr>
            </w:pPr>
            <w:r>
              <w:rPr>
                <w:rFonts w:ascii="Arial" w:cs="Arial" w:eastAsia="Arial" w:hAnsi="Arial"/>
                <w:sz w:val="18"/>
                <w:szCs w:val="18"/>
                <w:color w:val="auto"/>
              </w:rPr>
              <w:t>400 pbs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IOL ratio</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8.9%</w:t>
            </w:r>
          </w:p>
        </w:tc>
        <w:tc>
          <w:tcPr>
            <w:tcW w:w="30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-1 pbs</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-210 pbs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NPL ratio</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9.3%</w:t>
            </w:r>
          </w:p>
        </w:tc>
        <w:tc>
          <w:tcPr>
            <w:tcW w:w="30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7.3%</w:t>
            </w: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3 pbs</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-200 pbs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Coverage of IOLs</w:t>
            </w:r>
          </w:p>
        </w:tc>
        <w:tc>
          <w:tcPr>
            <w:tcW w:w="180" w:type="dxa"/>
            <w:vAlign w:val="bottom"/>
          </w:tcPr>
          <w:p>
            <w:pPr>
              <w:spacing w:after="0"/>
              <w:rPr>
                <w:sz w:val="16"/>
                <w:szCs w:val="16"/>
                <w:color w:val="auto"/>
              </w:rPr>
            </w:pP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143.4%</w:t>
            </w: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120.5%</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119.3%</w:t>
            </w: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-122 pbs</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-2410 pbs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Coverage of NPLs</w:t>
            </w:r>
          </w:p>
        </w:tc>
        <w:tc>
          <w:tcPr>
            <w:tcW w:w="180" w:type="dxa"/>
            <w:vAlign w:val="bottom"/>
          </w:tcPr>
          <w:p>
            <w:pPr>
              <w:spacing w:after="0"/>
              <w:rPr>
                <w:sz w:val="16"/>
                <w:szCs w:val="16"/>
                <w:color w:val="auto"/>
              </w:rPr>
            </w:pPr>
          </w:p>
        </w:tc>
        <w:tc>
          <w:tcPr>
            <w:tcW w:w="900" w:type="dxa"/>
            <w:vAlign w:val="bottom"/>
          </w:tcPr>
          <w:p>
            <w:pPr>
              <w:jc w:val="right"/>
              <w:ind w:right="51"/>
              <w:spacing w:after="0" w:line="189" w:lineRule="exact"/>
              <w:rPr>
                <w:sz w:val="20"/>
                <w:szCs w:val="20"/>
                <w:color w:val="auto"/>
              </w:rPr>
            </w:pPr>
            <w:r>
              <w:rPr>
                <w:rFonts w:ascii="Arial" w:cs="Arial" w:eastAsia="Arial" w:hAnsi="Arial"/>
                <w:sz w:val="18"/>
                <w:szCs w:val="18"/>
                <w:color w:val="auto"/>
              </w:rPr>
              <w:t>136.9%</w:t>
            </w: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112.6%</w:t>
            </w:r>
          </w:p>
        </w:tc>
        <w:tc>
          <w:tcPr>
            <w:tcW w:w="9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110.7%</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-189 pbs</w:t>
            </w:r>
          </w:p>
        </w:tc>
        <w:tc>
          <w:tcPr>
            <w:tcW w:w="90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-2620 pbs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2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15"/>
                <w:szCs w:val="15"/>
                <w:color w:val="auto"/>
              </w:rPr>
              <w:t xml:space="preserve">Branches </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9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319</w:t>
            </w:r>
          </w:p>
        </w:tc>
        <w:tc>
          <w:tcPr>
            <w:tcW w:w="3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310</w:t>
            </w:r>
          </w:p>
        </w:tc>
        <w:tc>
          <w:tcPr>
            <w:tcW w:w="9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304</w:t>
            </w: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10,057</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 Includes Banco de la Nacion branches, which in June 21, March 22 and June 22 were 34.</w:t>
      </w:r>
    </w:p>
    <w:p>
      <w:pPr>
        <w:spacing w:after="0" w:line="34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65" w:name="page66"/>
    <w:bookmarkEnd w:id="65"/>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12.5.7. Prima AFP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 AFP</w:t>
      </w: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40" w:type="dxa"/>
            <w:vAlign w:val="bottom"/>
            <w:tcBorders>
              <w:top w:val="single" w:sz="8" w:color="auto"/>
            </w:tcBorders>
            <w:shd w:val="clear" w:color="auto" w:fill="2AD2C9"/>
          </w:tcPr>
          <w:p>
            <w:pPr>
              <w:spacing w:after="0"/>
              <w:rPr>
                <w:sz w:val="16"/>
                <w:szCs w:val="16"/>
                <w:color w:val="auto"/>
              </w:rPr>
            </w:pPr>
          </w:p>
        </w:tc>
        <w:tc>
          <w:tcPr>
            <w:tcW w:w="840" w:type="dxa"/>
            <w:vAlign w:val="bottom"/>
            <w:tcBorders>
              <w:top w:val="single" w:sz="8" w:color="auto"/>
            </w:tcBorders>
            <w:shd w:val="clear" w:color="auto" w:fill="2AD2C9"/>
          </w:tcPr>
          <w:p>
            <w:pPr>
              <w:jc w:val="right"/>
              <w:ind w:right="157"/>
              <w:spacing w:after="0"/>
              <w:rPr>
                <w:sz w:val="20"/>
                <w:szCs w:val="20"/>
                <w:color w:val="auto"/>
              </w:rPr>
            </w:pPr>
            <w:r>
              <w:rPr>
                <w:rFonts w:ascii="Arial" w:cs="Arial" w:eastAsia="Arial" w:hAnsi="Arial"/>
                <w:sz w:val="16"/>
                <w:szCs w:val="16"/>
                <w:b w:val="1"/>
                <w:bCs w:val="1"/>
                <w:color w:val="FFFFFF"/>
              </w:rPr>
              <w:t>Quarter</w:t>
            </w:r>
          </w:p>
        </w:tc>
        <w:tc>
          <w:tcPr>
            <w:tcW w:w="160" w:type="dxa"/>
            <w:vAlign w:val="bottom"/>
            <w:tcBorders>
              <w:top w:val="single" w:sz="8" w:color="auto"/>
              <w:right w:val="single" w:sz="8" w:color="2AD2C9"/>
            </w:tcBorders>
            <w:shd w:val="clear" w:color="auto" w:fill="2AD2C9"/>
          </w:tcPr>
          <w:p>
            <w:pPr>
              <w:spacing w:after="0"/>
              <w:rPr>
                <w:sz w:val="16"/>
                <w:szCs w:val="16"/>
                <w:color w:val="auto"/>
              </w:rPr>
            </w:pPr>
          </w:p>
        </w:tc>
        <w:tc>
          <w:tcPr>
            <w:tcW w:w="580" w:type="dxa"/>
            <w:vAlign w:val="bottom"/>
            <w:tcBorders>
              <w:top w:val="single" w:sz="8" w:color="auto"/>
              <w:right w:val="single" w:sz="8" w:color="auto"/>
            </w:tcBorders>
            <w:shd w:val="clear" w:color="auto" w:fill="2AD2C9"/>
          </w:tcPr>
          <w:p>
            <w:pPr>
              <w:spacing w:after="0"/>
              <w:rPr>
                <w:sz w:val="16"/>
                <w:szCs w:val="16"/>
                <w:color w:val="auto"/>
              </w:rPr>
            </w:pPr>
          </w:p>
        </w:tc>
        <w:tc>
          <w:tcPr>
            <w:tcW w:w="120" w:type="dxa"/>
            <w:vAlign w:val="bottom"/>
            <w:tcBorders>
              <w:top w:val="single" w:sz="8" w:color="auto"/>
            </w:tcBorders>
            <w:shd w:val="clear" w:color="auto" w:fill="2AD2C9"/>
          </w:tcPr>
          <w:p>
            <w:pPr>
              <w:spacing w:after="0"/>
              <w:rPr>
                <w:sz w:val="16"/>
                <w:szCs w:val="16"/>
                <w:color w:val="auto"/>
              </w:rPr>
            </w:pPr>
          </w:p>
        </w:tc>
        <w:tc>
          <w:tcPr>
            <w:tcW w:w="80" w:type="dxa"/>
            <w:vAlign w:val="bottom"/>
            <w:tcBorders>
              <w:top w:val="single" w:sz="8" w:color="auto"/>
            </w:tcBorders>
            <w:shd w:val="clear" w:color="auto" w:fill="2AD2C9"/>
          </w:tcPr>
          <w:p>
            <w:pPr>
              <w:spacing w:after="0"/>
              <w:rPr>
                <w:sz w:val="16"/>
                <w:szCs w:val="16"/>
                <w:color w:val="auto"/>
              </w:rPr>
            </w:pPr>
          </w:p>
        </w:tc>
        <w:tc>
          <w:tcPr>
            <w:tcW w:w="1620" w:type="dxa"/>
            <w:vAlign w:val="bottom"/>
            <w:tcBorders>
              <w:top w:val="single" w:sz="8" w:color="auto"/>
              <w:right w:val="single" w:sz="8" w:color="auto"/>
            </w:tcBorders>
            <w:gridSpan w:val="3"/>
            <w:shd w:val="clear" w:color="auto" w:fill="2AD2C9"/>
          </w:tcPr>
          <w:p>
            <w:pPr>
              <w:ind w:left="320"/>
              <w:spacing w:after="0"/>
              <w:rPr>
                <w:sz w:val="20"/>
                <w:szCs w:val="20"/>
                <w:color w:val="auto"/>
              </w:rPr>
            </w:pPr>
            <w:r>
              <w:rPr>
                <w:rFonts w:ascii="Arial" w:cs="Arial" w:eastAsia="Arial" w:hAnsi="Arial"/>
                <w:sz w:val="16"/>
                <w:szCs w:val="16"/>
                <w:b w:val="1"/>
                <w:bCs w:val="1"/>
                <w:color w:val="FFFFFF"/>
              </w:rPr>
              <w:t>% change</w:t>
            </w:r>
          </w:p>
        </w:tc>
        <w:tc>
          <w:tcPr>
            <w:tcW w:w="1700" w:type="dxa"/>
            <w:vAlign w:val="bottom"/>
            <w:tcBorders>
              <w:top w:val="single" w:sz="8" w:color="auto"/>
              <w:right w:val="single" w:sz="8" w:color="auto"/>
            </w:tcBorders>
            <w:gridSpan w:val="2"/>
            <w:shd w:val="clear" w:color="auto" w:fill="2AD2C9"/>
          </w:tcPr>
          <w:p>
            <w:pPr>
              <w:jc w:val="right"/>
              <w:ind w:right="578"/>
              <w:spacing w:after="0"/>
              <w:rPr>
                <w:sz w:val="20"/>
                <w:szCs w:val="20"/>
                <w:color w:val="auto"/>
              </w:rPr>
            </w:pPr>
            <w:r>
              <w:rPr>
                <w:rFonts w:ascii="Arial" w:cs="Arial" w:eastAsia="Arial" w:hAnsi="Arial"/>
                <w:sz w:val="16"/>
                <w:szCs w:val="16"/>
                <w:b w:val="1"/>
                <w:bCs w:val="1"/>
                <w:color w:val="FFFFFF"/>
              </w:rPr>
              <w:t>As of</w:t>
            </w:r>
          </w:p>
        </w:tc>
        <w:tc>
          <w:tcPr>
            <w:tcW w:w="13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shd w:val="clear" w:color="auto" w:fill="2AD2C9"/>
          </w:tcPr>
          <w:p>
            <w:pPr>
              <w:jc w:val="center"/>
              <w:ind w:right="16"/>
              <w:spacing w:after="0"/>
              <w:rPr>
                <w:sz w:val="20"/>
                <w:szCs w:val="20"/>
                <w:color w:val="auto"/>
              </w:rPr>
            </w:pPr>
            <w:r>
              <w:rPr>
                <w:rFonts w:ascii="Arial" w:cs="Arial" w:eastAsia="Arial" w:hAnsi="Arial"/>
                <w:sz w:val="16"/>
                <w:szCs w:val="16"/>
                <w:b w:val="1"/>
                <w:bCs w:val="1"/>
                <w:color w:val="FFFFFF"/>
              </w:rPr>
              <w:t>2Q21</w:t>
            </w:r>
          </w:p>
        </w:tc>
        <w:tc>
          <w:tcPr>
            <w:tcW w:w="840" w:type="dxa"/>
            <w:vAlign w:val="bottom"/>
            <w:tcBorders>
              <w:bottom w:val="single" w:sz="8" w:color="auto"/>
            </w:tcBorders>
            <w:shd w:val="clear" w:color="auto" w:fill="2AD2C9"/>
          </w:tcPr>
          <w:p>
            <w:pPr>
              <w:jc w:val="right"/>
              <w:ind w:right="257"/>
              <w:spacing w:after="0"/>
              <w:rPr>
                <w:sz w:val="20"/>
                <w:szCs w:val="20"/>
                <w:color w:val="auto"/>
              </w:rPr>
            </w:pPr>
            <w:r>
              <w:rPr>
                <w:rFonts w:ascii="Arial" w:cs="Arial" w:eastAsia="Arial" w:hAnsi="Arial"/>
                <w:sz w:val="16"/>
                <w:szCs w:val="16"/>
                <w:b w:val="1"/>
                <w:bCs w:val="1"/>
                <w:color w:val="FFFFFF"/>
              </w:rPr>
              <w:t>1Q22</w:t>
            </w:r>
          </w:p>
        </w:tc>
        <w:tc>
          <w:tcPr>
            <w:tcW w:w="740" w:type="dxa"/>
            <w:vAlign w:val="bottom"/>
            <w:tcBorders>
              <w:bottom w:val="single" w:sz="8" w:color="auto"/>
              <w:right w:val="single" w:sz="8" w:color="auto"/>
            </w:tcBorders>
            <w:gridSpan w:val="2"/>
            <w:shd w:val="clear" w:color="auto" w:fill="2AD2C9"/>
          </w:tcPr>
          <w:p>
            <w:pPr>
              <w:jc w:val="right"/>
              <w:ind w:right="156"/>
              <w:spacing w:after="0"/>
              <w:rPr>
                <w:sz w:val="20"/>
                <w:szCs w:val="20"/>
                <w:color w:val="auto"/>
              </w:rPr>
            </w:pPr>
            <w:r>
              <w:rPr>
                <w:rFonts w:ascii="Arial" w:cs="Arial" w:eastAsia="Arial" w:hAnsi="Arial"/>
                <w:sz w:val="16"/>
                <w:szCs w:val="16"/>
                <w:b w:val="1"/>
                <w:bCs w:val="1"/>
                <w:color w:val="FFFFFF"/>
              </w:rPr>
              <w:t>2Q22</w:t>
            </w:r>
          </w:p>
        </w:tc>
        <w:tc>
          <w:tcPr>
            <w:tcW w:w="120" w:type="dxa"/>
            <w:vAlign w:val="bottom"/>
            <w:tcBorders>
              <w:bottom w:val="single" w:sz="8" w:color="auto"/>
            </w:tcBorders>
            <w:shd w:val="clear" w:color="auto" w:fill="2AD2C9"/>
          </w:tcPr>
          <w:p>
            <w:pPr>
              <w:spacing w:after="0"/>
              <w:rPr>
                <w:sz w:val="19"/>
                <w:szCs w:val="19"/>
                <w:color w:val="auto"/>
              </w:rPr>
            </w:pPr>
          </w:p>
        </w:tc>
        <w:tc>
          <w:tcPr>
            <w:tcW w:w="80" w:type="dxa"/>
            <w:vAlign w:val="bottom"/>
            <w:tcBorders>
              <w:bottom w:val="single" w:sz="8" w:color="auto"/>
            </w:tcBorders>
            <w:shd w:val="clear" w:color="auto" w:fill="2AD2C9"/>
          </w:tcPr>
          <w:p>
            <w:pPr>
              <w:spacing w:after="0"/>
              <w:rPr>
                <w:sz w:val="19"/>
                <w:szCs w:val="19"/>
                <w:color w:val="auto"/>
              </w:rPr>
            </w:pPr>
          </w:p>
        </w:tc>
        <w:tc>
          <w:tcPr>
            <w:tcW w:w="700" w:type="dxa"/>
            <w:vAlign w:val="bottom"/>
            <w:tcBorders>
              <w:bottom w:val="single" w:sz="8" w:color="auto"/>
            </w:tcBorders>
            <w:shd w:val="clear" w:color="auto" w:fill="2AD2C9"/>
          </w:tcPr>
          <w:p>
            <w:pPr>
              <w:jc w:val="center"/>
              <w:ind w:right="136"/>
              <w:spacing w:after="0"/>
              <w:rPr>
                <w:sz w:val="20"/>
                <w:szCs w:val="20"/>
                <w:color w:val="auto"/>
              </w:rPr>
            </w:pPr>
            <w:r>
              <w:rPr>
                <w:rFonts w:ascii="Arial" w:cs="Arial" w:eastAsia="Arial" w:hAnsi="Arial"/>
                <w:sz w:val="16"/>
                <w:szCs w:val="16"/>
                <w:b w:val="1"/>
                <w:bCs w:val="1"/>
                <w:color w:val="FFFFFF"/>
              </w:rPr>
              <w:t>QoQ</w:t>
            </w:r>
          </w:p>
        </w:tc>
        <w:tc>
          <w:tcPr>
            <w:tcW w:w="920" w:type="dxa"/>
            <w:vAlign w:val="bottom"/>
            <w:tcBorders>
              <w:bottom w:val="single" w:sz="8" w:color="auto"/>
              <w:right w:val="single" w:sz="8" w:color="auto"/>
            </w:tcBorders>
            <w:gridSpan w:val="2"/>
            <w:shd w:val="clear" w:color="auto" w:fill="2AD2C9"/>
          </w:tcPr>
          <w:p>
            <w:pPr>
              <w:jc w:val="center"/>
              <w:ind w:right="60"/>
              <w:spacing w:after="0"/>
              <w:rPr>
                <w:sz w:val="20"/>
                <w:szCs w:val="20"/>
                <w:color w:val="auto"/>
              </w:rPr>
            </w:pPr>
            <w:r>
              <w:rPr>
                <w:rFonts w:ascii="Arial" w:cs="Arial" w:eastAsia="Arial" w:hAnsi="Arial"/>
                <w:sz w:val="16"/>
                <w:szCs w:val="16"/>
                <w:b w:val="1"/>
                <w:bCs w:val="1"/>
                <w:color w:val="FFFFFF"/>
                <w:w w:val="96"/>
              </w:rPr>
              <w:t>YoY</w:t>
            </w:r>
          </w:p>
        </w:tc>
        <w:tc>
          <w:tcPr>
            <w:tcW w:w="900" w:type="dxa"/>
            <w:vAlign w:val="bottom"/>
            <w:tcBorders>
              <w:bottom w:val="single" w:sz="8" w:color="auto"/>
            </w:tcBorders>
            <w:shd w:val="clear" w:color="auto" w:fill="2AD2C9"/>
          </w:tcPr>
          <w:p>
            <w:pPr>
              <w:jc w:val="right"/>
              <w:ind w:right="118"/>
              <w:spacing w:after="0"/>
              <w:rPr>
                <w:sz w:val="20"/>
                <w:szCs w:val="20"/>
                <w:color w:val="auto"/>
              </w:rPr>
            </w:pPr>
            <w:r>
              <w:rPr>
                <w:rFonts w:ascii="Arial" w:cs="Arial" w:eastAsia="Arial" w:hAnsi="Arial"/>
                <w:sz w:val="18"/>
                <w:szCs w:val="18"/>
                <w:b w:val="1"/>
                <w:bCs w:val="1"/>
                <w:color w:val="FFFFFF"/>
              </w:rPr>
              <w:t>Jun 21</w:t>
            </w:r>
          </w:p>
        </w:tc>
        <w:tc>
          <w:tcPr>
            <w:tcW w:w="800" w:type="dxa"/>
            <w:vAlign w:val="bottom"/>
            <w:tcBorders>
              <w:bottom w:val="single" w:sz="8" w:color="auto"/>
              <w:right w:val="single" w:sz="8" w:color="auto"/>
            </w:tcBorders>
            <w:shd w:val="clear" w:color="auto" w:fill="2AD2C9"/>
          </w:tcPr>
          <w:p>
            <w:pPr>
              <w:jc w:val="right"/>
              <w:ind w:right="78"/>
              <w:spacing w:after="0"/>
              <w:rPr>
                <w:sz w:val="20"/>
                <w:szCs w:val="20"/>
                <w:color w:val="auto"/>
              </w:rPr>
            </w:pPr>
            <w:r>
              <w:rPr>
                <w:rFonts w:ascii="Arial" w:cs="Arial" w:eastAsia="Arial" w:hAnsi="Arial"/>
                <w:sz w:val="18"/>
                <w:szCs w:val="18"/>
                <w:b w:val="1"/>
                <w:bCs w:val="1"/>
                <w:color w:val="FFFFFF"/>
              </w:rPr>
              <w:t>Jun 22</w:t>
            </w:r>
          </w:p>
        </w:tc>
        <w:tc>
          <w:tcPr>
            <w:tcW w:w="13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Jun 22 / Jun 21</w:t>
            </w:r>
          </w:p>
        </w:tc>
        <w:tc>
          <w:tcPr>
            <w:tcW w:w="0" w:type="dxa"/>
            <w:vAlign w:val="bottom"/>
          </w:tcPr>
          <w:p>
            <w:pPr>
              <w:spacing w:after="0"/>
              <w:rPr>
                <w:sz w:val="1"/>
                <w:szCs w:val="1"/>
                <w:color w:val="auto"/>
              </w:rPr>
            </w:pPr>
          </w:p>
        </w:tc>
      </w:tr>
      <w:tr>
        <w:trPr>
          <w:trHeight w:val="166"/>
        </w:trPr>
        <w:tc>
          <w:tcPr>
            <w:tcW w:w="3000" w:type="dxa"/>
            <w:vAlign w:val="bottom"/>
            <w:tcBorders>
              <w:left w:val="single" w:sz="8" w:color="auto"/>
            </w:tcBorders>
            <w:gridSpan w:val="2"/>
          </w:tcPr>
          <w:p>
            <w:pPr>
              <w:ind w:left="20"/>
              <w:spacing w:after="0" w:line="166" w:lineRule="exact"/>
              <w:rPr>
                <w:sz w:val="20"/>
                <w:szCs w:val="20"/>
                <w:color w:val="auto"/>
              </w:rPr>
            </w:pPr>
            <w:r>
              <w:rPr>
                <w:rFonts w:ascii="Arial" w:cs="Arial" w:eastAsia="Arial" w:hAnsi="Arial"/>
                <w:sz w:val="16"/>
                <w:szCs w:val="16"/>
                <w:color w:val="auto"/>
              </w:rPr>
              <w:t>Income from commissions</w:t>
            </w:r>
          </w:p>
        </w:tc>
        <w:tc>
          <w:tcPr>
            <w:tcW w:w="920" w:type="dxa"/>
            <w:vAlign w:val="bottom"/>
            <w:tcBorders>
              <w:right w:val="single" w:sz="8" w:color="auto"/>
            </w:tcBorders>
          </w:tcPr>
          <w:p>
            <w:pPr>
              <w:spacing w:after="0"/>
              <w:rPr>
                <w:sz w:val="14"/>
                <w:szCs w:val="14"/>
                <w:color w:val="auto"/>
              </w:rPr>
            </w:pPr>
          </w:p>
        </w:tc>
        <w:tc>
          <w:tcPr>
            <w:tcW w:w="940" w:type="dxa"/>
            <w:vAlign w:val="bottom"/>
          </w:tcPr>
          <w:p>
            <w:pPr>
              <w:jc w:val="right"/>
              <w:ind w:right="36"/>
              <w:spacing w:after="0" w:line="166" w:lineRule="exact"/>
              <w:rPr>
                <w:sz w:val="20"/>
                <w:szCs w:val="20"/>
                <w:color w:val="auto"/>
              </w:rPr>
            </w:pPr>
            <w:r>
              <w:rPr>
                <w:rFonts w:ascii="Arial" w:cs="Arial" w:eastAsia="Arial" w:hAnsi="Arial"/>
                <w:sz w:val="16"/>
                <w:szCs w:val="16"/>
                <w:color w:val="auto"/>
              </w:rPr>
              <w:t>97,331</w:t>
            </w:r>
          </w:p>
        </w:tc>
        <w:tc>
          <w:tcPr>
            <w:tcW w:w="840" w:type="dxa"/>
            <w:vAlign w:val="bottom"/>
          </w:tcPr>
          <w:p>
            <w:pPr>
              <w:jc w:val="right"/>
              <w:ind w:right="37"/>
              <w:spacing w:after="0" w:line="166" w:lineRule="exact"/>
              <w:rPr>
                <w:sz w:val="20"/>
                <w:szCs w:val="20"/>
                <w:color w:val="auto"/>
              </w:rPr>
            </w:pPr>
            <w:r>
              <w:rPr>
                <w:rFonts w:ascii="Arial" w:cs="Arial" w:eastAsia="Arial" w:hAnsi="Arial"/>
                <w:sz w:val="16"/>
                <w:szCs w:val="16"/>
                <w:color w:val="auto"/>
              </w:rPr>
              <w:t>93,192</w:t>
            </w:r>
          </w:p>
        </w:tc>
        <w:tc>
          <w:tcPr>
            <w:tcW w:w="160" w:type="dxa"/>
            <w:vAlign w:val="bottom"/>
          </w:tcPr>
          <w:p>
            <w:pPr>
              <w:spacing w:after="0"/>
              <w:rPr>
                <w:sz w:val="14"/>
                <w:szCs w:val="14"/>
                <w:color w:val="auto"/>
              </w:rPr>
            </w:pPr>
          </w:p>
        </w:tc>
        <w:tc>
          <w:tcPr>
            <w:tcW w:w="58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98,749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56"/>
              <w:spacing w:after="0" w:line="166" w:lineRule="exact"/>
              <w:rPr>
                <w:sz w:val="20"/>
                <w:szCs w:val="20"/>
                <w:color w:val="auto"/>
              </w:rPr>
            </w:pPr>
            <w:r>
              <w:rPr>
                <w:rFonts w:ascii="Arial" w:cs="Arial" w:eastAsia="Arial" w:hAnsi="Arial"/>
                <w:sz w:val="16"/>
                <w:szCs w:val="16"/>
                <w:color w:val="auto"/>
              </w:rPr>
              <w:t>6.0%</w:t>
            </w:r>
          </w:p>
        </w:tc>
        <w:tc>
          <w:tcPr>
            <w:tcW w:w="920" w:type="dxa"/>
            <w:vAlign w:val="bottom"/>
            <w:tcBorders>
              <w:right w:val="single" w:sz="8" w:color="auto"/>
            </w:tcBorders>
            <w:gridSpan w:val="2"/>
          </w:tcPr>
          <w:p>
            <w:pPr>
              <w:jc w:val="center"/>
              <w:ind w:right="60"/>
              <w:spacing w:after="0" w:line="166" w:lineRule="exact"/>
              <w:rPr>
                <w:sz w:val="20"/>
                <w:szCs w:val="20"/>
                <w:color w:val="auto"/>
              </w:rPr>
            </w:pPr>
            <w:r>
              <w:rPr>
                <w:rFonts w:ascii="Arial" w:cs="Arial" w:eastAsia="Arial" w:hAnsi="Arial"/>
                <w:sz w:val="16"/>
                <w:szCs w:val="16"/>
                <w:color w:val="auto"/>
              </w:rPr>
              <w:t>1.5%</w:t>
            </w: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194,932</w:t>
            </w:r>
          </w:p>
        </w:tc>
        <w:tc>
          <w:tcPr>
            <w:tcW w:w="800" w:type="dxa"/>
            <w:vAlign w:val="bottom"/>
            <w:tcBorders>
              <w:right w:val="single" w:sz="8" w:color="auto"/>
            </w:tcBorders>
          </w:tcPr>
          <w:p>
            <w:pPr>
              <w:jc w:val="right"/>
              <w:spacing w:after="0" w:line="166" w:lineRule="exact"/>
              <w:rPr>
                <w:sz w:val="20"/>
                <w:szCs w:val="20"/>
                <w:color w:val="auto"/>
              </w:rPr>
            </w:pPr>
            <w:r>
              <w:rPr>
                <w:rFonts w:ascii="Arial" w:cs="Arial" w:eastAsia="Arial" w:hAnsi="Arial"/>
                <w:sz w:val="16"/>
                <w:szCs w:val="16"/>
                <w:color w:val="auto"/>
              </w:rPr>
              <w:t>191,941</w:t>
            </w:r>
          </w:p>
        </w:tc>
        <w:tc>
          <w:tcPr>
            <w:tcW w:w="13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Administrative and sale expenses</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(38,412)</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color w:val="auto"/>
              </w:rPr>
              <w:t>(43,800)</w:t>
            </w:r>
          </w:p>
        </w:tc>
        <w:tc>
          <w:tcPr>
            <w:tcW w:w="7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(45,786)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6"/>
              <w:spacing w:after="0" w:line="183" w:lineRule="exact"/>
              <w:rPr>
                <w:sz w:val="20"/>
                <w:szCs w:val="20"/>
                <w:color w:val="auto"/>
              </w:rPr>
            </w:pPr>
            <w:r>
              <w:rPr>
                <w:rFonts w:ascii="Arial" w:cs="Arial" w:eastAsia="Arial" w:hAnsi="Arial"/>
                <w:sz w:val="16"/>
                <w:szCs w:val="16"/>
                <w:color w:val="auto"/>
              </w:rPr>
              <w:t>4.5%</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color w:val="auto"/>
              </w:rPr>
              <w:t>19.2%</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(77,290)</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(89,586)</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Depreciation and amortization</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(5,541)</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color w:val="auto"/>
              </w:rPr>
              <w:t>(6,215)</w:t>
            </w:r>
          </w:p>
        </w:tc>
        <w:tc>
          <w:tcPr>
            <w:tcW w:w="160" w:type="dxa"/>
            <w:vAlign w:val="bottom"/>
          </w:tcPr>
          <w:p>
            <w:pPr>
              <w:spacing w:after="0"/>
              <w:rPr>
                <w:sz w:val="15"/>
                <w:szCs w:val="15"/>
                <w:color w:val="auto"/>
              </w:rPr>
            </w:pPr>
          </w:p>
        </w:tc>
        <w:tc>
          <w:tcPr>
            <w:tcW w:w="5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(6,247)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6"/>
              <w:spacing w:after="0" w:line="183" w:lineRule="exact"/>
              <w:rPr>
                <w:sz w:val="20"/>
                <w:szCs w:val="20"/>
                <w:color w:val="auto"/>
              </w:rPr>
            </w:pPr>
            <w:r>
              <w:rPr>
                <w:rFonts w:ascii="Arial" w:cs="Arial" w:eastAsia="Arial" w:hAnsi="Arial"/>
                <w:sz w:val="16"/>
                <w:szCs w:val="16"/>
                <w:color w:val="auto"/>
              </w:rPr>
              <w:t>0.5%</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color w:val="auto"/>
              </w:rPr>
              <w:t>12.7%</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(11,465)</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(12,461)</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Operating income</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b w:val="1"/>
                <w:bCs w:val="1"/>
                <w:color w:val="auto"/>
              </w:rPr>
              <w:t>53,378</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b w:val="1"/>
                <w:bCs w:val="1"/>
                <w:color w:val="auto"/>
              </w:rPr>
              <w:t>43,178</w:t>
            </w:r>
          </w:p>
        </w:tc>
        <w:tc>
          <w:tcPr>
            <w:tcW w:w="160" w:type="dxa"/>
            <w:vAlign w:val="bottom"/>
          </w:tcPr>
          <w:p>
            <w:pPr>
              <w:spacing w:after="0"/>
              <w:rPr>
                <w:sz w:val="15"/>
                <w:szCs w:val="15"/>
                <w:color w:val="auto"/>
              </w:rPr>
            </w:pPr>
          </w:p>
        </w:tc>
        <w:tc>
          <w:tcPr>
            <w:tcW w:w="5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46,717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6"/>
              <w:spacing w:after="0" w:line="183" w:lineRule="exact"/>
              <w:rPr>
                <w:sz w:val="20"/>
                <w:szCs w:val="20"/>
                <w:color w:val="auto"/>
              </w:rPr>
            </w:pPr>
            <w:r>
              <w:rPr>
                <w:rFonts w:ascii="Arial" w:cs="Arial" w:eastAsia="Arial" w:hAnsi="Arial"/>
                <w:sz w:val="16"/>
                <w:szCs w:val="16"/>
                <w:b w:val="1"/>
                <w:bCs w:val="1"/>
                <w:color w:val="auto"/>
              </w:rPr>
              <w:t>8.2%</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8"/>
              </w:rPr>
              <w:t>-12.5%</w:t>
            </w: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106,177</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89,894</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-15.3%</w:t>
            </w:r>
          </w:p>
        </w:tc>
        <w:tc>
          <w:tcPr>
            <w:tcW w:w="0" w:type="dxa"/>
            <w:vAlign w:val="bottom"/>
          </w:tcPr>
          <w:p>
            <w:pPr>
              <w:spacing w:after="0"/>
              <w:rPr>
                <w:sz w:val="1"/>
                <w:szCs w:val="1"/>
                <w:color w:val="auto"/>
              </w:rPr>
            </w:pPr>
          </w:p>
        </w:tc>
      </w:tr>
      <w:tr>
        <w:trPr>
          <w:trHeight w:val="183"/>
        </w:trPr>
        <w:tc>
          <w:tcPr>
            <w:tcW w:w="3920" w:type="dxa"/>
            <w:vAlign w:val="bottom"/>
            <w:tcBorders>
              <w:left w:val="single" w:sz="8" w:color="auto"/>
              <w:right w:val="single" w:sz="8" w:color="auto"/>
            </w:tcBorders>
            <w:gridSpan w:val="3"/>
          </w:tcPr>
          <w:p>
            <w:pPr>
              <w:ind w:left="20"/>
              <w:spacing w:after="0" w:line="183" w:lineRule="exact"/>
              <w:rPr>
                <w:sz w:val="20"/>
                <w:szCs w:val="20"/>
                <w:color w:val="auto"/>
              </w:rPr>
            </w:pPr>
            <w:r>
              <w:rPr>
                <w:rFonts w:ascii="Arial" w:cs="Arial" w:eastAsia="Arial" w:hAnsi="Arial"/>
                <w:sz w:val="16"/>
                <w:szCs w:val="16"/>
                <w:color w:val="auto"/>
              </w:rPr>
              <w:t>Other income and expenses, net (profitability of lace)*</w:t>
            </w: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6,577</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color w:val="auto"/>
              </w:rPr>
              <w:t>(4,133)</w:t>
            </w:r>
          </w:p>
        </w:tc>
        <w:tc>
          <w:tcPr>
            <w:tcW w:w="7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(17,121)</w:t>
            </w:r>
          </w:p>
        </w:tc>
        <w:tc>
          <w:tcPr>
            <w:tcW w:w="120" w:type="dxa"/>
            <w:vAlign w:val="bottom"/>
          </w:tcPr>
          <w:p>
            <w:pPr>
              <w:spacing w:after="0"/>
              <w:rPr>
                <w:sz w:val="15"/>
                <w:szCs w:val="15"/>
                <w:color w:val="auto"/>
              </w:rPr>
            </w:pPr>
          </w:p>
        </w:tc>
        <w:tc>
          <w:tcPr>
            <w:tcW w:w="780" w:type="dxa"/>
            <w:vAlign w:val="bottom"/>
            <w:gridSpan w:val="2"/>
          </w:tcPr>
          <w:p>
            <w:pPr>
              <w:jc w:val="center"/>
              <w:ind w:right="76"/>
              <w:spacing w:after="0" w:line="183" w:lineRule="exact"/>
              <w:rPr>
                <w:sz w:val="20"/>
                <w:szCs w:val="20"/>
                <w:color w:val="auto"/>
              </w:rPr>
            </w:pPr>
            <w:r>
              <w:rPr>
                <w:rFonts w:ascii="Arial" w:cs="Arial" w:eastAsia="Arial" w:hAnsi="Arial"/>
                <w:sz w:val="16"/>
                <w:szCs w:val="16"/>
                <w:color w:val="auto"/>
                <w:w w:val="99"/>
              </w:rPr>
              <w:t>314.3%</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color w:val="auto"/>
              </w:rPr>
              <w:t>-360.3%</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5,023</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(21,254)</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-523.1%</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Income tax</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(16,134)</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color w:val="auto"/>
              </w:rPr>
              <w:t>(13,194)</w:t>
            </w:r>
          </w:p>
        </w:tc>
        <w:tc>
          <w:tcPr>
            <w:tcW w:w="740" w:type="dxa"/>
            <w:vAlign w:val="bottom"/>
            <w:tcBorders>
              <w:right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(16,032)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6"/>
              <w:spacing w:after="0" w:line="183" w:lineRule="exact"/>
              <w:rPr>
                <w:sz w:val="20"/>
                <w:szCs w:val="20"/>
                <w:color w:val="auto"/>
              </w:rPr>
            </w:pPr>
            <w:r>
              <w:rPr>
                <w:rFonts w:ascii="Arial" w:cs="Arial" w:eastAsia="Arial" w:hAnsi="Arial"/>
                <w:sz w:val="16"/>
                <w:szCs w:val="16"/>
                <w:color w:val="auto"/>
              </w:rPr>
              <w:t>21.5%</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color w:val="auto"/>
              </w:rPr>
              <w:t>-0.6%</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(32,361)</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(29,226)</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Net income before translation results</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b w:val="1"/>
                <w:bCs w:val="1"/>
                <w:color w:val="auto"/>
              </w:rPr>
              <w:t>43,822</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b w:val="1"/>
                <w:bCs w:val="1"/>
                <w:color w:val="auto"/>
              </w:rPr>
              <w:t>25,851</w:t>
            </w:r>
          </w:p>
        </w:tc>
        <w:tc>
          <w:tcPr>
            <w:tcW w:w="160" w:type="dxa"/>
            <w:vAlign w:val="bottom"/>
          </w:tcPr>
          <w:p>
            <w:pPr>
              <w:spacing w:after="0"/>
              <w:rPr>
                <w:sz w:val="15"/>
                <w:szCs w:val="15"/>
                <w:color w:val="auto"/>
              </w:rPr>
            </w:pPr>
          </w:p>
        </w:tc>
        <w:tc>
          <w:tcPr>
            <w:tcW w:w="5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13,563</w:t>
            </w:r>
          </w:p>
        </w:tc>
        <w:tc>
          <w:tcPr>
            <w:tcW w:w="120" w:type="dxa"/>
            <w:vAlign w:val="bottom"/>
          </w:tcPr>
          <w:p>
            <w:pPr>
              <w:spacing w:after="0"/>
              <w:rPr>
                <w:sz w:val="15"/>
                <w:szCs w:val="15"/>
                <w:color w:val="auto"/>
              </w:rPr>
            </w:pPr>
          </w:p>
        </w:tc>
        <w:tc>
          <w:tcPr>
            <w:tcW w:w="780" w:type="dxa"/>
            <w:vAlign w:val="bottom"/>
            <w:gridSpan w:val="2"/>
          </w:tcPr>
          <w:p>
            <w:pPr>
              <w:jc w:val="center"/>
              <w:ind w:right="56"/>
              <w:spacing w:after="0" w:line="183" w:lineRule="exact"/>
              <w:rPr>
                <w:sz w:val="20"/>
                <w:szCs w:val="20"/>
                <w:color w:val="auto"/>
              </w:rPr>
            </w:pPr>
            <w:r>
              <w:rPr>
                <w:rFonts w:ascii="Arial" w:cs="Arial" w:eastAsia="Arial" w:hAnsi="Arial"/>
                <w:sz w:val="16"/>
                <w:szCs w:val="16"/>
                <w:b w:val="1"/>
                <w:bCs w:val="1"/>
                <w:color w:val="auto"/>
              </w:rPr>
              <w:t>-47.5%</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8"/>
              </w:rPr>
              <w:t>-69.0%</w:t>
            </w: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78,840</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39,414</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-50.0%</w:t>
            </w: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Translations results</w:t>
            </w:r>
          </w:p>
        </w:tc>
        <w:tc>
          <w:tcPr>
            <w:tcW w:w="920" w:type="dxa"/>
            <w:vAlign w:val="bottom"/>
            <w:tcBorders>
              <w:right w:val="single" w:sz="8" w:color="auto"/>
            </w:tcBorders>
          </w:tcPr>
          <w:p>
            <w:pPr>
              <w:spacing w:after="0"/>
              <w:rPr>
                <w:sz w:val="15"/>
                <w:szCs w:val="15"/>
                <w:color w:val="auto"/>
              </w:rPr>
            </w:pPr>
          </w:p>
        </w:tc>
        <w:tc>
          <w:tcPr>
            <w:tcW w:w="940" w:type="dxa"/>
            <w:vAlign w:val="bottom"/>
          </w:tcPr>
          <w:p>
            <w:pPr>
              <w:jc w:val="right"/>
              <w:ind w:right="36"/>
              <w:spacing w:after="0" w:line="183" w:lineRule="exact"/>
              <w:rPr>
                <w:sz w:val="20"/>
                <w:szCs w:val="20"/>
                <w:color w:val="auto"/>
              </w:rPr>
            </w:pPr>
            <w:r>
              <w:rPr>
                <w:rFonts w:ascii="Arial" w:cs="Arial" w:eastAsia="Arial" w:hAnsi="Arial"/>
                <w:sz w:val="16"/>
                <w:szCs w:val="16"/>
                <w:color w:val="auto"/>
              </w:rPr>
              <w:t>479</w:t>
            </w:r>
          </w:p>
        </w:tc>
        <w:tc>
          <w:tcPr>
            <w:tcW w:w="840" w:type="dxa"/>
            <w:vAlign w:val="bottom"/>
          </w:tcPr>
          <w:p>
            <w:pPr>
              <w:jc w:val="right"/>
              <w:ind w:right="37"/>
              <w:spacing w:after="0" w:line="183" w:lineRule="exact"/>
              <w:rPr>
                <w:sz w:val="20"/>
                <w:szCs w:val="20"/>
                <w:color w:val="auto"/>
              </w:rPr>
            </w:pPr>
            <w:r>
              <w:rPr>
                <w:rFonts w:ascii="Arial" w:cs="Arial" w:eastAsia="Arial" w:hAnsi="Arial"/>
                <w:sz w:val="16"/>
                <w:szCs w:val="16"/>
                <w:color w:val="auto"/>
              </w:rPr>
              <w:t>(1,416)</w:t>
            </w:r>
          </w:p>
        </w:tc>
        <w:tc>
          <w:tcPr>
            <w:tcW w:w="160" w:type="dxa"/>
            <w:vAlign w:val="bottom"/>
          </w:tcPr>
          <w:p>
            <w:pPr>
              <w:spacing w:after="0"/>
              <w:rPr>
                <w:sz w:val="15"/>
                <w:szCs w:val="15"/>
                <w:color w:val="auto"/>
              </w:rPr>
            </w:pPr>
          </w:p>
        </w:tc>
        <w:tc>
          <w:tcPr>
            <w:tcW w:w="5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529</w:t>
            </w:r>
          </w:p>
        </w:tc>
        <w:tc>
          <w:tcPr>
            <w:tcW w:w="120" w:type="dxa"/>
            <w:vAlign w:val="bottom"/>
          </w:tcPr>
          <w:p>
            <w:pPr>
              <w:spacing w:after="0"/>
              <w:rPr>
                <w:sz w:val="15"/>
                <w:szCs w:val="15"/>
                <w:color w:val="auto"/>
              </w:rPr>
            </w:pPr>
          </w:p>
        </w:tc>
        <w:tc>
          <w:tcPr>
            <w:tcW w:w="780" w:type="dxa"/>
            <w:vAlign w:val="bottom"/>
            <w:gridSpan w:val="2"/>
          </w:tcPr>
          <w:p>
            <w:pPr>
              <w:jc w:val="center"/>
              <w:ind w:right="56"/>
              <w:spacing w:after="0" w:line="183" w:lineRule="exact"/>
              <w:rPr>
                <w:sz w:val="20"/>
                <w:szCs w:val="20"/>
                <w:color w:val="auto"/>
              </w:rPr>
            </w:pPr>
            <w:r>
              <w:rPr>
                <w:rFonts w:ascii="Arial" w:cs="Arial" w:eastAsia="Arial" w:hAnsi="Arial"/>
                <w:sz w:val="16"/>
                <w:szCs w:val="16"/>
                <w:color w:val="auto"/>
              </w:rPr>
              <w:t>-137.4%</w:t>
            </w:r>
          </w:p>
        </w:tc>
        <w:tc>
          <w:tcPr>
            <w:tcW w:w="920" w:type="dxa"/>
            <w:vAlign w:val="bottom"/>
            <w:tcBorders>
              <w:right w:val="single" w:sz="8" w:color="auto"/>
            </w:tcBorders>
            <w:gridSpan w:val="2"/>
          </w:tcPr>
          <w:p>
            <w:pPr>
              <w:jc w:val="center"/>
              <w:ind w:right="60"/>
              <w:spacing w:after="0" w:line="183" w:lineRule="exact"/>
              <w:rPr>
                <w:sz w:val="20"/>
                <w:szCs w:val="20"/>
                <w:color w:val="auto"/>
              </w:rPr>
            </w:pPr>
            <w:r>
              <w:rPr>
                <w:rFonts w:ascii="Arial" w:cs="Arial" w:eastAsia="Arial" w:hAnsi="Arial"/>
                <w:sz w:val="16"/>
                <w:szCs w:val="16"/>
                <w:color w:val="auto"/>
              </w:rPr>
              <w:t>10.5%</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57</w:t>
            </w:r>
          </w:p>
        </w:tc>
        <w:tc>
          <w:tcPr>
            <w:tcW w:w="80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(887)</w:t>
            </w:r>
          </w:p>
        </w:tc>
        <w:tc>
          <w:tcPr>
            <w:tcW w:w="13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-1653.9%</w:t>
            </w:r>
          </w:p>
        </w:tc>
        <w:tc>
          <w:tcPr>
            <w:tcW w:w="0" w:type="dxa"/>
            <w:vAlign w:val="bottom"/>
          </w:tcPr>
          <w:p>
            <w:pPr>
              <w:spacing w:after="0"/>
              <w:rPr>
                <w:sz w:val="1"/>
                <w:szCs w:val="1"/>
                <w:color w:val="auto"/>
              </w:rPr>
            </w:pPr>
          </w:p>
        </w:tc>
      </w:tr>
      <w:tr>
        <w:trPr>
          <w:trHeight w:val="204"/>
        </w:trPr>
        <w:tc>
          <w:tcPr>
            <w:tcW w:w="30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44,301</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24,434</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14,092</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6"/>
                <w:szCs w:val="16"/>
                <w:b w:val="1"/>
                <w:bCs w:val="1"/>
                <w:color w:val="auto"/>
              </w:rPr>
              <w:t>-42.3%</w:t>
            </w:r>
          </w:p>
        </w:tc>
        <w:tc>
          <w:tcPr>
            <w:tcW w:w="92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8"/>
              </w:rPr>
              <w:t>-68.2%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78,897</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38,527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-51.2%</w:t>
            </w:r>
          </w:p>
        </w:tc>
        <w:tc>
          <w:tcPr>
            <w:tcW w:w="0" w:type="dxa"/>
            <w:vAlign w:val="bottom"/>
          </w:tcPr>
          <w:p>
            <w:pPr>
              <w:spacing w:after="0"/>
              <w:rPr>
                <w:sz w:val="1"/>
                <w:szCs w:val="1"/>
                <w:color w:val="auto"/>
              </w:rPr>
            </w:pPr>
          </w:p>
        </w:tc>
      </w:tr>
      <w:tr>
        <w:trPr>
          <w:trHeight w:val="187"/>
        </w:trPr>
        <w:tc>
          <w:tcPr>
            <w:tcW w:w="3000" w:type="dxa"/>
            <w:vAlign w:val="bottom"/>
            <w:tcBorders>
              <w:left w:val="single" w:sz="8" w:color="auto"/>
              <w:bottom w:val="single" w:sz="8" w:color="auto"/>
            </w:tcBorders>
            <w:gridSpan w:val="2"/>
          </w:tcPr>
          <w:p>
            <w:pPr>
              <w:ind w:left="20"/>
              <w:spacing w:after="0" w:line="183" w:lineRule="exact"/>
              <w:rPr>
                <w:sz w:val="20"/>
                <w:szCs w:val="20"/>
                <w:color w:val="auto"/>
              </w:rPr>
            </w:pPr>
            <w:r>
              <w:rPr>
                <w:rFonts w:ascii="Arial" w:cs="Arial" w:eastAsia="Arial" w:hAnsi="Arial"/>
                <w:sz w:val="13"/>
                <w:szCs w:val="13"/>
                <w:b w:val="1"/>
                <w:bCs w:val="1"/>
                <w:color w:val="auto"/>
              </w:rPr>
              <w:t xml:space="preserve">ROAE </w:t>
            </w:r>
            <w:r>
              <w:rPr>
                <w:rFonts w:ascii="Arial" w:cs="Arial" w:eastAsia="Arial" w:hAnsi="Arial"/>
                <w:sz w:val="21"/>
                <w:szCs w:val="21"/>
                <w:b w:val="1"/>
                <w:bCs w:val="1"/>
                <w:color w:val="auto"/>
                <w:vertAlign w:val="superscript"/>
              </w:rPr>
              <w:t>(1)</w:t>
            </w:r>
          </w:p>
        </w:tc>
        <w:tc>
          <w:tcPr>
            <w:tcW w:w="92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jc w:val="right"/>
              <w:ind w:right="36"/>
              <w:spacing w:after="0" w:line="183" w:lineRule="exact"/>
              <w:rPr>
                <w:sz w:val="20"/>
                <w:szCs w:val="20"/>
                <w:color w:val="auto"/>
              </w:rPr>
            </w:pPr>
            <w:r>
              <w:rPr>
                <w:rFonts w:ascii="Arial" w:cs="Arial" w:eastAsia="Arial" w:hAnsi="Arial"/>
                <w:sz w:val="16"/>
                <w:szCs w:val="16"/>
                <w:b w:val="1"/>
                <w:bCs w:val="1"/>
                <w:color w:val="auto"/>
              </w:rPr>
              <w:t>28.5%</w:t>
            </w:r>
          </w:p>
        </w:tc>
        <w:tc>
          <w:tcPr>
            <w:tcW w:w="840" w:type="dxa"/>
            <w:vAlign w:val="bottom"/>
            <w:tcBorders>
              <w:bottom w:val="single" w:sz="8" w:color="auto"/>
            </w:tcBorders>
          </w:tcPr>
          <w:p>
            <w:pPr>
              <w:jc w:val="right"/>
              <w:ind w:right="37"/>
              <w:spacing w:after="0" w:line="183" w:lineRule="exact"/>
              <w:rPr>
                <w:sz w:val="20"/>
                <w:szCs w:val="20"/>
                <w:color w:val="auto"/>
              </w:rPr>
            </w:pPr>
            <w:r>
              <w:rPr>
                <w:rFonts w:ascii="Arial" w:cs="Arial" w:eastAsia="Arial" w:hAnsi="Arial"/>
                <w:sz w:val="16"/>
                <w:szCs w:val="16"/>
                <w:b w:val="1"/>
                <w:bCs w:val="1"/>
                <w:color w:val="auto"/>
              </w:rPr>
              <w:t>19.8%</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13.5%</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-636 pbs</w:t>
            </w:r>
          </w:p>
        </w:tc>
        <w:tc>
          <w:tcPr>
            <w:tcW w:w="920" w:type="dxa"/>
            <w:vAlign w:val="bottom"/>
            <w:tcBorders>
              <w:bottom w:val="single" w:sz="8" w:color="auto"/>
              <w:right w:val="single" w:sz="8" w:color="auto"/>
            </w:tcBorders>
            <w:gridSpan w:val="2"/>
          </w:tcPr>
          <w:p>
            <w:pPr>
              <w:jc w:val="center"/>
              <w:ind w:right="20"/>
              <w:spacing w:after="0" w:line="183" w:lineRule="exact"/>
              <w:rPr>
                <w:sz w:val="20"/>
                <w:szCs w:val="20"/>
                <w:color w:val="auto"/>
              </w:rPr>
            </w:pPr>
            <w:r>
              <w:rPr>
                <w:rFonts w:ascii="Arial" w:cs="Arial" w:eastAsia="Arial" w:hAnsi="Arial"/>
                <w:sz w:val="16"/>
                <w:szCs w:val="16"/>
                <w:b w:val="1"/>
                <w:bCs w:val="1"/>
                <w:color w:val="auto"/>
              </w:rPr>
              <w:t>-1503 pbs</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23.5%</w:t>
            </w:r>
          </w:p>
        </w:tc>
        <w:tc>
          <w:tcPr>
            <w:tcW w:w="8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15.4%</w:t>
            </w:r>
          </w:p>
        </w:tc>
        <w:tc>
          <w:tcPr>
            <w:tcW w:w="13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-806 pbs</w:t>
            </w: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40" w:type="dxa"/>
            <w:vAlign w:val="bottom"/>
            <w:tcBorders>
              <w:right w:val="single" w:sz="8" w:color="auto"/>
            </w:tcBorders>
          </w:tcPr>
          <w:p>
            <w:pPr>
              <w:spacing w:after="0"/>
              <w:rPr>
                <w:sz w:val="15"/>
                <w:szCs w:val="15"/>
                <w:color w:val="auto"/>
              </w:rPr>
            </w:pPr>
          </w:p>
        </w:tc>
        <w:tc>
          <w:tcPr>
            <w:tcW w:w="160" w:type="dxa"/>
            <w:vAlign w:val="bottom"/>
            <w:shd w:val="clear" w:color="auto" w:fill="2AD2C9"/>
          </w:tcPr>
          <w:p>
            <w:pPr>
              <w:spacing w:after="0"/>
              <w:rPr>
                <w:sz w:val="15"/>
                <w:szCs w:val="15"/>
                <w:color w:val="auto"/>
              </w:rPr>
            </w:pPr>
          </w:p>
        </w:tc>
        <w:tc>
          <w:tcPr>
            <w:tcW w:w="920" w:type="dxa"/>
            <w:vAlign w:val="bottom"/>
            <w:tcBorders>
              <w:right w:val="single" w:sz="8" w:color="2AD2C9"/>
            </w:tcBorders>
            <w:vMerge w:val="restart"/>
            <w:shd w:val="clear" w:color="auto" w:fill="2AD2C9"/>
          </w:tcPr>
          <w:p>
            <w:pPr>
              <w:jc w:val="right"/>
              <w:ind w:right="291"/>
              <w:spacing w:after="0"/>
              <w:rPr>
                <w:sz w:val="20"/>
                <w:szCs w:val="20"/>
                <w:color w:val="auto"/>
              </w:rPr>
            </w:pPr>
            <w:r>
              <w:rPr>
                <w:rFonts w:ascii="Arial" w:cs="Arial" w:eastAsia="Arial" w:hAnsi="Arial"/>
                <w:sz w:val="18"/>
                <w:szCs w:val="18"/>
                <w:b w:val="1"/>
                <w:bCs w:val="1"/>
                <w:color w:val="FFFFFF"/>
              </w:rPr>
              <w:t>2Q21</w:t>
            </w:r>
          </w:p>
        </w:tc>
        <w:tc>
          <w:tcPr>
            <w:tcW w:w="940" w:type="dxa"/>
            <w:vAlign w:val="bottom"/>
            <w:shd w:val="clear" w:color="auto" w:fill="2AD2C9"/>
          </w:tcPr>
          <w:p>
            <w:pPr>
              <w:jc w:val="right"/>
              <w:ind w:right="96"/>
              <w:spacing w:after="0" w:line="174" w:lineRule="exact"/>
              <w:rPr>
                <w:sz w:val="20"/>
                <w:szCs w:val="20"/>
                <w:color w:val="auto"/>
              </w:rPr>
            </w:pPr>
            <w:r>
              <w:rPr>
                <w:rFonts w:ascii="Arial" w:cs="Arial" w:eastAsia="Arial" w:hAnsi="Arial"/>
                <w:sz w:val="18"/>
                <w:szCs w:val="18"/>
                <w:b w:val="1"/>
                <w:bCs w:val="1"/>
                <w:color w:val="FFFFFF"/>
              </w:rPr>
              <w:t>As of</w:t>
            </w:r>
          </w:p>
        </w:tc>
        <w:tc>
          <w:tcPr>
            <w:tcW w:w="840" w:type="dxa"/>
            <w:vAlign w:val="bottom"/>
            <w:vMerge w:val="restart"/>
            <w:shd w:val="clear" w:color="auto" w:fill="2AD2C9"/>
          </w:tcPr>
          <w:p>
            <w:pPr>
              <w:jc w:val="right"/>
              <w:ind w:right="57"/>
              <w:spacing w:after="0"/>
              <w:rPr>
                <w:sz w:val="20"/>
                <w:szCs w:val="20"/>
                <w:color w:val="auto"/>
              </w:rPr>
            </w:pPr>
            <w:r>
              <w:rPr>
                <w:rFonts w:ascii="Arial" w:cs="Arial" w:eastAsia="Arial" w:hAnsi="Arial"/>
                <w:sz w:val="18"/>
                <w:szCs w:val="18"/>
                <w:b w:val="1"/>
                <w:bCs w:val="1"/>
                <w:color w:val="FFFFFF"/>
              </w:rPr>
              <w:t>2Q22</w:t>
            </w:r>
          </w:p>
        </w:tc>
        <w:tc>
          <w:tcPr>
            <w:tcW w:w="160" w:type="dxa"/>
            <w:vAlign w:val="bottom"/>
            <w:tcBorders>
              <w:right w:val="single" w:sz="8" w:color="auto"/>
            </w:tcBorders>
            <w:shd w:val="clear" w:color="auto" w:fill="2AD2C9"/>
          </w:tcPr>
          <w:p>
            <w:pPr>
              <w:spacing w:after="0"/>
              <w:rPr>
                <w:sz w:val="15"/>
                <w:szCs w:val="15"/>
                <w:color w:val="auto"/>
              </w:rPr>
            </w:pPr>
          </w:p>
        </w:tc>
        <w:tc>
          <w:tcPr>
            <w:tcW w:w="580" w:type="dxa"/>
            <w:vAlign w:val="bottom"/>
            <w:tcBorders>
              <w:right w:val="single" w:sz="8" w:color="2AD2C9"/>
            </w:tcBorders>
            <w:shd w:val="clear" w:color="auto" w:fill="2AD2C9"/>
          </w:tcPr>
          <w:p>
            <w:pPr>
              <w:spacing w:after="0"/>
              <w:rPr>
                <w:sz w:val="15"/>
                <w:szCs w:val="15"/>
                <w:color w:val="auto"/>
              </w:rPr>
            </w:pPr>
          </w:p>
        </w:tc>
        <w:tc>
          <w:tcPr>
            <w:tcW w:w="900" w:type="dxa"/>
            <w:vAlign w:val="bottom"/>
            <w:gridSpan w:val="3"/>
            <w:shd w:val="clear" w:color="auto" w:fill="2AD2C9"/>
          </w:tcPr>
          <w:p>
            <w:pPr>
              <w:jc w:val="center"/>
              <w:spacing w:after="0" w:line="174" w:lineRule="exact"/>
              <w:rPr>
                <w:sz w:val="20"/>
                <w:szCs w:val="20"/>
                <w:color w:val="auto"/>
              </w:rPr>
            </w:pPr>
            <w:r>
              <w:rPr>
                <w:rFonts w:ascii="Arial" w:cs="Arial" w:eastAsia="Arial" w:hAnsi="Arial"/>
                <w:sz w:val="18"/>
                <w:szCs w:val="18"/>
                <w:b w:val="1"/>
                <w:bCs w:val="1"/>
                <w:color w:val="FFFFFF"/>
                <w:w w:val="99"/>
              </w:rPr>
              <w:t>% change</w:t>
            </w:r>
          </w:p>
        </w:tc>
        <w:tc>
          <w:tcPr>
            <w:tcW w:w="540" w:type="dxa"/>
            <w:vAlign w:val="bottom"/>
            <w:tcBorders>
              <w:right w:val="single" w:sz="8" w:color="auto"/>
            </w:tcBorders>
            <w:shd w:val="clear" w:color="auto" w:fill="2AD2C9"/>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shd w:val="clear" w:color="auto" w:fill="2AD2C9"/>
          </w:tcPr>
          <w:p>
            <w:pPr>
              <w:spacing w:after="0"/>
              <w:rPr>
                <w:sz w:val="19"/>
                <w:szCs w:val="19"/>
                <w:color w:val="auto"/>
              </w:rPr>
            </w:pPr>
          </w:p>
        </w:tc>
        <w:tc>
          <w:tcPr>
            <w:tcW w:w="920" w:type="dxa"/>
            <w:vAlign w:val="bottom"/>
            <w:tcBorders>
              <w:bottom w:val="single" w:sz="8" w:color="auto"/>
              <w:right w:val="single" w:sz="8" w:color="2AD2C9"/>
            </w:tcBorders>
            <w:vMerge w:val="continue"/>
            <w:shd w:val="clear" w:color="auto" w:fill="2AD2C9"/>
          </w:tcPr>
          <w:p>
            <w:pPr>
              <w:spacing w:after="0"/>
              <w:rPr>
                <w:sz w:val="19"/>
                <w:szCs w:val="19"/>
                <w:color w:val="auto"/>
              </w:rPr>
            </w:pPr>
          </w:p>
        </w:tc>
        <w:tc>
          <w:tcPr>
            <w:tcW w:w="940" w:type="dxa"/>
            <w:vAlign w:val="bottom"/>
            <w:tcBorders>
              <w:bottom w:val="single" w:sz="8" w:color="auto"/>
            </w:tcBorders>
            <w:shd w:val="clear" w:color="auto" w:fill="2AD2C9"/>
          </w:tcPr>
          <w:p>
            <w:pPr>
              <w:jc w:val="center"/>
              <w:ind w:right="16"/>
              <w:spacing w:after="0"/>
              <w:rPr>
                <w:sz w:val="20"/>
                <w:szCs w:val="20"/>
                <w:color w:val="auto"/>
              </w:rPr>
            </w:pPr>
            <w:r>
              <w:rPr>
                <w:rFonts w:ascii="Arial" w:cs="Arial" w:eastAsia="Arial" w:hAnsi="Arial"/>
                <w:sz w:val="18"/>
                <w:szCs w:val="18"/>
                <w:b w:val="1"/>
                <w:bCs w:val="1"/>
                <w:color w:val="FFFFFF"/>
                <w:w w:val="99"/>
              </w:rPr>
              <w:t>1Q22</w:t>
            </w:r>
          </w:p>
        </w:tc>
        <w:tc>
          <w:tcPr>
            <w:tcW w:w="840" w:type="dxa"/>
            <w:vAlign w:val="bottom"/>
            <w:tcBorders>
              <w:bottom w:val="single" w:sz="8" w:color="auto"/>
            </w:tcBorders>
            <w:vMerge w:val="continue"/>
            <w:shd w:val="clear" w:color="auto" w:fill="2AD2C9"/>
          </w:tcPr>
          <w:p>
            <w:pPr>
              <w:spacing w:after="0"/>
              <w:rPr>
                <w:sz w:val="19"/>
                <w:szCs w:val="19"/>
                <w:color w:val="auto"/>
              </w:rPr>
            </w:pPr>
          </w:p>
        </w:tc>
        <w:tc>
          <w:tcPr>
            <w:tcW w:w="160" w:type="dxa"/>
            <w:vAlign w:val="bottom"/>
            <w:tcBorders>
              <w:bottom w:val="single" w:sz="8" w:color="auto"/>
              <w:right w:val="single" w:sz="8" w:color="auto"/>
            </w:tcBorders>
            <w:shd w:val="clear" w:color="auto" w:fill="2AD2C9"/>
          </w:tcPr>
          <w:p>
            <w:pPr>
              <w:spacing w:after="0"/>
              <w:rPr>
                <w:sz w:val="19"/>
                <w:szCs w:val="19"/>
                <w:color w:val="auto"/>
              </w:rPr>
            </w:pPr>
          </w:p>
        </w:tc>
        <w:tc>
          <w:tcPr>
            <w:tcW w:w="700" w:type="dxa"/>
            <w:vAlign w:val="bottom"/>
            <w:tcBorders>
              <w:bottom w:val="single" w:sz="8" w:color="auto"/>
            </w:tcBorders>
            <w:gridSpan w:val="2"/>
            <w:shd w:val="clear" w:color="auto" w:fill="2AD2C9"/>
          </w:tcPr>
          <w:p>
            <w:pPr>
              <w:jc w:val="center"/>
              <w:ind w:left="216"/>
              <w:spacing w:after="0"/>
              <w:rPr>
                <w:sz w:val="20"/>
                <w:szCs w:val="20"/>
                <w:color w:val="auto"/>
              </w:rPr>
            </w:pPr>
            <w:r>
              <w:rPr>
                <w:rFonts w:ascii="Arial" w:cs="Arial" w:eastAsia="Arial" w:hAnsi="Arial"/>
                <w:sz w:val="18"/>
                <w:szCs w:val="18"/>
                <w:b w:val="1"/>
                <w:bCs w:val="1"/>
                <w:color w:val="FFFFFF"/>
              </w:rPr>
              <w:t>QoQ</w:t>
            </w:r>
          </w:p>
        </w:tc>
        <w:tc>
          <w:tcPr>
            <w:tcW w:w="80" w:type="dxa"/>
            <w:vAlign w:val="bottom"/>
            <w:tcBorders>
              <w:bottom w:val="single" w:sz="8" w:color="auto"/>
            </w:tcBorders>
            <w:shd w:val="clear" w:color="auto" w:fill="2AD2C9"/>
          </w:tcPr>
          <w:p>
            <w:pPr>
              <w:spacing w:after="0"/>
              <w:rPr>
                <w:sz w:val="19"/>
                <w:szCs w:val="19"/>
                <w:color w:val="auto"/>
              </w:rPr>
            </w:pPr>
          </w:p>
        </w:tc>
        <w:tc>
          <w:tcPr>
            <w:tcW w:w="1240" w:type="dxa"/>
            <w:vAlign w:val="bottom"/>
            <w:tcBorders>
              <w:bottom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8"/>
                <w:szCs w:val="18"/>
                <w:b w:val="1"/>
                <w:bCs w:val="1"/>
                <w:color w:val="FFFFFF"/>
              </w:rPr>
              <w:t>YoY</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4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5"/>
                <w:szCs w:val="15"/>
                <w:color w:val="auto"/>
              </w:rPr>
            </w:pPr>
          </w:p>
        </w:tc>
        <w:tc>
          <w:tcPr>
            <w:tcW w:w="920" w:type="dxa"/>
            <w:vAlign w:val="bottom"/>
          </w:tcPr>
          <w:p>
            <w:pPr>
              <w:jc w:val="right"/>
              <w:ind w:right="11"/>
              <w:spacing w:after="0" w:line="174" w:lineRule="exact"/>
              <w:rPr>
                <w:sz w:val="20"/>
                <w:szCs w:val="20"/>
                <w:color w:val="auto"/>
              </w:rPr>
            </w:pPr>
            <w:r>
              <w:rPr>
                <w:rFonts w:ascii="Arial" w:cs="Arial" w:eastAsia="Arial" w:hAnsi="Arial"/>
                <w:sz w:val="18"/>
                <w:szCs w:val="18"/>
                <w:color w:val="auto"/>
              </w:rPr>
              <w:t>867,605</w:t>
            </w:r>
          </w:p>
        </w:tc>
        <w:tc>
          <w:tcPr>
            <w:tcW w:w="940" w:type="dxa"/>
            <w:vAlign w:val="bottom"/>
          </w:tcPr>
          <w:p>
            <w:pPr>
              <w:jc w:val="right"/>
              <w:spacing w:after="0" w:line="174" w:lineRule="exact"/>
              <w:rPr>
                <w:sz w:val="20"/>
                <w:szCs w:val="20"/>
                <w:color w:val="auto"/>
              </w:rPr>
            </w:pPr>
            <w:r>
              <w:rPr>
                <w:rFonts w:ascii="Arial" w:cs="Arial" w:eastAsia="Arial" w:hAnsi="Arial"/>
                <w:sz w:val="18"/>
                <w:szCs w:val="18"/>
                <w:color w:val="auto"/>
              </w:rPr>
              <w:t>872,173</w:t>
            </w:r>
          </w:p>
        </w:tc>
        <w:tc>
          <w:tcPr>
            <w:tcW w:w="100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8"/>
                <w:szCs w:val="18"/>
                <w:color w:val="auto"/>
              </w:rPr>
              <w:t>694,432</w:t>
            </w:r>
          </w:p>
        </w:tc>
        <w:tc>
          <w:tcPr>
            <w:tcW w:w="780" w:type="dxa"/>
            <w:vAlign w:val="bottom"/>
            <w:gridSpan w:val="3"/>
          </w:tcPr>
          <w:p>
            <w:pPr>
              <w:jc w:val="center"/>
              <w:ind w:left="136"/>
              <w:spacing w:after="0" w:line="174" w:lineRule="exact"/>
              <w:rPr>
                <w:sz w:val="20"/>
                <w:szCs w:val="20"/>
                <w:color w:val="auto"/>
              </w:rPr>
            </w:pPr>
            <w:r>
              <w:rPr>
                <w:rFonts w:ascii="Arial" w:cs="Arial" w:eastAsia="Arial" w:hAnsi="Arial"/>
                <w:sz w:val="18"/>
                <w:szCs w:val="18"/>
                <w:color w:val="auto"/>
                <w:w w:val="98"/>
              </w:rPr>
              <w:t>-20.4%</w:t>
            </w:r>
          </w:p>
        </w:tc>
        <w:tc>
          <w:tcPr>
            <w:tcW w:w="1240" w:type="dxa"/>
            <w:vAlign w:val="bottom"/>
            <w:tcBorders>
              <w:right w:val="single" w:sz="8" w:color="auto"/>
            </w:tcBorders>
            <w:gridSpan w:val="2"/>
          </w:tcPr>
          <w:p>
            <w:pPr>
              <w:jc w:val="center"/>
              <w:ind w:left="116"/>
              <w:spacing w:after="0" w:line="174" w:lineRule="exact"/>
              <w:rPr>
                <w:sz w:val="20"/>
                <w:szCs w:val="20"/>
                <w:color w:val="auto"/>
              </w:rPr>
            </w:pPr>
            <w:r>
              <w:rPr>
                <w:rFonts w:ascii="Arial" w:cs="Arial" w:eastAsia="Arial" w:hAnsi="Arial"/>
                <w:sz w:val="18"/>
                <w:szCs w:val="18"/>
                <w:color w:val="auto"/>
                <w:w w:val="98"/>
              </w:rPr>
              <w:t>-20.0%</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6"/>
                <w:szCs w:val="16"/>
                <w:color w:val="auto"/>
              </w:rPr>
            </w:pP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223,284</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460,279</w:t>
            </w:r>
          </w:p>
        </w:tc>
        <w:tc>
          <w:tcPr>
            <w:tcW w:w="1000" w:type="dxa"/>
            <w:vAlign w:val="bottom"/>
            <w:tcBorders>
              <w:right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268,858</w:t>
            </w:r>
          </w:p>
        </w:tc>
        <w:tc>
          <w:tcPr>
            <w:tcW w:w="780" w:type="dxa"/>
            <w:vAlign w:val="bottom"/>
            <w:gridSpan w:val="3"/>
          </w:tcPr>
          <w:p>
            <w:pPr>
              <w:jc w:val="center"/>
              <w:ind w:left="136"/>
              <w:spacing w:after="0" w:line="195" w:lineRule="exact"/>
              <w:rPr>
                <w:sz w:val="20"/>
                <w:szCs w:val="20"/>
                <w:color w:val="auto"/>
              </w:rPr>
            </w:pPr>
            <w:r>
              <w:rPr>
                <w:rFonts w:ascii="Arial" w:cs="Arial" w:eastAsia="Arial" w:hAnsi="Arial"/>
                <w:sz w:val="18"/>
                <w:szCs w:val="18"/>
                <w:color w:val="auto"/>
                <w:w w:val="98"/>
              </w:rPr>
              <w:t>-41.6%</w:t>
            </w:r>
          </w:p>
        </w:tc>
        <w:tc>
          <w:tcPr>
            <w:tcW w:w="1240" w:type="dxa"/>
            <w:vAlign w:val="bottom"/>
            <w:tcBorders>
              <w:right w:val="single" w:sz="8" w:color="auto"/>
            </w:tcBorders>
            <w:gridSpan w:val="2"/>
          </w:tcPr>
          <w:p>
            <w:pPr>
              <w:jc w:val="center"/>
              <w:ind w:left="116"/>
              <w:spacing w:after="0" w:line="195" w:lineRule="exact"/>
              <w:rPr>
                <w:sz w:val="20"/>
                <w:szCs w:val="20"/>
                <w:color w:val="auto"/>
              </w:rPr>
            </w:pPr>
            <w:r>
              <w:rPr>
                <w:rFonts w:ascii="Arial" w:cs="Arial" w:eastAsia="Arial" w:hAnsi="Arial"/>
                <w:sz w:val="18"/>
                <w:szCs w:val="18"/>
                <w:color w:val="auto"/>
              </w:rPr>
              <w:t>20.4%</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shareholders' equity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644,321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411,894</w:t>
            </w: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425,574</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gridSpan w:val="2"/>
          </w:tcPr>
          <w:p>
            <w:pPr>
              <w:jc w:val="center"/>
              <w:ind w:left="116"/>
              <w:spacing w:after="0"/>
              <w:rPr>
                <w:sz w:val="20"/>
                <w:szCs w:val="20"/>
                <w:color w:val="auto"/>
              </w:rPr>
            </w:pPr>
            <w:r>
              <w:rPr>
                <w:rFonts w:ascii="Arial" w:cs="Arial" w:eastAsia="Arial" w:hAnsi="Arial"/>
                <w:sz w:val="18"/>
                <w:szCs w:val="18"/>
                <w:color w:val="auto"/>
                <w:w w:val="98"/>
              </w:rPr>
              <w:t>-33.9%</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60" w:hanging="143"/>
        <w:spacing w:after="0"/>
        <w:tabs>
          <w:tab w:leader="none" w:pos="1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net profitability of lace and mutual funds is being presented net of taxes, for which the retroactive change was made (it was presented gross before)</w:t>
      </w:r>
    </w:p>
    <w:p>
      <w:pPr>
        <w:spacing w:after="0" w:line="7" w:lineRule="exact"/>
        <w:rPr>
          <w:rFonts w:ascii="Times New Roman" w:cs="Times New Roman" w:eastAsia="Times New Roman" w:hAnsi="Times New Roman"/>
          <w:sz w:val="11"/>
          <w:szCs w:val="11"/>
          <w:color w:val="auto"/>
        </w:rPr>
      </w:pPr>
    </w:p>
    <w:p>
      <w:pPr>
        <w:ind w:left="20"/>
        <w:spacing w:after="0" w:line="218"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 Net shareholders' equity includes unrealized gains from Prima's investment portfolio.</w:t>
      </w:r>
    </w:p>
    <w:tbl>
      <w:tblPr>
        <w:tblLayout w:type="fixed"/>
        <w:tblInd w:w="1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gridSpan w:val="6"/>
          </w:tcPr>
          <w:p>
            <w:pPr>
              <w:jc w:val="center"/>
              <w:ind w:right="780"/>
              <w:spacing w:after="0" w:line="186" w:lineRule="exact"/>
              <w:rPr>
                <w:sz w:val="20"/>
                <w:szCs w:val="20"/>
                <w:color w:val="auto"/>
              </w:rPr>
            </w:pPr>
            <w:r>
              <w:rPr>
                <w:rFonts w:ascii="Times New Roman" w:cs="Times New Roman" w:eastAsia="Times New Roman" w:hAnsi="Times New Roman"/>
                <w:sz w:val="19"/>
                <w:szCs w:val="19"/>
                <w:b w:val="1"/>
                <w:bCs w:val="1"/>
                <w:color w:val="auto"/>
              </w:rPr>
              <w:t>Funds under management</w:t>
            </w:r>
          </w:p>
        </w:tc>
      </w:tr>
      <w:tr>
        <w:trPr>
          <w:trHeight w:val="143"/>
        </w:trPr>
        <w:tc>
          <w:tcPr>
            <w:tcW w:w="2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r>
      <w:tr>
        <w:trPr>
          <w:trHeight w:val="199"/>
        </w:trPr>
        <w:tc>
          <w:tcPr>
            <w:tcW w:w="2580" w:type="dxa"/>
            <w:vAlign w:val="bottom"/>
            <w:tcBorders>
              <w:left w:val="single" w:sz="8" w:color="auto"/>
              <w:bottom w:val="single" w:sz="8" w:color="auto"/>
              <w:right w:val="single" w:sz="8" w:color="2AD2C9"/>
            </w:tcBorders>
            <w:shd w:val="clear" w:color="auto" w:fill="2AD2C9"/>
          </w:tcPr>
          <w:p>
            <w:pPr>
              <w:ind w:left="40"/>
              <w:spacing w:after="0" w:line="195" w:lineRule="exact"/>
              <w:rPr>
                <w:sz w:val="20"/>
                <w:szCs w:val="20"/>
                <w:color w:val="auto"/>
              </w:rPr>
            </w:pPr>
            <w:r>
              <w:rPr>
                <w:rFonts w:ascii="Arial" w:cs="Arial" w:eastAsia="Arial" w:hAnsi="Arial"/>
                <w:sz w:val="18"/>
                <w:szCs w:val="18"/>
                <w:b w:val="1"/>
                <w:bCs w:val="1"/>
                <w:color w:val="FFFFFF"/>
              </w:rPr>
              <w:t>Funds under management</w:t>
            </w:r>
          </w:p>
        </w:tc>
        <w:tc>
          <w:tcPr>
            <w:tcW w:w="560" w:type="dxa"/>
            <w:vAlign w:val="bottom"/>
            <w:tcBorders>
              <w:bottom w:val="single" w:sz="8" w:color="auto"/>
              <w:right w:val="single" w:sz="8" w:color="auto"/>
            </w:tcBorders>
            <w:shd w:val="clear" w:color="auto" w:fill="2AD2C9"/>
          </w:tcPr>
          <w:p>
            <w:pPr>
              <w:spacing w:after="0"/>
              <w:rPr>
                <w:sz w:val="17"/>
                <w:szCs w:val="17"/>
                <w:color w:val="auto"/>
              </w:rPr>
            </w:pPr>
          </w:p>
        </w:tc>
        <w:tc>
          <w:tcPr>
            <w:tcW w:w="960" w:type="dxa"/>
            <w:vAlign w:val="bottom"/>
            <w:tcBorders>
              <w:bottom w:val="single" w:sz="8" w:color="auto"/>
              <w:right w:val="single" w:sz="8" w:color="2AD2C9"/>
            </w:tcBorders>
            <w:gridSpan w:val="2"/>
            <w:shd w:val="clear" w:color="auto" w:fill="2AD2C9"/>
          </w:tcPr>
          <w:p>
            <w:pPr>
              <w:ind w:left="160"/>
              <w:spacing w:after="0" w:line="195" w:lineRule="exact"/>
              <w:rPr>
                <w:sz w:val="20"/>
                <w:szCs w:val="20"/>
                <w:color w:val="auto"/>
              </w:rPr>
            </w:pPr>
            <w:r>
              <w:rPr>
                <w:rFonts w:ascii="Arial" w:cs="Arial" w:eastAsia="Arial" w:hAnsi="Arial"/>
                <w:sz w:val="18"/>
                <w:szCs w:val="18"/>
                <w:b w:val="1"/>
                <w:bCs w:val="1"/>
                <w:color w:val="FFFFFF"/>
              </w:rPr>
              <w:t>Dec 21</w:t>
            </w:r>
          </w:p>
        </w:tc>
        <w:tc>
          <w:tcPr>
            <w:tcW w:w="840" w:type="dxa"/>
            <w:vAlign w:val="bottom"/>
            <w:tcBorders>
              <w:bottom w:val="single" w:sz="8" w:color="auto"/>
              <w:right w:val="single" w:sz="8" w:color="auto"/>
            </w:tcBorders>
            <w:gridSpan w:val="2"/>
            <w:shd w:val="clear" w:color="auto" w:fill="2AD2C9"/>
          </w:tcPr>
          <w:p>
            <w:pPr>
              <w:ind w:left="20"/>
              <w:spacing w:after="0" w:line="195" w:lineRule="exact"/>
              <w:rPr>
                <w:sz w:val="20"/>
                <w:szCs w:val="20"/>
                <w:color w:val="auto"/>
              </w:rPr>
            </w:pPr>
            <w:r>
              <w:rPr>
                <w:rFonts w:ascii="Arial" w:cs="Arial" w:eastAsia="Arial" w:hAnsi="Arial"/>
                <w:sz w:val="18"/>
                <w:szCs w:val="18"/>
                <w:b w:val="1"/>
                <w:bCs w:val="1"/>
                <w:color w:val="FFFFFF"/>
              </w:rPr>
              <w:t>% share</w:t>
            </w:r>
          </w:p>
        </w:tc>
        <w:tc>
          <w:tcPr>
            <w:tcW w:w="160" w:type="dxa"/>
            <w:vAlign w:val="bottom"/>
            <w:tcBorders>
              <w:bottom w:val="single" w:sz="8" w:color="auto"/>
            </w:tcBorders>
            <w:shd w:val="clear" w:color="auto" w:fill="2AD2C9"/>
          </w:tcPr>
          <w:p>
            <w:pPr>
              <w:spacing w:after="0"/>
              <w:rPr>
                <w:sz w:val="17"/>
                <w:szCs w:val="17"/>
                <w:color w:val="auto"/>
              </w:rPr>
            </w:pPr>
          </w:p>
        </w:tc>
        <w:tc>
          <w:tcPr>
            <w:tcW w:w="700" w:type="dxa"/>
            <w:vAlign w:val="bottom"/>
            <w:tcBorders>
              <w:bottom w:val="single" w:sz="8" w:color="auto"/>
            </w:tcBorders>
            <w:gridSpan w:val="2"/>
            <w:shd w:val="clear" w:color="auto" w:fill="2AD2C9"/>
          </w:tcPr>
          <w:p>
            <w:pPr>
              <w:spacing w:after="0" w:line="195" w:lineRule="exact"/>
              <w:rPr>
                <w:sz w:val="20"/>
                <w:szCs w:val="20"/>
                <w:color w:val="auto"/>
              </w:rPr>
            </w:pPr>
            <w:r>
              <w:rPr>
                <w:rFonts w:ascii="Arial" w:cs="Arial" w:eastAsia="Arial" w:hAnsi="Arial"/>
                <w:sz w:val="18"/>
                <w:szCs w:val="18"/>
                <w:b w:val="1"/>
                <w:bCs w:val="1"/>
                <w:color w:val="FFFFFF"/>
              </w:rPr>
              <w:t>Jun 22</w:t>
            </w:r>
          </w:p>
        </w:tc>
        <w:tc>
          <w:tcPr>
            <w:tcW w:w="960" w:type="dxa"/>
            <w:vAlign w:val="bottom"/>
            <w:tcBorders>
              <w:bottom w:val="single" w:sz="8" w:color="auto"/>
              <w:right w:val="single" w:sz="8" w:color="auto"/>
            </w:tcBorders>
            <w:shd w:val="clear" w:color="auto" w:fill="2AD2C9"/>
          </w:tcPr>
          <w:p>
            <w:pPr>
              <w:ind w:left="140"/>
              <w:spacing w:after="0" w:line="195" w:lineRule="exact"/>
              <w:rPr>
                <w:sz w:val="20"/>
                <w:szCs w:val="20"/>
                <w:color w:val="auto"/>
              </w:rPr>
            </w:pPr>
            <w:r>
              <w:rPr>
                <w:rFonts w:ascii="Arial" w:cs="Arial" w:eastAsia="Arial" w:hAnsi="Arial"/>
                <w:sz w:val="18"/>
                <w:szCs w:val="18"/>
                <w:b w:val="1"/>
                <w:bCs w:val="1"/>
                <w:color w:val="FFFFFF"/>
              </w:rPr>
              <w:t>% share</w:t>
            </w:r>
          </w:p>
        </w:tc>
        <w:tc>
          <w:tcPr>
            <w:tcW w:w="760" w:type="dxa"/>
            <w:vAlign w:val="bottom"/>
          </w:tcPr>
          <w:p>
            <w:pPr>
              <w:spacing w:after="0"/>
              <w:rPr>
                <w:sz w:val="17"/>
                <w:szCs w:val="17"/>
                <w:color w:val="auto"/>
              </w:rPr>
            </w:pPr>
          </w:p>
        </w:tc>
      </w:tr>
      <w:tr>
        <w:trPr>
          <w:trHeight w:val="174"/>
        </w:trPr>
        <w:tc>
          <w:tcPr>
            <w:tcW w:w="2580" w:type="dxa"/>
            <w:vAlign w:val="bottom"/>
            <w:tcBorders>
              <w:left w:val="single" w:sz="8" w:color="auto"/>
            </w:tcBorders>
          </w:tcPr>
          <w:p>
            <w:pPr>
              <w:ind w:left="40"/>
              <w:spacing w:after="0" w:line="174" w:lineRule="exact"/>
              <w:rPr>
                <w:sz w:val="20"/>
                <w:szCs w:val="20"/>
                <w:color w:val="auto"/>
              </w:rPr>
            </w:pPr>
            <w:r>
              <w:rPr>
                <w:rFonts w:ascii="Arial" w:cs="Arial" w:eastAsia="Arial" w:hAnsi="Arial"/>
                <w:sz w:val="18"/>
                <w:szCs w:val="18"/>
                <w:color w:val="auto"/>
              </w:rPr>
              <w:t>Fund 0</w:t>
            </w:r>
          </w:p>
        </w:tc>
        <w:tc>
          <w:tcPr>
            <w:tcW w:w="560" w:type="dxa"/>
            <w:vAlign w:val="bottom"/>
            <w:tcBorders>
              <w:right w:val="single" w:sz="8" w:color="auto"/>
            </w:tcBorders>
          </w:tcPr>
          <w:p>
            <w:pPr>
              <w:spacing w:after="0"/>
              <w:rPr>
                <w:sz w:val="15"/>
                <w:szCs w:val="15"/>
                <w:color w:val="auto"/>
              </w:rPr>
            </w:pPr>
          </w:p>
        </w:tc>
        <w:tc>
          <w:tcPr>
            <w:tcW w:w="960" w:type="dxa"/>
            <w:vAlign w:val="bottom"/>
            <w:gridSpan w:val="2"/>
          </w:tcPr>
          <w:p>
            <w:pPr>
              <w:jc w:val="center"/>
              <w:ind w:right="80"/>
              <w:spacing w:after="0" w:line="174" w:lineRule="exact"/>
              <w:rPr>
                <w:sz w:val="20"/>
                <w:szCs w:val="20"/>
                <w:color w:val="auto"/>
              </w:rPr>
            </w:pPr>
            <w:r>
              <w:rPr>
                <w:rFonts w:ascii="Arial" w:cs="Arial" w:eastAsia="Arial" w:hAnsi="Arial"/>
                <w:sz w:val="18"/>
                <w:szCs w:val="18"/>
                <w:color w:val="auto"/>
                <w:w w:val="97"/>
              </w:rPr>
              <w:t>1,240</w:t>
            </w:r>
          </w:p>
        </w:tc>
        <w:tc>
          <w:tcPr>
            <w:tcW w:w="840" w:type="dxa"/>
            <w:vAlign w:val="bottom"/>
            <w:tcBorders>
              <w:right w:val="single" w:sz="8" w:color="auto"/>
            </w:tcBorders>
            <w:gridSpan w:val="2"/>
          </w:tcPr>
          <w:p>
            <w:pPr>
              <w:jc w:val="center"/>
              <w:ind w:right="3"/>
              <w:spacing w:after="0" w:line="174"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540" w:type="dxa"/>
            <w:vAlign w:val="bottom"/>
          </w:tcPr>
          <w:p>
            <w:pPr>
              <w:jc w:val="center"/>
              <w:spacing w:after="0" w:line="174" w:lineRule="exact"/>
              <w:rPr>
                <w:sz w:val="20"/>
                <w:szCs w:val="20"/>
                <w:color w:val="auto"/>
              </w:rPr>
            </w:pPr>
            <w:r>
              <w:rPr>
                <w:rFonts w:ascii="Arial" w:cs="Arial" w:eastAsia="Arial" w:hAnsi="Arial"/>
                <w:sz w:val="18"/>
                <w:szCs w:val="18"/>
                <w:color w:val="auto"/>
              </w:rPr>
              <w:t>1,325</w:t>
            </w:r>
          </w:p>
        </w:tc>
        <w:tc>
          <w:tcPr>
            <w:tcW w:w="160" w:type="dxa"/>
            <w:vAlign w:val="bottom"/>
          </w:tcPr>
          <w:p>
            <w:pPr>
              <w:spacing w:after="0"/>
              <w:rPr>
                <w:sz w:val="15"/>
                <w:szCs w:val="15"/>
                <w:color w:val="auto"/>
              </w:rPr>
            </w:pPr>
          </w:p>
        </w:tc>
        <w:tc>
          <w:tcPr>
            <w:tcW w:w="96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rPr>
              <w:t>3.6%</w:t>
            </w:r>
          </w:p>
        </w:tc>
        <w:tc>
          <w:tcPr>
            <w:tcW w:w="760" w:type="dxa"/>
            <w:vAlign w:val="bottom"/>
          </w:tcPr>
          <w:p>
            <w:pPr>
              <w:spacing w:after="0"/>
              <w:rPr>
                <w:sz w:val="15"/>
                <w:szCs w:val="15"/>
                <w:color w:val="auto"/>
              </w:rPr>
            </w:pPr>
          </w:p>
        </w:tc>
      </w:tr>
      <w:tr>
        <w:trPr>
          <w:trHeight w:val="195"/>
        </w:trPr>
        <w:tc>
          <w:tcPr>
            <w:tcW w:w="258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Fund 1</w:t>
            </w:r>
          </w:p>
        </w:tc>
        <w:tc>
          <w:tcPr>
            <w:tcW w:w="560" w:type="dxa"/>
            <w:vAlign w:val="bottom"/>
            <w:tcBorders>
              <w:right w:val="single" w:sz="8" w:color="auto"/>
            </w:tcBorders>
          </w:tcPr>
          <w:p>
            <w:pPr>
              <w:spacing w:after="0"/>
              <w:rPr>
                <w:sz w:val="16"/>
                <w:szCs w:val="16"/>
                <w:color w:val="auto"/>
              </w:rPr>
            </w:pP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97"/>
              </w:rPr>
              <w:t>5,960</w:t>
            </w:r>
          </w:p>
        </w:tc>
        <w:tc>
          <w:tcPr>
            <w:tcW w:w="840" w:type="dxa"/>
            <w:vAlign w:val="bottom"/>
            <w:tcBorders>
              <w:right w:val="single" w:sz="8" w:color="auto"/>
            </w:tcBorders>
            <w:gridSpan w:val="2"/>
          </w:tcPr>
          <w:p>
            <w:pPr>
              <w:jc w:val="center"/>
              <w:ind w:right="3"/>
              <w:spacing w:after="0" w:line="195" w:lineRule="exact"/>
              <w:rPr>
                <w:sz w:val="20"/>
                <w:szCs w:val="20"/>
                <w:color w:val="auto"/>
              </w:rPr>
            </w:pPr>
            <w:r>
              <w:rPr>
                <w:rFonts w:ascii="Arial" w:cs="Arial" w:eastAsia="Arial" w:hAnsi="Arial"/>
                <w:sz w:val="18"/>
                <w:szCs w:val="18"/>
                <w:color w:val="auto"/>
                <w:w w:val="97"/>
              </w:rPr>
              <w:t>15.1%</w:t>
            </w:r>
          </w:p>
        </w:tc>
        <w:tc>
          <w:tcPr>
            <w:tcW w:w="160" w:type="dxa"/>
            <w:vAlign w:val="bottom"/>
          </w:tcPr>
          <w:p>
            <w:pPr>
              <w:spacing w:after="0"/>
              <w:rPr>
                <w:sz w:val="16"/>
                <w:szCs w:val="16"/>
                <w:color w:val="auto"/>
              </w:rPr>
            </w:pPr>
          </w:p>
        </w:tc>
        <w:tc>
          <w:tcPr>
            <w:tcW w:w="540" w:type="dxa"/>
            <w:vAlign w:val="bottom"/>
          </w:tcPr>
          <w:p>
            <w:pPr>
              <w:jc w:val="center"/>
              <w:spacing w:after="0" w:line="195" w:lineRule="exact"/>
              <w:rPr>
                <w:sz w:val="20"/>
                <w:szCs w:val="20"/>
                <w:color w:val="auto"/>
              </w:rPr>
            </w:pPr>
            <w:r>
              <w:rPr>
                <w:rFonts w:ascii="Arial" w:cs="Arial" w:eastAsia="Arial" w:hAnsi="Arial"/>
                <w:sz w:val="18"/>
                <w:szCs w:val="18"/>
                <w:color w:val="auto"/>
              </w:rPr>
              <w:t>5,522</w:t>
            </w:r>
          </w:p>
        </w:tc>
        <w:tc>
          <w:tcPr>
            <w:tcW w:w="160" w:type="dxa"/>
            <w:vAlign w:val="bottom"/>
          </w:tcPr>
          <w:p>
            <w:pPr>
              <w:spacing w:after="0"/>
              <w:rPr>
                <w:sz w:val="16"/>
                <w:szCs w:val="16"/>
                <w:color w:val="auto"/>
              </w:rPr>
            </w:pPr>
          </w:p>
        </w:tc>
        <w:tc>
          <w:tcPr>
            <w:tcW w:w="9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15.0%</w:t>
            </w:r>
          </w:p>
        </w:tc>
        <w:tc>
          <w:tcPr>
            <w:tcW w:w="760" w:type="dxa"/>
            <w:vAlign w:val="bottom"/>
          </w:tcPr>
          <w:p>
            <w:pPr>
              <w:spacing w:after="0"/>
              <w:rPr>
                <w:sz w:val="16"/>
                <w:szCs w:val="16"/>
                <w:color w:val="auto"/>
              </w:rPr>
            </w:pPr>
          </w:p>
        </w:tc>
      </w:tr>
      <w:tr>
        <w:trPr>
          <w:trHeight w:val="195"/>
        </w:trPr>
        <w:tc>
          <w:tcPr>
            <w:tcW w:w="258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Fund 2</w:t>
            </w:r>
          </w:p>
        </w:tc>
        <w:tc>
          <w:tcPr>
            <w:tcW w:w="560" w:type="dxa"/>
            <w:vAlign w:val="bottom"/>
            <w:tcBorders>
              <w:right w:val="single" w:sz="8" w:color="auto"/>
            </w:tcBorders>
          </w:tcPr>
          <w:p>
            <w:pPr>
              <w:spacing w:after="0"/>
              <w:rPr>
                <w:sz w:val="16"/>
                <w:szCs w:val="16"/>
                <w:color w:val="auto"/>
              </w:rPr>
            </w:pP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rPr>
              <w:t>27,387</w:t>
            </w:r>
          </w:p>
        </w:tc>
        <w:tc>
          <w:tcPr>
            <w:tcW w:w="840" w:type="dxa"/>
            <w:vAlign w:val="bottom"/>
            <w:tcBorders>
              <w:right w:val="single" w:sz="8" w:color="auto"/>
            </w:tcBorders>
            <w:gridSpan w:val="2"/>
          </w:tcPr>
          <w:p>
            <w:pPr>
              <w:jc w:val="center"/>
              <w:ind w:right="3"/>
              <w:spacing w:after="0" w:line="195" w:lineRule="exact"/>
              <w:rPr>
                <w:sz w:val="20"/>
                <w:szCs w:val="20"/>
                <w:color w:val="auto"/>
              </w:rPr>
            </w:pPr>
            <w:r>
              <w:rPr>
                <w:rFonts w:ascii="Arial" w:cs="Arial" w:eastAsia="Arial" w:hAnsi="Arial"/>
                <w:sz w:val="18"/>
                <w:szCs w:val="18"/>
                <w:color w:val="auto"/>
                <w:w w:val="97"/>
              </w:rPr>
              <w:t>69.3%</w:t>
            </w:r>
          </w:p>
        </w:tc>
        <w:tc>
          <w:tcPr>
            <w:tcW w:w="160" w:type="dxa"/>
            <w:vAlign w:val="bottom"/>
          </w:tcPr>
          <w:p>
            <w:pPr>
              <w:spacing w:after="0"/>
              <w:rPr>
                <w:sz w:val="16"/>
                <w:szCs w:val="16"/>
                <w:color w:val="auto"/>
              </w:rPr>
            </w:pPr>
          </w:p>
        </w:tc>
        <w:tc>
          <w:tcPr>
            <w:tcW w:w="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8"/>
              </w:rPr>
              <w:t>25,567</w:t>
            </w:r>
          </w:p>
        </w:tc>
        <w:tc>
          <w:tcPr>
            <w:tcW w:w="9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69.5%</w:t>
            </w:r>
          </w:p>
        </w:tc>
        <w:tc>
          <w:tcPr>
            <w:tcW w:w="760" w:type="dxa"/>
            <w:vAlign w:val="bottom"/>
          </w:tcPr>
          <w:p>
            <w:pPr>
              <w:spacing w:after="0"/>
              <w:rPr>
                <w:sz w:val="16"/>
                <w:szCs w:val="16"/>
                <w:color w:val="auto"/>
              </w:rPr>
            </w:pPr>
          </w:p>
        </w:tc>
      </w:tr>
      <w:tr>
        <w:trPr>
          <w:trHeight w:val="220"/>
        </w:trPr>
        <w:tc>
          <w:tcPr>
            <w:tcW w:w="2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Fund 3</w:t>
            </w:r>
          </w:p>
        </w:tc>
        <w:tc>
          <w:tcPr>
            <w:tcW w:w="5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7"/>
              </w:rPr>
              <w:t>4,924</w:t>
            </w:r>
          </w:p>
        </w:tc>
        <w:tc>
          <w:tcPr>
            <w:tcW w:w="840" w:type="dxa"/>
            <w:vAlign w:val="bottom"/>
            <w:tcBorders>
              <w:bottom w:val="single" w:sz="8" w:color="auto"/>
              <w:right w:val="single" w:sz="8" w:color="auto"/>
            </w:tcBorders>
            <w:gridSpan w:val="2"/>
          </w:tcPr>
          <w:p>
            <w:pPr>
              <w:jc w:val="center"/>
              <w:ind w:right="3"/>
              <w:spacing w:after="0"/>
              <w:rPr>
                <w:sz w:val="20"/>
                <w:szCs w:val="20"/>
                <w:color w:val="auto"/>
              </w:rPr>
            </w:pPr>
            <w:r>
              <w:rPr>
                <w:rFonts w:ascii="Arial" w:cs="Arial" w:eastAsia="Arial" w:hAnsi="Arial"/>
                <w:sz w:val="18"/>
                <w:szCs w:val="18"/>
                <w:color w:val="auto"/>
                <w:w w:val="97"/>
              </w:rPr>
              <w:t>12.5%</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4,374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w:t>
            </w:r>
          </w:p>
        </w:tc>
        <w:tc>
          <w:tcPr>
            <w:tcW w:w="760" w:type="dxa"/>
            <w:vAlign w:val="bottom"/>
          </w:tcPr>
          <w:p>
            <w:pPr>
              <w:spacing w:after="0"/>
              <w:rPr>
                <w:sz w:val="19"/>
                <w:szCs w:val="19"/>
                <w:color w:val="auto"/>
              </w:rPr>
            </w:pPr>
          </w:p>
        </w:tc>
      </w:tr>
      <w:tr>
        <w:trPr>
          <w:trHeight w:val="199"/>
        </w:trPr>
        <w:tc>
          <w:tcPr>
            <w:tcW w:w="2580" w:type="dxa"/>
            <w:vAlign w:val="bottom"/>
            <w:tcBorders>
              <w:left w:val="single" w:sz="8" w:color="auto"/>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Total S/ Millions</w:t>
            </w:r>
          </w:p>
        </w:tc>
        <w:tc>
          <w:tcPr>
            <w:tcW w:w="5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rPr>
              <w:t>39,510</w:t>
            </w:r>
          </w:p>
        </w:tc>
        <w:tc>
          <w:tcPr>
            <w:tcW w:w="840" w:type="dxa"/>
            <w:vAlign w:val="bottom"/>
            <w:tcBorders>
              <w:bottom w:val="single" w:sz="8" w:color="auto"/>
              <w:right w:val="single" w:sz="8" w:color="auto"/>
            </w:tcBorders>
            <w:gridSpan w:val="2"/>
          </w:tcPr>
          <w:p>
            <w:pPr>
              <w:jc w:val="center"/>
              <w:ind w:right="3"/>
              <w:spacing w:after="0" w:line="195" w:lineRule="exact"/>
              <w:rPr>
                <w:sz w:val="20"/>
                <w:szCs w:val="20"/>
                <w:color w:val="auto"/>
              </w:rPr>
            </w:pPr>
            <w:r>
              <w:rPr>
                <w:rFonts w:ascii="Arial" w:cs="Arial" w:eastAsia="Arial" w:hAnsi="Arial"/>
                <w:sz w:val="18"/>
                <w:szCs w:val="18"/>
                <w:color w:val="auto"/>
                <w:w w:val="99"/>
              </w:rPr>
              <w:t>100%</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8"/>
              </w:rPr>
              <w:t>36,789</w:t>
            </w:r>
          </w:p>
        </w:tc>
        <w:tc>
          <w:tcPr>
            <w:tcW w:w="96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100%</w:t>
            </w:r>
          </w:p>
        </w:tc>
        <w:tc>
          <w:tcPr>
            <w:tcW w:w="760" w:type="dxa"/>
            <w:vAlign w:val="bottom"/>
          </w:tcPr>
          <w:p>
            <w:pPr>
              <w:spacing w:after="0"/>
              <w:rPr>
                <w:sz w:val="17"/>
                <w:szCs w:val="17"/>
                <w:color w:val="auto"/>
              </w:rPr>
            </w:pPr>
          </w:p>
        </w:tc>
      </w:tr>
      <w:tr>
        <w:trPr>
          <w:trHeight w:val="349"/>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Source: SBS.</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9"/>
        </w:trPr>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80" w:type="dxa"/>
            <w:vAlign w:val="bottom"/>
            <w:gridSpan w:val="9"/>
          </w:tcPr>
          <w:p>
            <w:pPr>
              <w:jc w:val="center"/>
              <w:ind w:left="550"/>
              <w:spacing w:after="0"/>
              <w:rPr>
                <w:sz w:val="20"/>
                <w:szCs w:val="20"/>
                <w:color w:val="auto"/>
              </w:rPr>
            </w:pPr>
            <w:r>
              <w:rPr>
                <w:rFonts w:ascii="Times New Roman" w:cs="Times New Roman" w:eastAsia="Times New Roman" w:hAnsi="Times New Roman"/>
                <w:sz w:val="19"/>
                <w:szCs w:val="19"/>
                <w:b w:val="1"/>
                <w:bCs w:val="1"/>
                <w:color w:val="auto"/>
              </w:rPr>
              <w:t>Nominal profitability over the last 12 months</w:t>
            </w:r>
          </w:p>
        </w:tc>
      </w:tr>
      <w:tr>
        <w:trPr>
          <w:trHeight w:val="155"/>
        </w:trPr>
        <w:tc>
          <w:tcPr>
            <w:tcW w:w="25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99"/>
        </w:trPr>
        <w:tc>
          <w:tcPr>
            <w:tcW w:w="25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gridSpan w:val="3"/>
            <w:shd w:val="clear" w:color="auto" w:fill="2AD2C9"/>
          </w:tcPr>
          <w:p>
            <w:pPr>
              <w:ind w:left="100"/>
              <w:spacing w:after="0" w:line="195" w:lineRule="exact"/>
              <w:rPr>
                <w:sz w:val="20"/>
                <w:szCs w:val="20"/>
                <w:color w:val="auto"/>
              </w:rPr>
            </w:pPr>
            <w:r>
              <w:rPr>
                <w:rFonts w:ascii="Arial" w:cs="Arial" w:eastAsia="Arial" w:hAnsi="Arial"/>
                <w:sz w:val="18"/>
                <w:szCs w:val="18"/>
                <w:b w:val="1"/>
                <w:bCs w:val="1"/>
                <w:color w:val="FFFFFF"/>
              </w:rPr>
              <w:t>Dec 21 / Dec 20</w:t>
            </w:r>
          </w:p>
        </w:tc>
        <w:tc>
          <w:tcPr>
            <w:tcW w:w="1540" w:type="dxa"/>
            <w:vAlign w:val="bottom"/>
            <w:tcBorders>
              <w:bottom w:val="single" w:sz="8" w:color="auto"/>
              <w:right w:val="single" w:sz="8" w:color="auto"/>
            </w:tcBorders>
            <w:gridSpan w:val="4"/>
            <w:shd w:val="clear" w:color="auto" w:fill="2AD2C9"/>
          </w:tcPr>
          <w:p>
            <w:pPr>
              <w:ind w:left="120"/>
              <w:spacing w:after="0" w:line="195" w:lineRule="exact"/>
              <w:rPr>
                <w:sz w:val="20"/>
                <w:szCs w:val="20"/>
                <w:color w:val="auto"/>
              </w:rPr>
            </w:pPr>
            <w:r>
              <w:rPr>
                <w:rFonts w:ascii="Arial" w:cs="Arial" w:eastAsia="Arial" w:hAnsi="Arial"/>
                <w:sz w:val="18"/>
                <w:szCs w:val="18"/>
                <w:b w:val="1"/>
                <w:bCs w:val="1"/>
                <w:color w:val="FFFFFF"/>
              </w:rPr>
              <w:t>Jun 22 / Jun 21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4"/>
        </w:trPr>
        <w:tc>
          <w:tcPr>
            <w:tcW w:w="25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Fund 0</w:t>
            </w:r>
          </w:p>
        </w:tc>
        <w:tc>
          <w:tcPr>
            <w:tcW w:w="1200" w:type="dxa"/>
            <w:vAlign w:val="bottom"/>
            <w:gridSpan w:val="2"/>
          </w:tcPr>
          <w:p>
            <w:pPr>
              <w:jc w:val="center"/>
              <w:ind w:left="211"/>
              <w:spacing w:after="0" w:line="174" w:lineRule="exact"/>
              <w:rPr>
                <w:sz w:val="20"/>
                <w:szCs w:val="20"/>
                <w:color w:val="auto"/>
              </w:rPr>
            </w:pPr>
            <w:r>
              <w:rPr>
                <w:rFonts w:ascii="Arial" w:cs="Arial" w:eastAsia="Arial" w:hAnsi="Arial"/>
                <w:sz w:val="18"/>
                <w:szCs w:val="18"/>
                <w:color w:val="auto"/>
              </w:rPr>
              <w:t>1.2%</w:t>
            </w:r>
          </w:p>
        </w:tc>
        <w:tc>
          <w:tcPr>
            <w:tcW w:w="320" w:type="dxa"/>
            <w:vAlign w:val="bottom"/>
            <w:tcBorders>
              <w:right w:val="single" w:sz="8" w:color="auto"/>
            </w:tcBorders>
          </w:tcPr>
          <w:p>
            <w:pPr>
              <w:spacing w:after="0"/>
              <w:rPr>
                <w:sz w:val="15"/>
                <w:szCs w:val="15"/>
                <w:color w:val="auto"/>
              </w:rPr>
            </w:pPr>
          </w:p>
        </w:tc>
        <w:tc>
          <w:tcPr>
            <w:tcW w:w="1000" w:type="dxa"/>
            <w:vAlign w:val="bottom"/>
            <w:gridSpan w:val="3"/>
          </w:tcPr>
          <w:p>
            <w:pPr>
              <w:jc w:val="center"/>
              <w:ind w:left="431"/>
              <w:spacing w:after="0" w:line="174" w:lineRule="exact"/>
              <w:rPr>
                <w:sz w:val="20"/>
                <w:szCs w:val="20"/>
                <w:color w:val="auto"/>
              </w:rPr>
            </w:pPr>
            <w:r>
              <w:rPr>
                <w:rFonts w:ascii="Arial" w:cs="Arial" w:eastAsia="Arial" w:hAnsi="Arial"/>
                <w:sz w:val="18"/>
                <w:szCs w:val="18"/>
                <w:color w:val="auto"/>
                <w:w w:val="97"/>
              </w:rPr>
              <w:t>2.3%</w:t>
            </w:r>
          </w:p>
        </w:tc>
        <w:tc>
          <w:tcPr>
            <w:tcW w:w="5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25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Fund 1</w:t>
            </w:r>
          </w:p>
        </w:tc>
        <w:tc>
          <w:tcPr>
            <w:tcW w:w="1200" w:type="dxa"/>
            <w:vAlign w:val="bottom"/>
            <w:gridSpan w:val="2"/>
          </w:tcPr>
          <w:p>
            <w:pPr>
              <w:jc w:val="center"/>
              <w:ind w:left="211"/>
              <w:spacing w:after="0" w:line="195" w:lineRule="exact"/>
              <w:rPr>
                <w:sz w:val="20"/>
                <w:szCs w:val="20"/>
                <w:color w:val="auto"/>
              </w:rPr>
            </w:pPr>
            <w:r>
              <w:rPr>
                <w:rFonts w:ascii="Arial" w:cs="Arial" w:eastAsia="Arial" w:hAnsi="Arial"/>
                <w:sz w:val="18"/>
                <w:szCs w:val="18"/>
                <w:color w:val="auto"/>
                <w:w w:val="97"/>
              </w:rPr>
              <w:t>-4.0%</w:t>
            </w:r>
          </w:p>
        </w:tc>
        <w:tc>
          <w:tcPr>
            <w:tcW w:w="320" w:type="dxa"/>
            <w:vAlign w:val="bottom"/>
            <w:tcBorders>
              <w:right w:val="single" w:sz="8" w:color="auto"/>
            </w:tcBorders>
          </w:tcPr>
          <w:p>
            <w:pPr>
              <w:spacing w:after="0"/>
              <w:rPr>
                <w:sz w:val="16"/>
                <w:szCs w:val="16"/>
                <w:color w:val="auto"/>
              </w:rPr>
            </w:pPr>
          </w:p>
        </w:tc>
        <w:tc>
          <w:tcPr>
            <w:tcW w:w="1000" w:type="dxa"/>
            <w:vAlign w:val="bottom"/>
            <w:gridSpan w:val="3"/>
          </w:tcPr>
          <w:p>
            <w:pPr>
              <w:jc w:val="center"/>
              <w:ind w:left="451"/>
              <w:spacing w:after="0" w:line="195" w:lineRule="exact"/>
              <w:rPr>
                <w:sz w:val="20"/>
                <w:szCs w:val="20"/>
                <w:color w:val="auto"/>
              </w:rPr>
            </w:pPr>
            <w:r>
              <w:rPr>
                <w:rFonts w:ascii="Arial" w:cs="Arial" w:eastAsia="Arial" w:hAnsi="Arial"/>
                <w:sz w:val="18"/>
                <w:szCs w:val="18"/>
                <w:color w:val="auto"/>
                <w:w w:val="97"/>
              </w:rPr>
              <w:t>-8.9%</w:t>
            </w:r>
          </w:p>
        </w:tc>
        <w:tc>
          <w:tcPr>
            <w:tcW w:w="5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25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Fund 2</w:t>
            </w:r>
          </w:p>
        </w:tc>
        <w:tc>
          <w:tcPr>
            <w:tcW w:w="1200" w:type="dxa"/>
            <w:vAlign w:val="bottom"/>
            <w:gridSpan w:val="2"/>
          </w:tcPr>
          <w:p>
            <w:pPr>
              <w:jc w:val="center"/>
              <w:ind w:left="211"/>
              <w:spacing w:after="0" w:line="195" w:lineRule="exact"/>
              <w:rPr>
                <w:sz w:val="20"/>
                <w:szCs w:val="20"/>
                <w:color w:val="auto"/>
              </w:rPr>
            </w:pPr>
            <w:r>
              <w:rPr>
                <w:rFonts w:ascii="Arial" w:cs="Arial" w:eastAsia="Arial" w:hAnsi="Arial"/>
                <w:sz w:val="18"/>
                <w:szCs w:val="18"/>
                <w:color w:val="auto"/>
              </w:rPr>
              <w:t>1.1%</w:t>
            </w:r>
          </w:p>
        </w:tc>
        <w:tc>
          <w:tcPr>
            <w:tcW w:w="320" w:type="dxa"/>
            <w:vAlign w:val="bottom"/>
            <w:tcBorders>
              <w:right w:val="single" w:sz="8" w:color="auto"/>
            </w:tcBorders>
          </w:tcPr>
          <w:p>
            <w:pPr>
              <w:spacing w:after="0"/>
              <w:rPr>
                <w:sz w:val="16"/>
                <w:szCs w:val="16"/>
                <w:color w:val="auto"/>
              </w:rPr>
            </w:pPr>
          </w:p>
        </w:tc>
        <w:tc>
          <w:tcPr>
            <w:tcW w:w="1000" w:type="dxa"/>
            <w:vAlign w:val="bottom"/>
            <w:gridSpan w:val="3"/>
          </w:tcPr>
          <w:p>
            <w:pPr>
              <w:jc w:val="center"/>
              <w:ind w:left="451"/>
              <w:spacing w:after="0" w:line="195" w:lineRule="exact"/>
              <w:rPr>
                <w:sz w:val="20"/>
                <w:szCs w:val="20"/>
                <w:color w:val="auto"/>
              </w:rPr>
            </w:pPr>
            <w:r>
              <w:rPr>
                <w:rFonts w:ascii="Arial" w:cs="Arial" w:eastAsia="Arial" w:hAnsi="Arial"/>
                <w:sz w:val="18"/>
                <w:szCs w:val="18"/>
                <w:color w:val="auto"/>
                <w:w w:val="97"/>
              </w:rPr>
              <w:t>-7.0%</w:t>
            </w:r>
          </w:p>
        </w:tc>
        <w:tc>
          <w:tcPr>
            <w:tcW w:w="5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2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Fund 3</w:t>
            </w:r>
          </w:p>
        </w:tc>
        <w:tc>
          <w:tcPr>
            <w:tcW w:w="120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8"/>
                <w:szCs w:val="18"/>
                <w:color w:val="auto"/>
                <w:w w:val="97"/>
              </w:rPr>
              <w:t>11.6%</w:t>
            </w:r>
          </w:p>
        </w:tc>
        <w:tc>
          <w:tcPr>
            <w:tcW w:w="3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color w:val="auto"/>
                <w:w w:val="97"/>
              </w:rPr>
              <w:t>-2.7%</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AFP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158115</wp:posOffset>
            </wp:positionV>
            <wp:extent cx="7145655" cy="7581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5655" cy="75819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FFFFFF"/>
        </w:rPr>
        <w:t>Fee based on flow</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Mixed fee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Flow</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FFFFFF"/>
        </w:rPr>
        <w:t>1.60% Applied to the affiliates' monthly remuneration.</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0.18% Applied to the affiliates' monthly remuneration since June 2017. Feb 17- may 17 =0.87%.</w:t>
      </w:r>
    </w:p>
    <w:p>
      <w:pPr>
        <w:spacing w:after="0" w:line="131" w:lineRule="exact"/>
        <w:rPr>
          <w:sz w:val="20"/>
          <w:szCs w:val="20"/>
          <w:color w:val="auto"/>
        </w:rPr>
      </w:pPr>
    </w:p>
    <w:p>
      <w:pPr>
        <w:ind w:left="400" w:right="200" w:hanging="391"/>
        <w:spacing w:after="0" w:line="194" w:lineRule="auto"/>
        <w:rPr>
          <w:sz w:val="20"/>
          <w:szCs w:val="20"/>
          <w:color w:val="auto"/>
        </w:rPr>
      </w:pPr>
      <w:r>
        <w:rPr>
          <w:rFonts w:ascii="Arial" w:cs="Arial" w:eastAsia="Arial" w:hAnsi="Arial"/>
          <w:sz w:val="25"/>
          <w:szCs w:val="25"/>
          <w:color w:val="auto"/>
          <w:vertAlign w:val="subscript"/>
        </w:rPr>
        <w:t>1.25%</w:t>
      </w:r>
      <w:r>
        <w:rPr>
          <w:rFonts w:ascii="Arial" w:cs="Arial" w:eastAsia="Arial" w:hAnsi="Arial"/>
          <w:sz w:val="13"/>
          <w:szCs w:val="13"/>
          <w:color w:val="auto"/>
        </w:rPr>
        <w:t xml:space="preserve"> Applies annualy to the new balance since February 2013 for new affiliates to the system and beginning on June 2013 for old affiliates who have chosen this commission scheme.</w:t>
      </w:r>
    </w:p>
    <w:p>
      <w:pPr>
        <w:spacing w:after="0" w:line="200" w:lineRule="exact"/>
        <w:rPr>
          <w:sz w:val="20"/>
          <w:szCs w:val="20"/>
          <w:color w:val="auto"/>
        </w:rPr>
      </w:pPr>
    </w:p>
    <w:p>
      <w:pPr>
        <w:sectPr>
          <w:pgSz w:w="11900" w:h="16838" w:orient="portrait"/>
          <w:cols w:equalWidth="0" w:num="2">
            <w:col w:w="2860" w:space="720"/>
            <w:col w:w="7700"/>
          </w:cols>
          <w:pgMar w:left="300" w:top="313" w:right="319" w:bottom="1440" w:gutter="0" w:footer="0" w:header="0"/>
          <w:type w:val="continuous"/>
        </w:sectPr>
      </w:pPr>
    </w:p>
    <w:p>
      <w:pPr>
        <w:spacing w:after="0" w:line="15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type w:val="continuous"/>
        </w:sectPr>
      </w:pPr>
    </w:p>
    <w:bookmarkStart w:id="66" w:name="page67"/>
    <w:bookmarkEnd w:id="66"/>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5655" cy="1854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3"/>
        <w:spacing w:after="0"/>
        <w:rPr>
          <w:sz w:val="20"/>
          <w:szCs w:val="20"/>
          <w:color w:val="auto"/>
        </w:rPr>
      </w:pPr>
      <w:r>
        <w:rPr>
          <w:rFonts w:ascii="Arial" w:cs="Arial" w:eastAsia="Arial" w:hAnsi="Arial"/>
          <w:sz w:val="19"/>
          <w:szCs w:val="19"/>
          <w:b w:val="1"/>
          <w:bCs w:val="1"/>
          <w:color w:val="FFFFFF"/>
        </w:rPr>
        <w:t>12. Appendix</w:t>
      </w:r>
    </w:p>
    <w:p>
      <w:pPr>
        <w:spacing w:after="0" w:line="1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u w:val="single" w:color="auto"/>
          <w:color w:val="auto"/>
        </w:rPr>
        <w:t>Main indicators</w:t>
      </w:r>
    </w:p>
    <w:p>
      <w:pPr>
        <w:spacing w:after="0" w:line="132" w:lineRule="exact"/>
        <w:rPr>
          <w:sz w:val="20"/>
          <w:szCs w:val="20"/>
          <w:color w:val="auto"/>
        </w:rPr>
      </w:pPr>
    </w:p>
    <w:tbl>
      <w:tblPr>
        <w:tblLayout w:type="fixed"/>
        <w:tblInd w:w="13" w:type="dxa"/>
        <w:tblCellMar>
          <w:top w:w="0" w:type="dxa"/>
          <w:left w:w="0" w:type="dxa"/>
          <w:bottom w:w="0" w:type="dxa"/>
          <w:right w:w="0" w:type="dxa"/>
        </w:tblCellMar>
      </w:tblPr>
      <w:tr>
        <w:trPr>
          <w:trHeight w:val="198"/>
        </w:trPr>
        <w:tc>
          <w:tcPr>
            <w:tcW w:w="5120" w:type="dxa"/>
            <w:vAlign w:val="bottom"/>
            <w:tcBorders>
              <w:top w:val="single" w:sz="8" w:color="auto"/>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8"/>
                <w:szCs w:val="18"/>
                <w:b w:val="1"/>
                <w:bCs w:val="1"/>
                <w:color w:val="FFFFFF"/>
              </w:rPr>
              <w:t>Main indicators and market share</w:t>
            </w:r>
          </w:p>
        </w:tc>
        <w:tc>
          <w:tcPr>
            <w:tcW w:w="1100" w:type="dxa"/>
            <w:vAlign w:val="bottom"/>
            <w:tcBorders>
              <w:top w:val="single" w:sz="8" w:color="auto"/>
            </w:tcBorders>
            <w:shd w:val="clear" w:color="auto" w:fill="2AD2C9"/>
          </w:tcPr>
          <w:p>
            <w:pPr>
              <w:ind w:left="320"/>
              <w:spacing w:after="0" w:line="198" w:lineRule="exact"/>
              <w:rPr>
                <w:sz w:val="20"/>
                <w:szCs w:val="20"/>
                <w:color w:val="auto"/>
              </w:rPr>
            </w:pPr>
            <w:r>
              <w:rPr>
                <w:rFonts w:ascii="Arial" w:cs="Arial" w:eastAsia="Arial" w:hAnsi="Arial"/>
                <w:sz w:val="18"/>
                <w:szCs w:val="18"/>
                <w:b w:val="1"/>
                <w:bCs w:val="1"/>
                <w:color w:val="FFFFFF"/>
              </w:rPr>
              <w:t>Prima</w:t>
            </w:r>
          </w:p>
        </w:tc>
        <w:tc>
          <w:tcPr>
            <w:tcW w:w="1060" w:type="dxa"/>
            <w:vAlign w:val="bottom"/>
            <w:tcBorders>
              <w:top w:val="single" w:sz="8" w:color="auto"/>
            </w:tcBorders>
            <w:shd w:val="clear" w:color="auto" w:fill="2AD2C9"/>
          </w:tcPr>
          <w:p>
            <w:pPr>
              <w:jc w:val="right"/>
              <w:ind w:right="311"/>
              <w:spacing w:after="0" w:line="198" w:lineRule="exact"/>
              <w:rPr>
                <w:sz w:val="20"/>
                <w:szCs w:val="20"/>
                <w:color w:val="auto"/>
              </w:rPr>
            </w:pPr>
            <w:r>
              <w:rPr>
                <w:rFonts w:ascii="Arial" w:cs="Arial" w:eastAsia="Arial" w:hAnsi="Arial"/>
                <w:sz w:val="18"/>
                <w:szCs w:val="18"/>
                <w:b w:val="1"/>
                <w:bCs w:val="1"/>
                <w:color w:val="FFFFFF"/>
                <w:w w:val="99"/>
              </w:rPr>
              <w:t>System</w:t>
            </w:r>
          </w:p>
        </w:tc>
        <w:tc>
          <w:tcPr>
            <w:tcW w:w="920" w:type="dxa"/>
            <w:vAlign w:val="bottom"/>
            <w:tcBorders>
              <w:top w:val="single" w:sz="8" w:color="auto"/>
              <w:right w:val="single" w:sz="8" w:color="auto"/>
            </w:tcBorders>
            <w:shd w:val="clear" w:color="auto" w:fill="2AD2C9"/>
          </w:tcPr>
          <w:p>
            <w:pPr>
              <w:jc w:val="right"/>
              <w:ind w:right="71"/>
              <w:spacing w:after="0" w:line="198" w:lineRule="exact"/>
              <w:rPr>
                <w:sz w:val="20"/>
                <w:szCs w:val="20"/>
                <w:color w:val="auto"/>
              </w:rPr>
            </w:pPr>
            <w:r>
              <w:rPr>
                <w:rFonts w:ascii="Arial" w:cs="Arial" w:eastAsia="Arial" w:hAnsi="Arial"/>
                <w:sz w:val="18"/>
                <w:szCs w:val="18"/>
                <w:b w:val="1"/>
                <w:bCs w:val="1"/>
                <w:color w:val="FFFFFF"/>
              </w:rPr>
              <w:t>% share</w:t>
            </w:r>
          </w:p>
        </w:tc>
        <w:tc>
          <w:tcPr>
            <w:tcW w:w="1160" w:type="dxa"/>
            <w:vAlign w:val="bottom"/>
            <w:tcBorders>
              <w:top w:val="single" w:sz="8" w:color="auto"/>
            </w:tcBorders>
            <w:shd w:val="clear" w:color="auto" w:fill="2AD2C9"/>
          </w:tcPr>
          <w:p>
            <w:pPr>
              <w:ind w:left="300"/>
              <w:spacing w:after="0" w:line="198" w:lineRule="exact"/>
              <w:rPr>
                <w:sz w:val="20"/>
                <w:szCs w:val="20"/>
                <w:color w:val="auto"/>
              </w:rPr>
            </w:pPr>
            <w:r>
              <w:rPr>
                <w:rFonts w:ascii="Arial" w:cs="Arial" w:eastAsia="Arial" w:hAnsi="Arial"/>
                <w:sz w:val="18"/>
                <w:szCs w:val="18"/>
                <w:b w:val="1"/>
                <w:bCs w:val="1"/>
                <w:color w:val="FFFFFF"/>
              </w:rPr>
              <w:t>Prima</w:t>
            </w:r>
          </w:p>
        </w:tc>
        <w:tc>
          <w:tcPr>
            <w:tcW w:w="980" w:type="dxa"/>
            <w:vAlign w:val="bottom"/>
            <w:tcBorders>
              <w:top w:val="single" w:sz="8" w:color="auto"/>
            </w:tcBorders>
            <w:shd w:val="clear" w:color="auto" w:fill="2AD2C9"/>
          </w:tcPr>
          <w:p>
            <w:pPr>
              <w:jc w:val="right"/>
              <w:ind w:right="151"/>
              <w:spacing w:after="0" w:line="198" w:lineRule="exact"/>
              <w:rPr>
                <w:sz w:val="20"/>
                <w:szCs w:val="20"/>
                <w:color w:val="auto"/>
              </w:rPr>
            </w:pPr>
            <w:r>
              <w:rPr>
                <w:rFonts w:ascii="Arial" w:cs="Arial" w:eastAsia="Arial" w:hAnsi="Arial"/>
                <w:sz w:val="18"/>
                <w:szCs w:val="18"/>
                <w:b w:val="1"/>
                <w:bCs w:val="1"/>
                <w:color w:val="FFFFFF"/>
              </w:rPr>
              <w:t>System</w:t>
            </w:r>
          </w:p>
        </w:tc>
        <w:tc>
          <w:tcPr>
            <w:tcW w:w="920" w:type="dxa"/>
            <w:vAlign w:val="bottom"/>
            <w:tcBorders>
              <w:top w:val="single" w:sz="8" w:color="auto"/>
              <w:right w:val="single" w:sz="8" w:color="auto"/>
            </w:tcBorders>
            <w:shd w:val="clear" w:color="auto" w:fill="2AD2C9"/>
          </w:tcPr>
          <w:p>
            <w:pPr>
              <w:jc w:val="right"/>
              <w:ind w:right="71"/>
              <w:spacing w:after="0" w:line="198" w:lineRule="exact"/>
              <w:rPr>
                <w:sz w:val="20"/>
                <w:szCs w:val="20"/>
                <w:color w:val="auto"/>
              </w:rPr>
            </w:pPr>
            <w:r>
              <w:rPr>
                <w:rFonts w:ascii="Arial" w:cs="Arial" w:eastAsia="Arial" w:hAnsi="Arial"/>
                <w:sz w:val="18"/>
                <w:szCs w:val="18"/>
                <w:b w:val="1"/>
                <w:bCs w:val="1"/>
                <w:color w:val="FFFFFF"/>
              </w:rPr>
              <w:t>% share</w:t>
            </w:r>
          </w:p>
        </w:tc>
        <w:tc>
          <w:tcPr>
            <w:tcW w:w="0" w:type="dxa"/>
            <w:vAlign w:val="bottom"/>
          </w:tcPr>
          <w:p>
            <w:pPr>
              <w:spacing w:after="0"/>
              <w:rPr>
                <w:sz w:val="1"/>
                <w:szCs w:val="1"/>
                <w:color w:val="auto"/>
              </w:rPr>
            </w:pPr>
          </w:p>
        </w:tc>
      </w:tr>
      <w:tr>
        <w:trPr>
          <w:trHeight w:val="148"/>
        </w:trPr>
        <w:tc>
          <w:tcPr>
            <w:tcW w:w="5120" w:type="dxa"/>
            <w:vAlign w:val="bottom"/>
            <w:tcBorders>
              <w:left w:val="single" w:sz="8" w:color="auto"/>
              <w:right w:val="single" w:sz="8" w:color="auto"/>
            </w:tcBorders>
            <w:vMerge w:val="continue"/>
            <w:shd w:val="clear" w:color="auto" w:fill="2AD2C9"/>
          </w:tcPr>
          <w:p>
            <w:pPr>
              <w:spacing w:after="0"/>
              <w:rPr>
                <w:sz w:val="12"/>
                <w:szCs w:val="12"/>
                <w:color w:val="auto"/>
              </w:rPr>
            </w:pPr>
          </w:p>
        </w:tc>
        <w:tc>
          <w:tcPr>
            <w:tcW w:w="1100" w:type="dxa"/>
            <w:vAlign w:val="bottom"/>
            <w:vMerge w:val="restart"/>
            <w:shd w:val="clear" w:color="auto" w:fill="2AD2C9"/>
          </w:tcPr>
          <w:p>
            <w:pPr>
              <w:ind w:left="320"/>
              <w:spacing w:after="0"/>
              <w:rPr>
                <w:sz w:val="20"/>
                <w:szCs w:val="20"/>
                <w:color w:val="auto"/>
              </w:rPr>
            </w:pPr>
            <w:r>
              <w:rPr>
                <w:rFonts w:ascii="Arial" w:cs="Arial" w:eastAsia="Arial" w:hAnsi="Arial"/>
                <w:sz w:val="18"/>
                <w:szCs w:val="18"/>
                <w:b w:val="1"/>
                <w:bCs w:val="1"/>
                <w:color w:val="FFFFFF"/>
              </w:rPr>
              <w:t>1Q22</w:t>
            </w:r>
          </w:p>
        </w:tc>
        <w:tc>
          <w:tcPr>
            <w:tcW w:w="1060" w:type="dxa"/>
            <w:vAlign w:val="bottom"/>
            <w:vMerge w:val="restart"/>
            <w:shd w:val="clear" w:color="auto" w:fill="2AD2C9"/>
          </w:tcPr>
          <w:p>
            <w:pPr>
              <w:jc w:val="right"/>
              <w:ind w:right="291"/>
              <w:spacing w:after="0"/>
              <w:rPr>
                <w:sz w:val="20"/>
                <w:szCs w:val="20"/>
                <w:color w:val="auto"/>
              </w:rPr>
            </w:pPr>
            <w:r>
              <w:rPr>
                <w:rFonts w:ascii="Arial" w:cs="Arial" w:eastAsia="Arial" w:hAnsi="Arial"/>
                <w:sz w:val="18"/>
                <w:szCs w:val="18"/>
                <w:b w:val="1"/>
                <w:bCs w:val="1"/>
                <w:color w:val="FFFFFF"/>
              </w:rPr>
              <w:t>1Q22</w:t>
            </w:r>
          </w:p>
        </w:tc>
        <w:tc>
          <w:tcPr>
            <w:tcW w:w="920" w:type="dxa"/>
            <w:vAlign w:val="bottom"/>
            <w:tcBorders>
              <w:right w:val="single" w:sz="8" w:color="auto"/>
            </w:tcBorders>
            <w:vMerge w:val="restart"/>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rPr>
              <w:t>1Q22</w:t>
            </w:r>
          </w:p>
        </w:tc>
        <w:tc>
          <w:tcPr>
            <w:tcW w:w="1160" w:type="dxa"/>
            <w:vAlign w:val="bottom"/>
            <w:vMerge w:val="restart"/>
            <w:shd w:val="clear" w:color="auto" w:fill="2AD2C9"/>
          </w:tcPr>
          <w:p>
            <w:pPr>
              <w:ind w:left="300"/>
              <w:spacing w:after="0"/>
              <w:rPr>
                <w:sz w:val="20"/>
                <w:szCs w:val="20"/>
                <w:color w:val="auto"/>
              </w:rPr>
            </w:pPr>
            <w:r>
              <w:rPr>
                <w:rFonts w:ascii="Arial" w:cs="Arial" w:eastAsia="Arial" w:hAnsi="Arial"/>
                <w:sz w:val="18"/>
                <w:szCs w:val="18"/>
                <w:b w:val="1"/>
                <w:bCs w:val="1"/>
                <w:color w:val="FFFFFF"/>
              </w:rPr>
              <w:t>2Q22</w:t>
            </w:r>
          </w:p>
        </w:tc>
        <w:tc>
          <w:tcPr>
            <w:tcW w:w="980" w:type="dxa"/>
            <w:vAlign w:val="bottom"/>
            <w:vMerge w:val="restart"/>
            <w:shd w:val="clear" w:color="auto" w:fill="2AD2C9"/>
          </w:tcPr>
          <w:p>
            <w:pPr>
              <w:jc w:val="right"/>
              <w:ind w:right="271"/>
              <w:spacing w:after="0"/>
              <w:rPr>
                <w:sz w:val="20"/>
                <w:szCs w:val="20"/>
                <w:color w:val="auto"/>
              </w:rPr>
            </w:pPr>
            <w:r>
              <w:rPr>
                <w:rFonts w:ascii="Arial" w:cs="Arial" w:eastAsia="Arial" w:hAnsi="Arial"/>
                <w:sz w:val="18"/>
                <w:szCs w:val="18"/>
                <w:b w:val="1"/>
                <w:bCs w:val="1"/>
                <w:color w:val="FFFFFF"/>
              </w:rPr>
              <w:t>2Q22</w:t>
            </w:r>
          </w:p>
        </w:tc>
        <w:tc>
          <w:tcPr>
            <w:tcW w:w="920" w:type="dxa"/>
            <w:vAlign w:val="bottom"/>
            <w:tcBorders>
              <w:right w:val="single" w:sz="8" w:color="auto"/>
            </w:tcBorders>
            <w:vMerge w:val="restart"/>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rPr>
              <w:t>2Q22</w:t>
            </w:r>
          </w:p>
        </w:tc>
        <w:tc>
          <w:tcPr>
            <w:tcW w:w="0" w:type="dxa"/>
            <w:vAlign w:val="bottom"/>
          </w:tcPr>
          <w:p>
            <w:pPr>
              <w:spacing w:after="0"/>
              <w:rPr>
                <w:sz w:val="1"/>
                <w:szCs w:val="1"/>
                <w:color w:val="auto"/>
              </w:rPr>
            </w:pPr>
          </w:p>
        </w:tc>
      </w:tr>
      <w:tr>
        <w:trPr>
          <w:trHeight w:val="72"/>
        </w:trPr>
        <w:tc>
          <w:tcPr>
            <w:tcW w:w="5120" w:type="dxa"/>
            <w:vAlign w:val="bottom"/>
            <w:tcBorders>
              <w:left w:val="single" w:sz="8" w:color="auto"/>
              <w:bottom w:val="single" w:sz="8" w:color="auto"/>
              <w:right w:val="single" w:sz="8" w:color="auto"/>
            </w:tcBorders>
            <w:shd w:val="clear" w:color="auto" w:fill="2AD2C9"/>
          </w:tcPr>
          <w:p>
            <w:pPr>
              <w:spacing w:after="0"/>
              <w:rPr>
                <w:sz w:val="6"/>
                <w:szCs w:val="6"/>
                <w:color w:val="auto"/>
              </w:rPr>
            </w:pPr>
          </w:p>
        </w:tc>
        <w:tc>
          <w:tcPr>
            <w:tcW w:w="1100" w:type="dxa"/>
            <w:vAlign w:val="bottom"/>
            <w:tcBorders>
              <w:bottom w:val="single" w:sz="8" w:color="auto"/>
            </w:tcBorders>
            <w:vMerge w:val="continue"/>
            <w:shd w:val="clear" w:color="auto" w:fill="2AD2C9"/>
          </w:tcPr>
          <w:p>
            <w:pPr>
              <w:spacing w:after="0"/>
              <w:rPr>
                <w:sz w:val="6"/>
                <w:szCs w:val="6"/>
                <w:color w:val="auto"/>
              </w:rPr>
            </w:pPr>
          </w:p>
        </w:tc>
        <w:tc>
          <w:tcPr>
            <w:tcW w:w="1060" w:type="dxa"/>
            <w:vAlign w:val="bottom"/>
            <w:tcBorders>
              <w:bottom w:val="single" w:sz="8" w:color="auto"/>
            </w:tcBorders>
            <w:vMerge w:val="continue"/>
            <w:shd w:val="clear" w:color="auto" w:fill="2AD2C9"/>
          </w:tcPr>
          <w:p>
            <w:pPr>
              <w:spacing w:after="0"/>
              <w:rPr>
                <w:sz w:val="6"/>
                <w:szCs w:val="6"/>
                <w:color w:val="auto"/>
              </w:rPr>
            </w:pPr>
          </w:p>
        </w:tc>
        <w:tc>
          <w:tcPr>
            <w:tcW w:w="92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1160" w:type="dxa"/>
            <w:vAlign w:val="bottom"/>
            <w:tcBorders>
              <w:bottom w:val="single" w:sz="8" w:color="auto"/>
            </w:tcBorders>
            <w:vMerge w:val="continue"/>
            <w:shd w:val="clear" w:color="auto" w:fill="2AD2C9"/>
          </w:tcPr>
          <w:p>
            <w:pPr>
              <w:spacing w:after="0"/>
              <w:rPr>
                <w:sz w:val="6"/>
                <w:szCs w:val="6"/>
                <w:color w:val="auto"/>
              </w:rPr>
            </w:pPr>
          </w:p>
        </w:tc>
        <w:tc>
          <w:tcPr>
            <w:tcW w:w="980" w:type="dxa"/>
            <w:vAlign w:val="bottom"/>
            <w:tcBorders>
              <w:bottom w:val="single" w:sz="8" w:color="auto"/>
            </w:tcBorders>
            <w:vMerge w:val="continue"/>
            <w:shd w:val="clear" w:color="auto" w:fill="2AD2C9"/>
          </w:tcPr>
          <w:p>
            <w:pPr>
              <w:spacing w:after="0"/>
              <w:rPr>
                <w:sz w:val="6"/>
                <w:szCs w:val="6"/>
                <w:color w:val="auto"/>
              </w:rPr>
            </w:pPr>
          </w:p>
        </w:tc>
        <w:tc>
          <w:tcPr>
            <w:tcW w:w="92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51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Affiliates</w:t>
            </w:r>
          </w:p>
        </w:tc>
        <w:tc>
          <w:tcPr>
            <w:tcW w:w="1100" w:type="dxa"/>
            <w:vAlign w:val="bottom"/>
          </w:tcPr>
          <w:p>
            <w:pPr>
              <w:jc w:val="right"/>
              <w:spacing w:after="0" w:line="174" w:lineRule="exact"/>
              <w:rPr>
                <w:sz w:val="20"/>
                <w:szCs w:val="20"/>
                <w:color w:val="auto"/>
              </w:rPr>
            </w:pPr>
            <w:r>
              <w:rPr>
                <w:rFonts w:ascii="Arial" w:cs="Arial" w:eastAsia="Arial" w:hAnsi="Arial"/>
                <w:sz w:val="18"/>
                <w:szCs w:val="18"/>
                <w:color w:val="auto"/>
              </w:rPr>
              <w:t>2,349,153</w:t>
            </w:r>
          </w:p>
        </w:tc>
        <w:tc>
          <w:tcPr>
            <w:tcW w:w="1060" w:type="dxa"/>
            <w:vAlign w:val="bottom"/>
          </w:tcPr>
          <w:p>
            <w:pPr>
              <w:jc w:val="right"/>
              <w:ind w:right="11"/>
              <w:spacing w:after="0" w:line="174" w:lineRule="exact"/>
              <w:rPr>
                <w:sz w:val="20"/>
                <w:szCs w:val="20"/>
                <w:color w:val="auto"/>
              </w:rPr>
            </w:pPr>
            <w:r>
              <w:rPr>
                <w:rFonts w:ascii="Arial" w:cs="Arial" w:eastAsia="Arial" w:hAnsi="Arial"/>
                <w:sz w:val="18"/>
                <w:szCs w:val="18"/>
                <w:color w:val="auto"/>
              </w:rPr>
              <w:t>8,387,918</w:t>
            </w:r>
          </w:p>
        </w:tc>
        <w:tc>
          <w:tcPr>
            <w:tcW w:w="9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28.0%</w:t>
            </w:r>
          </w:p>
        </w:tc>
        <w:tc>
          <w:tcPr>
            <w:tcW w:w="1160" w:type="dxa"/>
            <w:vAlign w:val="bottom"/>
          </w:tcPr>
          <w:p>
            <w:pPr>
              <w:jc w:val="right"/>
              <w:ind w:right="11"/>
              <w:spacing w:after="0" w:line="174" w:lineRule="exact"/>
              <w:rPr>
                <w:sz w:val="20"/>
                <w:szCs w:val="20"/>
                <w:color w:val="auto"/>
              </w:rPr>
            </w:pPr>
            <w:r>
              <w:rPr>
                <w:rFonts w:ascii="Arial" w:cs="Arial" w:eastAsia="Arial" w:hAnsi="Arial"/>
                <w:sz w:val="18"/>
                <w:szCs w:val="18"/>
                <w:color w:val="auto"/>
              </w:rPr>
              <w:t>2,347,956</w:t>
            </w:r>
          </w:p>
        </w:tc>
        <w:tc>
          <w:tcPr>
            <w:tcW w:w="980" w:type="dxa"/>
            <w:vAlign w:val="bottom"/>
          </w:tcPr>
          <w:p>
            <w:pPr>
              <w:jc w:val="right"/>
              <w:spacing w:after="0" w:line="174" w:lineRule="exact"/>
              <w:rPr>
                <w:sz w:val="20"/>
                <w:szCs w:val="20"/>
                <w:color w:val="auto"/>
              </w:rPr>
            </w:pPr>
            <w:r>
              <w:rPr>
                <w:rFonts w:ascii="Arial" w:cs="Arial" w:eastAsia="Arial" w:hAnsi="Arial"/>
                <w:sz w:val="18"/>
                <w:szCs w:val="18"/>
                <w:color w:val="auto"/>
              </w:rPr>
              <w:t>8,529,346</w:t>
            </w:r>
          </w:p>
        </w:tc>
        <w:tc>
          <w:tcPr>
            <w:tcW w:w="9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95"/>
        </w:trPr>
        <w:tc>
          <w:tcPr>
            <w:tcW w:w="51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New affiliations (1)</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93,252</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0.0%</w:t>
            </w:r>
          </w:p>
        </w:tc>
        <w:tc>
          <w:tcPr>
            <w:tcW w:w="11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144,713</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5"/>
        </w:trPr>
        <w:tc>
          <w:tcPr>
            <w:tcW w:w="51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Funds under management (S/ Millions)</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39,510</w:t>
            </w:r>
          </w:p>
        </w:tc>
        <w:tc>
          <w:tcPr>
            <w:tcW w:w="10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132,214</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29.9%</w:t>
            </w:r>
          </w:p>
        </w:tc>
        <w:tc>
          <w:tcPr>
            <w:tcW w:w="11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36,789</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122,771</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5"/>
        </w:trPr>
        <w:tc>
          <w:tcPr>
            <w:tcW w:w="51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Collections (S/ Millions)</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1030</w:t>
            </w:r>
          </w:p>
        </w:tc>
        <w:tc>
          <w:tcPr>
            <w:tcW w:w="10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3,536</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29.1%</w:t>
            </w:r>
          </w:p>
        </w:tc>
        <w:tc>
          <w:tcPr>
            <w:tcW w:w="11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1054</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3,666</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5"/>
        </w:trPr>
        <w:tc>
          <w:tcPr>
            <w:tcW w:w="51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Voluntary contributions (S/ Millions) (3)</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980</w:t>
            </w:r>
          </w:p>
        </w:tc>
        <w:tc>
          <w:tcPr>
            <w:tcW w:w="10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2,600</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37.7%</w:t>
            </w:r>
          </w:p>
        </w:tc>
        <w:tc>
          <w:tcPr>
            <w:tcW w:w="1160" w:type="dxa"/>
            <w:vAlign w:val="bottom"/>
          </w:tcPr>
          <w:p>
            <w:pPr>
              <w:jc w:val="right"/>
              <w:ind w:right="11"/>
              <w:spacing w:after="0" w:line="195" w:lineRule="exact"/>
              <w:rPr>
                <w:sz w:val="20"/>
                <w:szCs w:val="20"/>
                <w:color w:val="auto"/>
              </w:rPr>
            </w:pPr>
            <w:r>
              <w:rPr>
                <w:rFonts w:ascii="Arial" w:cs="Arial" w:eastAsia="Arial" w:hAnsi="Arial"/>
                <w:sz w:val="18"/>
                <w:szCs w:val="18"/>
                <w:color w:val="auto"/>
              </w:rPr>
              <w:t>820</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2,180</w:t>
            </w:r>
          </w:p>
        </w:tc>
        <w:tc>
          <w:tcPr>
            <w:tcW w:w="9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0"/>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RAM (S/ Millions) (2)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ind w:left="3"/>
        <w:spacing w:after="0" w:line="237" w:lineRule="auto"/>
        <w:rPr>
          <w:sz w:val="20"/>
          <w:szCs w:val="20"/>
          <w:color w:val="auto"/>
        </w:rPr>
      </w:pPr>
      <w:r>
        <w:rPr>
          <w:rFonts w:ascii="Times New Roman" w:cs="Times New Roman" w:eastAsia="Times New Roman" w:hAnsi="Times New Roman"/>
          <w:sz w:val="11"/>
          <w:szCs w:val="11"/>
          <w:color w:val="auto"/>
        </w:rPr>
        <w:t>Source: SBS</w:t>
      </w:r>
    </w:p>
    <w:p>
      <w:pPr>
        <w:ind w:left="143" w:hanging="143"/>
        <w:spacing w:after="0" w:line="231" w:lineRule="auto"/>
        <w:tabs>
          <w:tab w:leader="none" w:pos="143"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June 2019, another AFP has the exclusivity of affiliations.</w:t>
      </w:r>
    </w:p>
    <w:p>
      <w:pPr>
        <w:ind w:left="143" w:hanging="143"/>
        <w:spacing w:after="0"/>
        <w:tabs>
          <w:tab w:leader="none" w:pos="143"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 AFP estimate: Average of aggregated income for flow during the last 4 months, excluding special collections and voluntary contribution fees.</w:t>
      </w:r>
    </w:p>
    <w:p>
      <w:pPr>
        <w:spacing w:after="0" w:line="337"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67" w:name="page68"/>
    <w:bookmarkEnd w:id="67"/>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260350</wp:posOffset>
            </wp:positionV>
            <wp:extent cx="7145655" cy="1854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12.5.8. Grupo Pacifico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GRUPO PACIFICO</w:t>
      </w:r>
    </w:p>
    <w:p>
      <w:pPr>
        <w:jc w:val="center"/>
        <w:spacing w:after="0"/>
        <w:rPr>
          <w:sz w:val="20"/>
          <w:szCs w:val="20"/>
          <w:color w:val="auto"/>
        </w:rPr>
      </w:pPr>
      <w:r>
        <w:rPr>
          <w:rFonts w:ascii="Times New Roman" w:cs="Times New Roman" w:eastAsia="Times New Roman" w:hAnsi="Times New Roman"/>
          <w:sz w:val="18"/>
          <w:szCs w:val="18"/>
          <w:b w:val="1"/>
          <w:bCs w:val="1"/>
          <w:color w:val="auto"/>
        </w:rPr>
        <w:t>(S/ in thousands )</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6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160" w:type="dxa"/>
            <w:vAlign w:val="bottom"/>
            <w:tcBorders>
              <w:top w:val="single" w:sz="8" w:color="auto"/>
            </w:tcBorders>
            <w:gridSpan w:val="2"/>
            <w:vMerge w:val="restart"/>
            <w:shd w:val="clear" w:color="auto" w:fill="2AD2C9"/>
          </w:tcPr>
          <w:p>
            <w:pPr>
              <w:jc w:val="right"/>
              <w:ind w:right="319"/>
              <w:spacing w:after="0"/>
              <w:rPr>
                <w:sz w:val="20"/>
                <w:szCs w:val="20"/>
                <w:color w:val="auto"/>
              </w:rPr>
            </w:pPr>
            <w:r>
              <w:rPr>
                <w:rFonts w:ascii="Arial" w:cs="Arial" w:eastAsia="Arial" w:hAnsi="Arial"/>
                <w:sz w:val="18"/>
                <w:szCs w:val="18"/>
                <w:b w:val="1"/>
                <w:bCs w:val="1"/>
                <w:color w:val="FFFFFF"/>
              </w:rPr>
              <w:t>Jun21</w:t>
            </w:r>
          </w:p>
        </w:tc>
        <w:tc>
          <w:tcPr>
            <w:tcW w:w="780" w:type="dxa"/>
            <w:vAlign w:val="bottom"/>
            <w:tcBorders>
              <w:top w:val="single" w:sz="8" w:color="auto"/>
              <w:right w:val="single" w:sz="8" w:color="2AD2C9"/>
            </w:tcBorders>
            <w:shd w:val="clear" w:color="auto" w:fill="2AD2C9"/>
          </w:tcPr>
          <w:p>
            <w:pPr>
              <w:ind w:left="160"/>
              <w:spacing w:after="0" w:line="198" w:lineRule="exact"/>
              <w:rPr>
                <w:sz w:val="20"/>
                <w:szCs w:val="20"/>
                <w:color w:val="auto"/>
              </w:rPr>
            </w:pPr>
            <w:r>
              <w:rPr>
                <w:rFonts w:ascii="Arial" w:cs="Arial" w:eastAsia="Arial" w:hAnsi="Arial"/>
                <w:sz w:val="18"/>
                <w:szCs w:val="18"/>
                <w:b w:val="1"/>
                <w:bCs w:val="1"/>
                <w:color w:val="FFFFFF"/>
              </w:rPr>
              <w:t>As of</w:t>
            </w:r>
          </w:p>
        </w:tc>
        <w:tc>
          <w:tcPr>
            <w:tcW w:w="140" w:type="dxa"/>
            <w:vAlign w:val="bottom"/>
            <w:tcBorders>
              <w:top w:val="single" w:sz="8" w:color="auto"/>
            </w:tcBorders>
            <w:shd w:val="clear" w:color="auto" w:fill="2AD2C9"/>
          </w:tcPr>
          <w:p>
            <w:pPr>
              <w:spacing w:after="0"/>
              <w:rPr>
                <w:sz w:val="17"/>
                <w:szCs w:val="17"/>
                <w:color w:val="auto"/>
              </w:rPr>
            </w:pPr>
          </w:p>
        </w:tc>
        <w:tc>
          <w:tcPr>
            <w:tcW w:w="1040" w:type="dxa"/>
            <w:vAlign w:val="bottom"/>
            <w:tcBorders>
              <w:top w:val="single" w:sz="8" w:color="auto"/>
              <w:right w:val="single" w:sz="8" w:color="auto"/>
            </w:tcBorders>
            <w:gridSpan w:val="2"/>
            <w:vMerge w:val="restart"/>
            <w:shd w:val="clear" w:color="auto" w:fill="2AD2C9"/>
          </w:tcPr>
          <w:p>
            <w:pPr>
              <w:jc w:val="right"/>
              <w:ind w:right="179"/>
              <w:spacing w:after="0"/>
              <w:rPr>
                <w:sz w:val="20"/>
                <w:szCs w:val="20"/>
                <w:color w:val="auto"/>
              </w:rPr>
            </w:pPr>
            <w:r>
              <w:rPr>
                <w:rFonts w:ascii="Arial" w:cs="Arial" w:eastAsia="Arial" w:hAnsi="Arial"/>
                <w:sz w:val="18"/>
                <w:szCs w:val="18"/>
                <w:b w:val="1"/>
                <w:bCs w:val="1"/>
                <w:color w:val="FFFFFF"/>
              </w:rPr>
              <w:t>Jun 22</w:t>
            </w:r>
          </w:p>
        </w:tc>
        <w:tc>
          <w:tcPr>
            <w:tcW w:w="320" w:type="dxa"/>
            <w:vAlign w:val="bottom"/>
            <w:tcBorders>
              <w:top w:val="single" w:sz="8" w:color="auto"/>
              <w:right w:val="single" w:sz="8" w:color="2AD2C9"/>
            </w:tcBorders>
            <w:shd w:val="clear" w:color="auto" w:fill="2AD2C9"/>
          </w:tcPr>
          <w:p>
            <w:pPr>
              <w:spacing w:after="0"/>
              <w:rPr>
                <w:sz w:val="17"/>
                <w:szCs w:val="17"/>
                <w:color w:val="auto"/>
              </w:rPr>
            </w:pPr>
          </w:p>
        </w:tc>
        <w:tc>
          <w:tcPr>
            <w:tcW w:w="1700" w:type="dxa"/>
            <w:vAlign w:val="bottom"/>
            <w:tcBorders>
              <w:top w:val="single" w:sz="8" w:color="auto"/>
              <w:right w:val="single" w:sz="8" w:color="auto"/>
            </w:tcBorders>
            <w:gridSpan w:val="2"/>
            <w:shd w:val="clear" w:color="auto" w:fill="2AD2C9"/>
          </w:tcPr>
          <w:p>
            <w:pPr>
              <w:jc w:val="right"/>
              <w:ind w:right="517"/>
              <w:spacing w:after="0" w:line="198" w:lineRule="exact"/>
              <w:rPr>
                <w:sz w:val="20"/>
                <w:szCs w:val="20"/>
                <w:color w:val="auto"/>
              </w:rPr>
            </w:pPr>
            <w:r>
              <w:rPr>
                <w:rFonts w:ascii="Arial" w:cs="Arial" w:eastAsia="Arial" w:hAnsi="Arial"/>
                <w:sz w:val="18"/>
                <w:szCs w:val="18"/>
                <w:b w:val="1"/>
                <w:bCs w:val="1"/>
                <w:color w:val="FFFFFF"/>
              </w:rPr>
              <w:t>% change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gridSpan w:val="2"/>
            <w:vMerge w:val="continue"/>
            <w:shd w:val="clear" w:color="auto" w:fill="2AD2C9"/>
          </w:tcPr>
          <w:p>
            <w:pPr>
              <w:spacing w:after="0"/>
              <w:rPr>
                <w:sz w:val="19"/>
                <w:szCs w:val="19"/>
                <w:color w:val="auto"/>
              </w:rPr>
            </w:pPr>
          </w:p>
        </w:tc>
        <w:tc>
          <w:tcPr>
            <w:tcW w:w="780" w:type="dxa"/>
            <w:vAlign w:val="bottom"/>
            <w:tcBorders>
              <w:bottom w:val="single" w:sz="8" w:color="auto"/>
              <w:right w:val="single" w:sz="8" w:color="2AD2C9"/>
            </w:tcBorders>
            <w:shd w:val="clear" w:color="auto" w:fill="2AD2C9"/>
          </w:tcPr>
          <w:p>
            <w:pPr>
              <w:jc w:val="right"/>
              <w:ind w:right="37"/>
              <w:spacing w:after="0"/>
              <w:rPr>
                <w:sz w:val="20"/>
                <w:szCs w:val="20"/>
                <w:color w:val="auto"/>
              </w:rPr>
            </w:pPr>
            <w:r>
              <w:rPr>
                <w:rFonts w:ascii="Arial" w:cs="Arial" w:eastAsia="Arial" w:hAnsi="Arial"/>
                <w:sz w:val="18"/>
                <w:szCs w:val="18"/>
                <w:b w:val="1"/>
                <w:bCs w:val="1"/>
                <w:color w:val="FFFFFF"/>
              </w:rPr>
              <w:t>Mar 22</w:t>
            </w:r>
          </w:p>
        </w:tc>
        <w:tc>
          <w:tcPr>
            <w:tcW w:w="140" w:type="dxa"/>
            <w:vAlign w:val="bottom"/>
            <w:tcBorders>
              <w:bottom w:val="single" w:sz="8" w:color="auto"/>
            </w:tcBorders>
            <w:shd w:val="clear" w:color="auto" w:fill="2AD2C9"/>
          </w:tcPr>
          <w:p>
            <w:pPr>
              <w:spacing w:after="0"/>
              <w:rPr>
                <w:sz w:val="19"/>
                <w:szCs w:val="19"/>
                <w:color w:val="auto"/>
              </w:rPr>
            </w:pPr>
          </w:p>
        </w:tc>
        <w:tc>
          <w:tcPr>
            <w:tcW w:w="1040" w:type="dxa"/>
            <w:vAlign w:val="bottom"/>
            <w:tcBorders>
              <w:bottom w:val="single" w:sz="8" w:color="auto"/>
              <w:right w:val="single" w:sz="8" w:color="auto"/>
            </w:tcBorders>
            <w:gridSpan w:val="2"/>
            <w:vMerge w:val="continue"/>
            <w:shd w:val="clear" w:color="auto" w:fill="2AD2C9"/>
          </w:tcPr>
          <w:p>
            <w:pPr>
              <w:spacing w:after="0"/>
              <w:rPr>
                <w:sz w:val="19"/>
                <w:szCs w:val="19"/>
                <w:color w:val="auto"/>
              </w:rPr>
            </w:pPr>
          </w:p>
        </w:tc>
        <w:tc>
          <w:tcPr>
            <w:tcW w:w="320" w:type="dxa"/>
            <w:vAlign w:val="bottom"/>
            <w:tcBorders>
              <w:bottom w:val="single" w:sz="8" w:color="auto"/>
              <w:right w:val="single" w:sz="8" w:color="2AD2C9"/>
            </w:tcBorders>
            <w:shd w:val="clear" w:color="auto" w:fill="2AD2C9"/>
          </w:tcPr>
          <w:p>
            <w:pPr>
              <w:spacing w:after="0"/>
              <w:rPr>
                <w:sz w:val="19"/>
                <w:szCs w:val="19"/>
                <w:color w:val="auto"/>
              </w:rPr>
            </w:pPr>
          </w:p>
        </w:tc>
        <w:tc>
          <w:tcPr>
            <w:tcW w:w="880" w:type="dxa"/>
            <w:vAlign w:val="bottom"/>
            <w:tcBorders>
              <w:bottom w:val="single" w:sz="8" w:color="auto"/>
            </w:tcBorders>
            <w:shd w:val="clear" w:color="auto" w:fill="2AD2C9"/>
          </w:tcPr>
          <w:p>
            <w:pPr>
              <w:jc w:val="right"/>
              <w:ind w:right="437"/>
              <w:spacing w:after="0"/>
              <w:rPr>
                <w:sz w:val="20"/>
                <w:szCs w:val="20"/>
                <w:color w:val="auto"/>
              </w:rPr>
            </w:pPr>
            <w:r>
              <w:rPr>
                <w:rFonts w:ascii="Arial" w:cs="Arial" w:eastAsia="Arial" w:hAnsi="Arial"/>
                <w:sz w:val="18"/>
                <w:szCs w:val="18"/>
                <w:b w:val="1"/>
                <w:bCs w:val="1"/>
                <w:color w:val="FFFFFF"/>
                <w:w w:val="87"/>
              </w:rPr>
              <w:t>QoQ</w:t>
            </w:r>
          </w:p>
        </w:tc>
        <w:tc>
          <w:tcPr>
            <w:tcW w:w="820" w:type="dxa"/>
            <w:vAlign w:val="bottom"/>
            <w:tcBorders>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8"/>
                <w:szCs w:val="18"/>
                <w:b w:val="1"/>
                <w:bCs w:val="1"/>
                <w:color w:val="FFFFFF"/>
              </w:rPr>
              <w:t>YoY</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64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8"/>
                <w:szCs w:val="18"/>
                <w:color w:val="auto"/>
              </w:rPr>
              <w:t>Total assets</w:t>
            </w:r>
          </w:p>
        </w:tc>
        <w:tc>
          <w:tcPr>
            <w:tcW w:w="38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9"/>
              <w:spacing w:after="0" w:line="174" w:lineRule="exact"/>
              <w:rPr>
                <w:sz w:val="20"/>
                <w:szCs w:val="20"/>
                <w:color w:val="auto"/>
              </w:rPr>
            </w:pPr>
            <w:r>
              <w:rPr>
                <w:rFonts w:ascii="Arial" w:cs="Arial" w:eastAsia="Arial" w:hAnsi="Arial"/>
                <w:sz w:val="18"/>
                <w:szCs w:val="18"/>
                <w:color w:val="auto"/>
              </w:rPr>
              <w:t>15,775,105</w:t>
            </w:r>
          </w:p>
        </w:tc>
        <w:tc>
          <w:tcPr>
            <w:tcW w:w="920" w:type="dxa"/>
            <w:vAlign w:val="bottom"/>
            <w:gridSpan w:val="2"/>
          </w:tcPr>
          <w:p>
            <w:pPr>
              <w:jc w:val="right"/>
              <w:spacing w:after="0" w:line="174" w:lineRule="exact"/>
              <w:rPr>
                <w:sz w:val="20"/>
                <w:szCs w:val="20"/>
                <w:color w:val="auto"/>
              </w:rPr>
            </w:pPr>
            <w:r>
              <w:rPr>
                <w:rFonts w:ascii="Arial" w:cs="Arial" w:eastAsia="Arial" w:hAnsi="Arial"/>
                <w:sz w:val="18"/>
                <w:szCs w:val="18"/>
                <w:color w:val="auto"/>
                <w:w w:val="97"/>
              </w:rPr>
              <w:t>15,630,799</w:t>
            </w:r>
          </w:p>
        </w:tc>
        <w:tc>
          <w:tcPr>
            <w:tcW w:w="104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8"/>
                <w:szCs w:val="18"/>
                <w:color w:val="auto"/>
              </w:rPr>
              <w:t>15,229,244</w:t>
            </w:r>
          </w:p>
        </w:tc>
        <w:tc>
          <w:tcPr>
            <w:tcW w:w="320" w:type="dxa"/>
            <w:vAlign w:val="bottom"/>
          </w:tcPr>
          <w:p>
            <w:pPr>
              <w:spacing w:after="0"/>
              <w:rPr>
                <w:sz w:val="15"/>
                <w:szCs w:val="15"/>
                <w:color w:val="auto"/>
              </w:rPr>
            </w:pPr>
          </w:p>
        </w:tc>
        <w:tc>
          <w:tcPr>
            <w:tcW w:w="880" w:type="dxa"/>
            <w:vAlign w:val="bottom"/>
          </w:tcPr>
          <w:p>
            <w:pPr>
              <w:jc w:val="right"/>
              <w:ind w:right="137"/>
              <w:spacing w:after="0" w:line="174" w:lineRule="exact"/>
              <w:rPr>
                <w:sz w:val="20"/>
                <w:szCs w:val="20"/>
                <w:color w:val="auto"/>
              </w:rPr>
            </w:pPr>
            <w:r>
              <w:rPr>
                <w:rFonts w:ascii="Arial" w:cs="Arial" w:eastAsia="Arial" w:hAnsi="Arial"/>
                <w:sz w:val="18"/>
                <w:szCs w:val="18"/>
                <w:color w:val="auto"/>
              </w:rPr>
              <w:t>-2.6%</w:t>
            </w:r>
          </w:p>
        </w:tc>
        <w:tc>
          <w:tcPr>
            <w:tcW w:w="8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-3.5%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Invesment on securities (6)</w:t>
            </w:r>
          </w:p>
        </w:tc>
        <w:tc>
          <w:tcPr>
            <w:tcW w:w="380" w:type="dxa"/>
            <w:vAlign w:val="bottom"/>
            <w:tcBorders>
              <w:right w:val="single" w:sz="8" w:color="auto"/>
            </w:tcBorders>
          </w:tcPr>
          <w:p>
            <w:pPr>
              <w:spacing w:after="0"/>
              <w:rPr>
                <w:sz w:val="16"/>
                <w:szCs w:val="16"/>
                <w:color w:val="auto"/>
              </w:rPr>
            </w:pPr>
          </w:p>
        </w:tc>
        <w:tc>
          <w:tcPr>
            <w:tcW w:w="1160" w:type="dxa"/>
            <w:vAlign w:val="bottom"/>
            <w:gridSpan w:val="2"/>
          </w:tcPr>
          <w:p>
            <w:pPr>
              <w:jc w:val="right"/>
              <w:ind w:right="59"/>
              <w:spacing w:after="0" w:line="195" w:lineRule="exact"/>
              <w:rPr>
                <w:sz w:val="20"/>
                <w:szCs w:val="20"/>
                <w:color w:val="auto"/>
              </w:rPr>
            </w:pPr>
            <w:r>
              <w:rPr>
                <w:rFonts w:ascii="Arial" w:cs="Arial" w:eastAsia="Arial" w:hAnsi="Arial"/>
                <w:sz w:val="18"/>
                <w:szCs w:val="18"/>
                <w:color w:val="auto"/>
              </w:rPr>
              <w:t>12,102,502</w:t>
            </w:r>
          </w:p>
        </w:tc>
        <w:tc>
          <w:tcPr>
            <w:tcW w:w="9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7"/>
              </w:rPr>
              <w:t>11,951,579</w:t>
            </w:r>
          </w:p>
        </w:tc>
        <w:tc>
          <w:tcPr>
            <w:tcW w:w="1040" w:type="dxa"/>
            <w:vAlign w:val="bottom"/>
            <w:tcBorders>
              <w:right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11,573,077</w:t>
            </w:r>
          </w:p>
        </w:tc>
        <w:tc>
          <w:tcPr>
            <w:tcW w:w="320" w:type="dxa"/>
            <w:vAlign w:val="bottom"/>
          </w:tcPr>
          <w:p>
            <w:pPr>
              <w:spacing w:after="0"/>
              <w:rPr>
                <w:sz w:val="16"/>
                <w:szCs w:val="16"/>
                <w:color w:val="auto"/>
              </w:rPr>
            </w:pPr>
          </w:p>
        </w:tc>
        <w:tc>
          <w:tcPr>
            <w:tcW w:w="880" w:type="dxa"/>
            <w:vAlign w:val="bottom"/>
          </w:tcPr>
          <w:p>
            <w:pPr>
              <w:jc w:val="right"/>
              <w:ind w:right="137"/>
              <w:spacing w:after="0" w:line="195" w:lineRule="exact"/>
              <w:rPr>
                <w:sz w:val="20"/>
                <w:szCs w:val="20"/>
                <w:color w:val="auto"/>
              </w:rPr>
            </w:pPr>
            <w:r>
              <w:rPr>
                <w:rFonts w:ascii="Arial" w:cs="Arial" w:eastAsia="Arial" w:hAnsi="Arial"/>
                <w:sz w:val="18"/>
                <w:szCs w:val="18"/>
                <w:color w:val="auto"/>
              </w:rPr>
              <w:t>-3.2%</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Technical reserves</w:t>
            </w:r>
          </w:p>
        </w:tc>
        <w:tc>
          <w:tcPr>
            <w:tcW w:w="380" w:type="dxa"/>
            <w:vAlign w:val="bottom"/>
            <w:tcBorders>
              <w:right w:val="single" w:sz="8" w:color="auto"/>
            </w:tcBorders>
          </w:tcPr>
          <w:p>
            <w:pPr>
              <w:spacing w:after="0"/>
              <w:rPr>
                <w:sz w:val="16"/>
                <w:szCs w:val="16"/>
                <w:color w:val="auto"/>
              </w:rPr>
            </w:pPr>
          </w:p>
        </w:tc>
        <w:tc>
          <w:tcPr>
            <w:tcW w:w="1160" w:type="dxa"/>
            <w:vAlign w:val="bottom"/>
            <w:gridSpan w:val="2"/>
          </w:tcPr>
          <w:p>
            <w:pPr>
              <w:jc w:val="right"/>
              <w:ind w:right="59"/>
              <w:spacing w:after="0" w:line="195" w:lineRule="exact"/>
              <w:rPr>
                <w:sz w:val="20"/>
                <w:szCs w:val="20"/>
                <w:color w:val="auto"/>
              </w:rPr>
            </w:pPr>
            <w:r>
              <w:rPr>
                <w:rFonts w:ascii="Arial" w:cs="Arial" w:eastAsia="Arial" w:hAnsi="Arial"/>
                <w:sz w:val="18"/>
                <w:szCs w:val="18"/>
                <w:color w:val="auto"/>
              </w:rPr>
              <w:t>12,173,277</w:t>
            </w:r>
          </w:p>
        </w:tc>
        <w:tc>
          <w:tcPr>
            <w:tcW w:w="9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7"/>
              </w:rPr>
              <w:t>11,962,492</w:t>
            </w:r>
          </w:p>
        </w:tc>
        <w:tc>
          <w:tcPr>
            <w:tcW w:w="1040" w:type="dxa"/>
            <w:vAlign w:val="bottom"/>
            <w:tcBorders>
              <w:right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11,707,217</w:t>
            </w:r>
          </w:p>
        </w:tc>
        <w:tc>
          <w:tcPr>
            <w:tcW w:w="320" w:type="dxa"/>
            <w:vAlign w:val="bottom"/>
          </w:tcPr>
          <w:p>
            <w:pPr>
              <w:spacing w:after="0"/>
              <w:rPr>
                <w:sz w:val="16"/>
                <w:szCs w:val="16"/>
                <w:color w:val="auto"/>
              </w:rPr>
            </w:pPr>
          </w:p>
        </w:tc>
        <w:tc>
          <w:tcPr>
            <w:tcW w:w="880" w:type="dxa"/>
            <w:vAlign w:val="bottom"/>
          </w:tcPr>
          <w:p>
            <w:pPr>
              <w:jc w:val="right"/>
              <w:ind w:right="137"/>
              <w:spacing w:after="0" w:line="195" w:lineRule="exact"/>
              <w:rPr>
                <w:sz w:val="20"/>
                <w:szCs w:val="20"/>
                <w:color w:val="auto"/>
              </w:rPr>
            </w:pPr>
            <w:r>
              <w:rPr>
                <w:rFonts w:ascii="Arial" w:cs="Arial" w:eastAsia="Arial" w:hAnsi="Arial"/>
                <w:sz w:val="18"/>
                <w:szCs w:val="18"/>
                <w:color w:val="auto"/>
              </w:rPr>
              <w:t>-2.1%</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-3.8%</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Net equity</w:t>
            </w:r>
          </w:p>
        </w:tc>
        <w:tc>
          <w:tcPr>
            <w:tcW w:w="3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2,125,685</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2,205,194</w:t>
            </w:r>
          </w:p>
        </w:tc>
        <w:tc>
          <w:tcPr>
            <w:tcW w:w="10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2,101,532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640" w:type="dxa"/>
            <w:vAlign w:val="bottom"/>
            <w:tcBorders>
              <w:right w:val="single" w:sz="8" w:color="auto"/>
            </w:tcBorders>
          </w:tcPr>
          <w:p>
            <w:pPr>
              <w:spacing w:after="0"/>
              <w:rPr>
                <w:sz w:val="14"/>
                <w:szCs w:val="14"/>
                <w:color w:val="auto"/>
              </w:rPr>
            </w:pPr>
          </w:p>
        </w:tc>
        <w:tc>
          <w:tcPr>
            <w:tcW w:w="380" w:type="dxa"/>
            <w:vAlign w:val="bottom"/>
            <w:tcBorders>
              <w:right w:val="single" w:sz="8" w:color="2AD2C9"/>
            </w:tcBorders>
            <w:shd w:val="clear" w:color="auto" w:fill="2AD2C9"/>
          </w:tcPr>
          <w:p>
            <w:pPr>
              <w:spacing w:after="0"/>
              <w:rPr>
                <w:sz w:val="14"/>
                <w:szCs w:val="14"/>
                <w:color w:val="auto"/>
              </w:rPr>
            </w:pPr>
          </w:p>
        </w:tc>
        <w:tc>
          <w:tcPr>
            <w:tcW w:w="400" w:type="dxa"/>
            <w:vAlign w:val="bottom"/>
            <w:shd w:val="clear" w:color="auto" w:fill="2AD2C9"/>
          </w:tcPr>
          <w:p>
            <w:pPr>
              <w:spacing w:after="0"/>
              <w:rPr>
                <w:sz w:val="14"/>
                <w:szCs w:val="14"/>
                <w:color w:val="auto"/>
              </w:rPr>
            </w:pPr>
          </w:p>
        </w:tc>
        <w:tc>
          <w:tcPr>
            <w:tcW w:w="760" w:type="dxa"/>
            <w:vAlign w:val="bottom"/>
            <w:shd w:val="clear" w:color="auto" w:fill="2AD2C9"/>
          </w:tcPr>
          <w:p>
            <w:pPr>
              <w:jc w:val="right"/>
              <w:ind w:right="39"/>
              <w:spacing w:after="0" w:line="166" w:lineRule="exact"/>
              <w:rPr>
                <w:sz w:val="20"/>
                <w:szCs w:val="20"/>
                <w:color w:val="auto"/>
              </w:rPr>
            </w:pPr>
            <w:r>
              <w:rPr>
                <w:rFonts w:ascii="Arial" w:cs="Arial" w:eastAsia="Arial" w:hAnsi="Arial"/>
                <w:sz w:val="16"/>
                <w:szCs w:val="16"/>
                <w:b w:val="1"/>
                <w:bCs w:val="1"/>
                <w:color w:val="FFFFFF"/>
              </w:rPr>
              <w:t>Quarter</w:t>
            </w:r>
          </w:p>
        </w:tc>
        <w:tc>
          <w:tcPr>
            <w:tcW w:w="780" w:type="dxa"/>
            <w:vAlign w:val="bottom"/>
            <w:tcBorders>
              <w:right w:val="single" w:sz="8" w:color="auto"/>
            </w:tcBorders>
            <w:shd w:val="clear" w:color="auto" w:fill="2AD2C9"/>
          </w:tcPr>
          <w:p>
            <w:pPr>
              <w:spacing w:after="0"/>
              <w:rPr>
                <w:sz w:val="14"/>
                <w:szCs w:val="14"/>
                <w:color w:val="auto"/>
              </w:rPr>
            </w:pPr>
          </w:p>
        </w:tc>
        <w:tc>
          <w:tcPr>
            <w:tcW w:w="140" w:type="dxa"/>
            <w:vAlign w:val="bottom"/>
            <w:shd w:val="clear" w:color="auto" w:fill="2AD2C9"/>
          </w:tcPr>
          <w:p>
            <w:pPr>
              <w:spacing w:after="0"/>
              <w:rPr>
                <w:sz w:val="14"/>
                <w:szCs w:val="14"/>
                <w:color w:val="auto"/>
              </w:rPr>
            </w:pPr>
          </w:p>
        </w:tc>
        <w:tc>
          <w:tcPr>
            <w:tcW w:w="1360" w:type="dxa"/>
            <w:vAlign w:val="bottom"/>
            <w:tcBorders>
              <w:right w:val="single" w:sz="8" w:color="auto"/>
            </w:tcBorders>
            <w:gridSpan w:val="3"/>
            <w:shd w:val="clear" w:color="auto" w:fill="2AD2C9"/>
          </w:tcPr>
          <w:p>
            <w:pPr>
              <w:jc w:val="right"/>
              <w:ind w:right="319"/>
              <w:spacing w:after="0" w:line="166" w:lineRule="exact"/>
              <w:rPr>
                <w:sz w:val="20"/>
                <w:szCs w:val="20"/>
                <w:color w:val="auto"/>
              </w:rPr>
            </w:pPr>
            <w:r>
              <w:rPr>
                <w:rFonts w:ascii="Arial" w:cs="Arial" w:eastAsia="Arial" w:hAnsi="Arial"/>
                <w:sz w:val="16"/>
                <w:szCs w:val="16"/>
                <w:b w:val="1"/>
                <w:bCs w:val="1"/>
                <w:color w:val="FFFFFF"/>
              </w:rPr>
              <w:t>% change</w:t>
            </w:r>
          </w:p>
        </w:tc>
        <w:tc>
          <w:tcPr>
            <w:tcW w:w="1700" w:type="dxa"/>
            <w:vAlign w:val="bottom"/>
            <w:tcBorders>
              <w:right w:val="single" w:sz="8" w:color="auto"/>
            </w:tcBorders>
            <w:gridSpan w:val="2"/>
            <w:shd w:val="clear" w:color="auto" w:fill="2AD2C9"/>
          </w:tcPr>
          <w:p>
            <w:pPr>
              <w:jc w:val="right"/>
              <w:ind w:right="597"/>
              <w:spacing w:after="0" w:line="166" w:lineRule="exact"/>
              <w:rPr>
                <w:sz w:val="20"/>
                <w:szCs w:val="20"/>
                <w:color w:val="auto"/>
              </w:rPr>
            </w:pPr>
            <w:r>
              <w:rPr>
                <w:rFonts w:ascii="Arial" w:cs="Arial" w:eastAsia="Arial" w:hAnsi="Arial"/>
                <w:sz w:val="16"/>
                <w:szCs w:val="16"/>
                <w:b w:val="1"/>
                <w:bCs w:val="1"/>
                <w:color w:val="FFFFFF"/>
              </w:rPr>
              <w:t>As of</w:t>
            </w:r>
          </w:p>
        </w:tc>
        <w:tc>
          <w:tcPr>
            <w:tcW w:w="1120" w:type="dxa"/>
            <w:vAlign w:val="bottom"/>
            <w:tcBorders>
              <w:right w:val="single" w:sz="8" w:color="auto"/>
            </w:tcBorders>
            <w:shd w:val="clear" w:color="auto" w:fill="2AD2C9"/>
          </w:tcPr>
          <w:p>
            <w:pPr>
              <w:jc w:val="right"/>
              <w:ind w:right="139"/>
              <w:spacing w:after="0" w:line="16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04"/>
        </w:trPr>
        <w:tc>
          <w:tcPr>
            <w:tcW w:w="4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gridSpan w:val="2"/>
            <w:shd w:val="clear" w:color="auto" w:fill="2AD2C9"/>
          </w:tcPr>
          <w:p>
            <w:pPr>
              <w:jc w:val="right"/>
              <w:ind w:right="131"/>
              <w:spacing w:after="0"/>
              <w:rPr>
                <w:sz w:val="20"/>
                <w:szCs w:val="20"/>
                <w:color w:val="auto"/>
              </w:rPr>
            </w:pPr>
            <w:r>
              <w:rPr>
                <w:rFonts w:ascii="Arial" w:cs="Arial" w:eastAsia="Arial" w:hAnsi="Arial"/>
                <w:sz w:val="16"/>
                <w:szCs w:val="16"/>
                <w:b w:val="1"/>
                <w:bCs w:val="1"/>
                <w:color w:val="FFFFFF"/>
              </w:rPr>
              <w:t>2Q21</w:t>
            </w:r>
          </w:p>
        </w:tc>
        <w:tc>
          <w:tcPr>
            <w:tcW w:w="760" w:type="dxa"/>
            <w:vAlign w:val="bottom"/>
            <w:tcBorders>
              <w:bottom w:val="single" w:sz="8" w:color="auto"/>
            </w:tcBorders>
            <w:shd w:val="clear" w:color="auto" w:fill="2AD2C9"/>
          </w:tcPr>
          <w:p>
            <w:pPr>
              <w:jc w:val="right"/>
              <w:ind w:right="119"/>
              <w:spacing w:after="0"/>
              <w:rPr>
                <w:sz w:val="20"/>
                <w:szCs w:val="20"/>
                <w:color w:val="auto"/>
              </w:rPr>
            </w:pPr>
            <w:r>
              <w:rPr>
                <w:rFonts w:ascii="Arial" w:cs="Arial" w:eastAsia="Arial" w:hAnsi="Arial"/>
                <w:sz w:val="16"/>
                <w:szCs w:val="16"/>
                <w:b w:val="1"/>
                <w:bCs w:val="1"/>
                <w:color w:val="FFFFFF"/>
              </w:rPr>
              <w:t>1Q22</w:t>
            </w:r>
          </w:p>
        </w:tc>
        <w:tc>
          <w:tcPr>
            <w:tcW w:w="78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6"/>
                <w:szCs w:val="16"/>
                <w:b w:val="1"/>
                <w:bCs w:val="1"/>
                <w:color w:val="FFFFFF"/>
              </w:rPr>
              <w:t>2Q22</w:t>
            </w:r>
          </w:p>
        </w:tc>
        <w:tc>
          <w:tcPr>
            <w:tcW w:w="140" w:type="dxa"/>
            <w:vAlign w:val="bottom"/>
            <w:tcBorders>
              <w:bottom w:val="single" w:sz="8" w:color="auto"/>
            </w:tcBorders>
            <w:shd w:val="clear" w:color="auto" w:fill="2AD2C9"/>
          </w:tcPr>
          <w:p>
            <w:pPr>
              <w:spacing w:after="0"/>
              <w:rPr>
                <w:sz w:val="17"/>
                <w:szCs w:val="17"/>
                <w:color w:val="auto"/>
              </w:rPr>
            </w:pPr>
          </w:p>
        </w:tc>
        <w:tc>
          <w:tcPr>
            <w:tcW w:w="580" w:type="dxa"/>
            <w:vAlign w:val="bottom"/>
            <w:tcBorders>
              <w:bottom w:val="single" w:sz="8" w:color="auto"/>
            </w:tcBorders>
            <w:shd w:val="clear" w:color="auto" w:fill="2AD2C9"/>
          </w:tcPr>
          <w:p>
            <w:pPr>
              <w:jc w:val="right"/>
              <w:ind w:right="137"/>
              <w:spacing w:after="0"/>
              <w:rPr>
                <w:sz w:val="20"/>
                <w:szCs w:val="20"/>
                <w:color w:val="auto"/>
              </w:rPr>
            </w:pPr>
            <w:r>
              <w:rPr>
                <w:rFonts w:ascii="Arial" w:cs="Arial" w:eastAsia="Arial" w:hAnsi="Arial"/>
                <w:sz w:val="16"/>
                <w:szCs w:val="16"/>
                <w:b w:val="1"/>
                <w:bCs w:val="1"/>
                <w:color w:val="FFFFFF"/>
                <w:w w:val="97"/>
              </w:rPr>
              <w:t>QoQ</w:t>
            </w:r>
          </w:p>
        </w:tc>
        <w:tc>
          <w:tcPr>
            <w:tcW w:w="780" w:type="dxa"/>
            <w:vAlign w:val="bottom"/>
            <w:tcBorders>
              <w:bottom w:val="single" w:sz="8" w:color="auto"/>
              <w:right w:val="single" w:sz="8" w:color="auto"/>
            </w:tcBorders>
            <w:gridSpan w:val="2"/>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YoY</w:t>
            </w:r>
          </w:p>
        </w:tc>
        <w:tc>
          <w:tcPr>
            <w:tcW w:w="880" w:type="dxa"/>
            <w:vAlign w:val="bottom"/>
            <w:tcBorders>
              <w:bottom w:val="single" w:sz="8" w:color="auto"/>
            </w:tcBorders>
            <w:shd w:val="clear" w:color="auto" w:fill="2AD2C9"/>
          </w:tcPr>
          <w:p>
            <w:pPr>
              <w:jc w:val="right"/>
              <w:ind w:right="137"/>
              <w:spacing w:after="0"/>
              <w:rPr>
                <w:sz w:val="20"/>
                <w:szCs w:val="20"/>
                <w:color w:val="auto"/>
              </w:rPr>
            </w:pPr>
            <w:r>
              <w:rPr>
                <w:rFonts w:ascii="Arial" w:cs="Arial" w:eastAsia="Arial" w:hAnsi="Arial"/>
                <w:sz w:val="16"/>
                <w:szCs w:val="16"/>
                <w:b w:val="1"/>
                <w:bCs w:val="1"/>
                <w:color w:val="FFFFFF"/>
              </w:rPr>
              <w:t>Jun 21</w:t>
            </w:r>
          </w:p>
        </w:tc>
        <w:tc>
          <w:tcPr>
            <w:tcW w:w="820" w:type="dxa"/>
            <w:vAlign w:val="bottom"/>
            <w:tcBorders>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6"/>
                <w:szCs w:val="16"/>
                <w:b w:val="1"/>
                <w:bCs w:val="1"/>
                <w:color w:val="FFFFFF"/>
              </w:rPr>
              <w:t>Jun 22</w:t>
            </w:r>
          </w:p>
        </w:tc>
        <w:tc>
          <w:tcPr>
            <w:tcW w:w="112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w w:val="96"/>
              </w:rPr>
              <w:t>Jun 22/ Jun 21</w:t>
            </w:r>
          </w:p>
        </w:tc>
        <w:tc>
          <w:tcPr>
            <w:tcW w:w="0" w:type="dxa"/>
            <w:vAlign w:val="bottom"/>
          </w:tcPr>
          <w:p>
            <w:pPr>
              <w:spacing w:after="0"/>
              <w:rPr>
                <w:sz w:val="1"/>
                <w:szCs w:val="1"/>
                <w:color w:val="auto"/>
              </w:rPr>
            </w:pPr>
          </w:p>
        </w:tc>
      </w:tr>
      <w:tr>
        <w:trPr>
          <w:trHeight w:val="174"/>
        </w:trPr>
        <w:tc>
          <w:tcPr>
            <w:tcW w:w="464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Net earned premiums</w:t>
            </w:r>
          </w:p>
        </w:tc>
        <w:tc>
          <w:tcPr>
            <w:tcW w:w="780" w:type="dxa"/>
            <w:vAlign w:val="bottom"/>
            <w:gridSpan w:val="2"/>
          </w:tcPr>
          <w:p>
            <w:pPr>
              <w:jc w:val="right"/>
              <w:spacing w:after="0" w:line="174" w:lineRule="exact"/>
              <w:rPr>
                <w:sz w:val="20"/>
                <w:szCs w:val="20"/>
                <w:color w:val="auto"/>
              </w:rPr>
            </w:pPr>
            <w:r>
              <w:rPr>
                <w:rFonts w:ascii="Arial" w:cs="Arial" w:eastAsia="Arial" w:hAnsi="Arial"/>
                <w:sz w:val="16"/>
                <w:szCs w:val="16"/>
                <w:color w:val="auto"/>
              </w:rPr>
              <w:t>643,970</w:t>
            </w:r>
          </w:p>
        </w:tc>
        <w:tc>
          <w:tcPr>
            <w:tcW w:w="760" w:type="dxa"/>
            <w:vAlign w:val="bottom"/>
          </w:tcPr>
          <w:p>
            <w:pPr>
              <w:jc w:val="right"/>
              <w:spacing w:after="0" w:line="174" w:lineRule="exact"/>
              <w:rPr>
                <w:sz w:val="20"/>
                <w:szCs w:val="20"/>
                <w:color w:val="auto"/>
              </w:rPr>
            </w:pPr>
            <w:r>
              <w:rPr>
                <w:rFonts w:ascii="Arial" w:cs="Arial" w:eastAsia="Arial" w:hAnsi="Arial"/>
                <w:sz w:val="16"/>
                <w:szCs w:val="16"/>
                <w:color w:val="auto"/>
              </w:rPr>
              <w:t>692,774</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697,921</w:t>
            </w:r>
          </w:p>
        </w:tc>
        <w:tc>
          <w:tcPr>
            <w:tcW w:w="14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Arial" w:cs="Arial" w:eastAsia="Arial" w:hAnsi="Arial"/>
                <w:sz w:val="16"/>
                <w:szCs w:val="16"/>
                <w:color w:val="auto"/>
              </w:rPr>
              <w:t>0.7%</w:t>
            </w:r>
          </w:p>
        </w:tc>
        <w:tc>
          <w:tcPr>
            <w:tcW w:w="78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8.4%</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1,295,480</w:t>
            </w:r>
          </w:p>
        </w:tc>
        <w:tc>
          <w:tcPr>
            <w:tcW w:w="8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1,390,695</w:t>
            </w:r>
          </w:p>
        </w:tc>
        <w:tc>
          <w:tcPr>
            <w:tcW w:w="11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Net claims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(691,450)</w:t>
            </w:r>
          </w:p>
        </w:tc>
        <w:tc>
          <w:tcPr>
            <w:tcW w:w="760" w:type="dxa"/>
            <w:vAlign w:val="bottom"/>
          </w:tcPr>
          <w:p>
            <w:pPr>
              <w:jc w:val="right"/>
              <w:spacing w:after="0"/>
              <w:rPr>
                <w:sz w:val="20"/>
                <w:szCs w:val="20"/>
                <w:color w:val="auto"/>
              </w:rPr>
            </w:pPr>
            <w:r>
              <w:rPr>
                <w:rFonts w:ascii="Arial" w:cs="Arial" w:eastAsia="Arial" w:hAnsi="Arial"/>
                <w:sz w:val="16"/>
                <w:szCs w:val="16"/>
                <w:color w:val="auto"/>
              </w:rPr>
              <w:t>(478,506)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(492,257)</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-28.8%</w:t>
            </w:r>
          </w:p>
        </w:tc>
        <w:tc>
          <w:tcPr>
            <w:tcW w:w="880" w:type="dxa"/>
            <w:vAlign w:val="bottom"/>
          </w:tcPr>
          <w:p>
            <w:pPr>
              <w:jc w:val="right"/>
              <w:spacing w:after="0"/>
              <w:rPr>
                <w:sz w:val="20"/>
                <w:szCs w:val="20"/>
                <w:color w:val="auto"/>
              </w:rPr>
            </w:pPr>
            <w:r>
              <w:rPr>
                <w:rFonts w:ascii="Arial" w:cs="Arial" w:eastAsia="Arial" w:hAnsi="Arial"/>
                <w:sz w:val="16"/>
                <w:szCs w:val="16"/>
                <w:color w:val="auto"/>
              </w:rPr>
              <w:t>(1,319,240)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(970,764)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Net fees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(144,590)</w:t>
            </w:r>
          </w:p>
        </w:tc>
        <w:tc>
          <w:tcPr>
            <w:tcW w:w="760" w:type="dxa"/>
            <w:vAlign w:val="bottom"/>
          </w:tcPr>
          <w:p>
            <w:pPr>
              <w:jc w:val="right"/>
              <w:spacing w:after="0"/>
              <w:rPr>
                <w:sz w:val="20"/>
                <w:szCs w:val="20"/>
                <w:color w:val="auto"/>
              </w:rPr>
            </w:pPr>
            <w:r>
              <w:rPr>
                <w:rFonts w:ascii="Arial" w:cs="Arial" w:eastAsia="Arial" w:hAnsi="Arial"/>
                <w:sz w:val="16"/>
                <w:szCs w:val="16"/>
                <w:color w:val="auto"/>
              </w:rPr>
              <w:t>(149,160)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(152,233)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5.3%</w:t>
            </w:r>
          </w:p>
        </w:tc>
        <w:tc>
          <w:tcPr>
            <w:tcW w:w="880" w:type="dxa"/>
            <w:vAlign w:val="bottom"/>
          </w:tcPr>
          <w:p>
            <w:pPr>
              <w:jc w:val="right"/>
              <w:spacing w:after="0"/>
              <w:rPr>
                <w:sz w:val="20"/>
                <w:szCs w:val="20"/>
                <w:color w:val="auto"/>
              </w:rPr>
            </w:pPr>
            <w:r>
              <w:rPr>
                <w:rFonts w:ascii="Arial" w:cs="Arial" w:eastAsia="Arial" w:hAnsi="Arial"/>
                <w:sz w:val="16"/>
                <w:szCs w:val="16"/>
                <w:color w:val="auto"/>
              </w:rPr>
              <w:t>(287,290)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(301,393)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Net underwriting expenses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(31,136)</w:t>
            </w:r>
          </w:p>
        </w:tc>
        <w:tc>
          <w:tcPr>
            <w:tcW w:w="760" w:type="dxa"/>
            <w:vAlign w:val="bottom"/>
          </w:tcPr>
          <w:p>
            <w:pPr>
              <w:jc w:val="right"/>
              <w:spacing w:after="0"/>
              <w:rPr>
                <w:sz w:val="20"/>
                <w:szCs w:val="20"/>
                <w:color w:val="auto"/>
              </w:rPr>
            </w:pPr>
            <w:r>
              <w:rPr>
                <w:rFonts w:ascii="Arial" w:cs="Arial" w:eastAsia="Arial" w:hAnsi="Arial"/>
                <w:sz w:val="16"/>
                <w:szCs w:val="16"/>
                <w:color w:val="auto"/>
              </w:rPr>
              <w:t>(30,608)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(26,896)</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-12.1%</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-13.6%</w:t>
            </w:r>
          </w:p>
        </w:tc>
        <w:tc>
          <w:tcPr>
            <w:tcW w:w="880" w:type="dxa"/>
            <w:vAlign w:val="bottom"/>
          </w:tcPr>
          <w:p>
            <w:pPr>
              <w:jc w:val="right"/>
              <w:spacing w:after="0"/>
              <w:rPr>
                <w:sz w:val="20"/>
                <w:szCs w:val="20"/>
                <w:color w:val="auto"/>
              </w:rPr>
            </w:pPr>
            <w:r>
              <w:rPr>
                <w:rFonts w:ascii="Arial" w:cs="Arial" w:eastAsia="Arial" w:hAnsi="Arial"/>
                <w:sz w:val="16"/>
                <w:szCs w:val="16"/>
                <w:color w:val="auto"/>
              </w:rPr>
              <w:t>(61,354)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(57,504)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6"/>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Underwriting result</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(223,206)</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34,499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26,535</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-23.1%</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-111.9%</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(372,404)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61,034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-116.4%</w:t>
            </w:r>
          </w:p>
        </w:tc>
        <w:tc>
          <w:tcPr>
            <w:tcW w:w="0" w:type="dxa"/>
            <w:vAlign w:val="bottom"/>
          </w:tcPr>
          <w:p>
            <w:pPr>
              <w:spacing w:after="0"/>
              <w:rPr>
                <w:sz w:val="1"/>
                <w:szCs w:val="1"/>
                <w:color w:val="auto"/>
              </w:rPr>
            </w:pPr>
          </w:p>
        </w:tc>
      </w:tr>
      <w:tr>
        <w:trPr>
          <w:trHeight w:val="355"/>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financial income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159,184</w:t>
            </w:r>
          </w:p>
        </w:tc>
        <w:tc>
          <w:tcPr>
            <w:tcW w:w="760" w:type="dxa"/>
            <w:vAlign w:val="bottom"/>
          </w:tcPr>
          <w:p>
            <w:pPr>
              <w:jc w:val="right"/>
              <w:spacing w:after="0"/>
              <w:rPr>
                <w:sz w:val="20"/>
                <w:szCs w:val="20"/>
                <w:color w:val="auto"/>
              </w:rPr>
            </w:pPr>
            <w:r>
              <w:rPr>
                <w:rFonts w:ascii="Arial" w:cs="Arial" w:eastAsia="Arial" w:hAnsi="Arial"/>
                <w:sz w:val="16"/>
                <w:szCs w:val="16"/>
                <w:color w:val="auto"/>
              </w:rPr>
              <w:t>148,315</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182,955</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23.4%</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14.9%</w:t>
            </w:r>
          </w:p>
        </w:tc>
        <w:tc>
          <w:tcPr>
            <w:tcW w:w="880" w:type="dxa"/>
            <w:vAlign w:val="bottom"/>
          </w:tcPr>
          <w:p>
            <w:pPr>
              <w:jc w:val="right"/>
              <w:spacing w:after="0"/>
              <w:rPr>
                <w:sz w:val="20"/>
                <w:szCs w:val="20"/>
                <w:color w:val="auto"/>
              </w:rPr>
            </w:pPr>
            <w:r>
              <w:rPr>
                <w:rFonts w:ascii="Arial" w:cs="Arial" w:eastAsia="Arial" w:hAnsi="Arial"/>
                <w:sz w:val="16"/>
                <w:szCs w:val="16"/>
                <w:color w:val="auto"/>
              </w:rPr>
              <w:t>308,641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331,271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65"/>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expenses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(103,844)</w:t>
            </w:r>
          </w:p>
        </w:tc>
        <w:tc>
          <w:tcPr>
            <w:tcW w:w="760" w:type="dxa"/>
            <w:vAlign w:val="bottom"/>
          </w:tcPr>
          <w:p>
            <w:pPr>
              <w:jc w:val="right"/>
              <w:spacing w:after="0"/>
              <w:rPr>
                <w:sz w:val="20"/>
                <w:szCs w:val="20"/>
                <w:color w:val="auto"/>
              </w:rPr>
            </w:pPr>
            <w:r>
              <w:rPr>
                <w:rFonts w:ascii="Arial" w:cs="Arial" w:eastAsia="Arial" w:hAnsi="Arial"/>
                <w:sz w:val="16"/>
                <w:szCs w:val="16"/>
                <w:color w:val="auto"/>
              </w:rPr>
              <w:t>(121,720)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(118,352)</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14.0%</w:t>
            </w:r>
          </w:p>
        </w:tc>
        <w:tc>
          <w:tcPr>
            <w:tcW w:w="880" w:type="dxa"/>
            <w:vAlign w:val="bottom"/>
          </w:tcPr>
          <w:p>
            <w:pPr>
              <w:jc w:val="right"/>
              <w:spacing w:after="0"/>
              <w:rPr>
                <w:sz w:val="20"/>
                <w:szCs w:val="20"/>
                <w:color w:val="auto"/>
              </w:rPr>
            </w:pPr>
            <w:r>
              <w:rPr>
                <w:rFonts w:ascii="Arial" w:cs="Arial" w:eastAsia="Arial" w:hAnsi="Arial"/>
                <w:sz w:val="16"/>
                <w:szCs w:val="16"/>
                <w:color w:val="auto"/>
              </w:rPr>
              <w:t>(212,680)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(240,073)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25"/>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10,177</w:t>
            </w:r>
          </w:p>
        </w:tc>
        <w:tc>
          <w:tcPr>
            <w:tcW w:w="760" w:type="dxa"/>
            <w:vAlign w:val="bottom"/>
          </w:tcPr>
          <w:p>
            <w:pPr>
              <w:jc w:val="right"/>
              <w:spacing w:after="0"/>
              <w:rPr>
                <w:sz w:val="20"/>
                <w:szCs w:val="20"/>
                <w:color w:val="auto"/>
              </w:rPr>
            </w:pPr>
            <w:r>
              <w:rPr>
                <w:rFonts w:ascii="Arial" w:cs="Arial" w:eastAsia="Arial" w:hAnsi="Arial"/>
                <w:sz w:val="16"/>
                <w:szCs w:val="16"/>
                <w:color w:val="auto"/>
              </w:rPr>
              <w:t>12,339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6,109</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-50.5%</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-40.0%</w:t>
            </w:r>
          </w:p>
        </w:tc>
        <w:tc>
          <w:tcPr>
            <w:tcW w:w="880" w:type="dxa"/>
            <w:vAlign w:val="bottom"/>
          </w:tcPr>
          <w:p>
            <w:pPr>
              <w:jc w:val="right"/>
              <w:spacing w:after="0"/>
              <w:rPr>
                <w:sz w:val="20"/>
                <w:szCs w:val="20"/>
                <w:color w:val="auto"/>
              </w:rPr>
            </w:pPr>
            <w:r>
              <w:rPr>
                <w:rFonts w:ascii="Arial" w:cs="Arial" w:eastAsia="Arial" w:hAnsi="Arial"/>
                <w:sz w:val="16"/>
                <w:szCs w:val="16"/>
                <w:color w:val="auto"/>
              </w:rPr>
              <w:t>13,419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18,448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Traslations results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760" w:type="dxa"/>
            <w:vAlign w:val="bottom"/>
          </w:tcPr>
          <w:p>
            <w:pPr>
              <w:jc w:val="right"/>
              <w:spacing w:after="0"/>
              <w:rPr>
                <w:sz w:val="20"/>
                <w:szCs w:val="20"/>
                <w:color w:val="auto"/>
              </w:rPr>
            </w:pPr>
            <w:r>
              <w:rPr>
                <w:rFonts w:ascii="Arial" w:cs="Arial" w:eastAsia="Arial" w:hAnsi="Arial"/>
                <w:sz w:val="16"/>
                <w:szCs w:val="16"/>
                <w:color w:val="auto"/>
              </w:rPr>
              <w:t>(5,416)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-94.7%</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213.1%</w:t>
            </w:r>
          </w:p>
        </w:tc>
        <w:tc>
          <w:tcPr>
            <w:tcW w:w="880" w:type="dxa"/>
            <w:vAlign w:val="bottom"/>
          </w:tcPr>
          <w:p>
            <w:pPr>
              <w:jc w:val="right"/>
              <w:spacing w:after="0"/>
              <w:rPr>
                <w:sz w:val="20"/>
                <w:szCs w:val="20"/>
                <w:color w:val="auto"/>
              </w:rPr>
            </w:pPr>
            <w:r>
              <w:rPr>
                <w:rFonts w:ascii="Arial" w:cs="Arial" w:eastAsia="Arial" w:hAnsi="Arial"/>
                <w:sz w:val="16"/>
                <w:szCs w:val="16"/>
                <w:color w:val="auto"/>
              </w:rPr>
              <w:t>475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(5,704)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EPS business deduction</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8,800</w:t>
            </w:r>
          </w:p>
        </w:tc>
        <w:tc>
          <w:tcPr>
            <w:tcW w:w="760" w:type="dxa"/>
            <w:vAlign w:val="bottom"/>
          </w:tcPr>
          <w:p>
            <w:pPr>
              <w:jc w:val="right"/>
              <w:spacing w:after="0"/>
              <w:rPr>
                <w:sz w:val="20"/>
                <w:szCs w:val="20"/>
                <w:color w:val="auto"/>
              </w:rPr>
            </w:pPr>
            <w:r>
              <w:rPr>
                <w:rFonts w:ascii="Arial" w:cs="Arial" w:eastAsia="Arial" w:hAnsi="Arial"/>
                <w:sz w:val="16"/>
                <w:szCs w:val="16"/>
                <w:color w:val="auto"/>
              </w:rPr>
              <w:t>14,653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17,941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22.4%</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103.9%</w:t>
            </w:r>
          </w:p>
        </w:tc>
        <w:tc>
          <w:tcPr>
            <w:tcW w:w="880" w:type="dxa"/>
            <w:vAlign w:val="bottom"/>
          </w:tcPr>
          <w:p>
            <w:pPr>
              <w:jc w:val="right"/>
              <w:spacing w:after="0"/>
              <w:rPr>
                <w:sz w:val="20"/>
                <w:szCs w:val="20"/>
                <w:color w:val="auto"/>
              </w:rPr>
            </w:pPr>
            <w:r>
              <w:rPr>
                <w:rFonts w:ascii="Arial" w:cs="Arial" w:eastAsia="Arial" w:hAnsi="Arial"/>
                <w:sz w:val="16"/>
                <w:szCs w:val="16"/>
                <w:color w:val="auto"/>
              </w:rPr>
              <w:t>32,177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32,594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Medical Assistance insurance deduction</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(8,879)</w:t>
            </w:r>
          </w:p>
        </w:tc>
        <w:tc>
          <w:tcPr>
            <w:tcW w:w="760" w:type="dxa"/>
            <w:vAlign w:val="bottom"/>
          </w:tcPr>
          <w:p>
            <w:pPr>
              <w:jc w:val="right"/>
              <w:spacing w:after="0"/>
              <w:rPr>
                <w:sz w:val="20"/>
                <w:szCs w:val="20"/>
                <w:color w:val="auto"/>
              </w:rPr>
            </w:pPr>
            <w:r>
              <w:rPr>
                <w:rFonts w:ascii="Arial" w:cs="Arial" w:eastAsia="Arial" w:hAnsi="Arial"/>
                <w:sz w:val="16"/>
                <w:szCs w:val="16"/>
                <w:color w:val="auto"/>
              </w:rPr>
              <w:t>(7,691)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(10,329)</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34.3%</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16.3%</w:t>
            </w:r>
          </w:p>
        </w:tc>
        <w:tc>
          <w:tcPr>
            <w:tcW w:w="880" w:type="dxa"/>
            <w:vAlign w:val="bottom"/>
          </w:tcPr>
          <w:p>
            <w:pPr>
              <w:jc w:val="right"/>
              <w:spacing w:after="0"/>
              <w:rPr>
                <w:sz w:val="20"/>
                <w:szCs w:val="20"/>
                <w:color w:val="auto"/>
              </w:rPr>
            </w:pPr>
            <w:r>
              <w:rPr>
                <w:rFonts w:ascii="Arial" w:cs="Arial" w:eastAsia="Arial" w:hAnsi="Arial"/>
                <w:sz w:val="16"/>
                <w:szCs w:val="16"/>
                <w:color w:val="auto"/>
              </w:rPr>
              <w:t>(22,785)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(18,020)</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tax</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760" w:type="dxa"/>
            <w:vAlign w:val="bottom"/>
          </w:tcPr>
          <w:p>
            <w:pPr>
              <w:jc w:val="right"/>
              <w:spacing w:after="0"/>
              <w:rPr>
                <w:sz w:val="20"/>
                <w:szCs w:val="20"/>
                <w:color w:val="auto"/>
              </w:rPr>
            </w:pPr>
            <w:r>
              <w:rPr>
                <w:rFonts w:ascii="Arial" w:cs="Arial" w:eastAsia="Arial" w:hAnsi="Arial"/>
                <w:sz w:val="16"/>
                <w:szCs w:val="16"/>
                <w:color w:val="auto"/>
              </w:rPr>
              <w:t>(2,684)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(3,510)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73.0%</w:t>
            </w:r>
          </w:p>
        </w:tc>
        <w:tc>
          <w:tcPr>
            <w:tcW w:w="880" w:type="dxa"/>
            <w:vAlign w:val="bottom"/>
          </w:tcPr>
          <w:p>
            <w:pPr>
              <w:jc w:val="right"/>
              <w:spacing w:after="0"/>
              <w:rPr>
                <w:sz w:val="20"/>
                <w:szCs w:val="20"/>
                <w:color w:val="auto"/>
              </w:rPr>
            </w:pPr>
            <w:r>
              <w:rPr>
                <w:rFonts w:ascii="Arial" w:cs="Arial" w:eastAsia="Arial" w:hAnsi="Arial"/>
                <w:sz w:val="16"/>
                <w:szCs w:val="16"/>
                <w:color w:val="auto"/>
              </w:rPr>
              <w:t>(3,428)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(6,194)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25"/>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Income before minority interest</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(159,887)</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72,294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101,063</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39.8%</w:t>
            </w:r>
          </w:p>
        </w:tc>
        <w:tc>
          <w:tcPr>
            <w:tcW w:w="46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n.a.</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(256,585)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173,356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236"/>
        </w:trPr>
        <w:tc>
          <w:tcPr>
            <w:tcW w:w="4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Non-controlling interest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(659)</w:t>
            </w:r>
          </w:p>
        </w:tc>
        <w:tc>
          <w:tcPr>
            <w:tcW w:w="760" w:type="dxa"/>
            <w:vAlign w:val="bottom"/>
          </w:tcPr>
          <w:p>
            <w:pPr>
              <w:jc w:val="right"/>
              <w:spacing w:after="0"/>
              <w:rPr>
                <w:sz w:val="20"/>
                <w:szCs w:val="20"/>
                <w:color w:val="auto"/>
              </w:rPr>
            </w:pPr>
            <w:r>
              <w:rPr>
                <w:rFonts w:ascii="Arial" w:cs="Arial" w:eastAsia="Arial" w:hAnsi="Arial"/>
                <w:sz w:val="16"/>
                <w:szCs w:val="16"/>
                <w:color w:val="auto"/>
              </w:rPr>
              <w:t>(1,348)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167.7%</w:t>
            </w:r>
          </w:p>
        </w:tc>
        <w:tc>
          <w:tcPr>
            <w:tcW w:w="880" w:type="dxa"/>
            <w:vAlign w:val="bottom"/>
          </w:tcPr>
          <w:p>
            <w:pPr>
              <w:jc w:val="right"/>
              <w:spacing w:after="0"/>
              <w:rPr>
                <w:sz w:val="20"/>
                <w:szCs w:val="20"/>
                <w:color w:val="auto"/>
              </w:rPr>
            </w:pPr>
            <w:r>
              <w:rPr>
                <w:rFonts w:ascii="Arial" w:cs="Arial" w:eastAsia="Arial" w:hAnsi="Arial"/>
                <w:sz w:val="16"/>
                <w:szCs w:val="16"/>
                <w:color w:val="auto"/>
              </w:rPr>
              <w:t>(2,389)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(3,111)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50"/>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(160,546)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70,946</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99,300</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n.a.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(258,974)</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170,246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4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b w:val="1"/>
                <w:bCs w:val="1"/>
                <w:color w:val="auto"/>
              </w:rPr>
              <w:t>Ratios</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Ceded</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-730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-130 pbs</w:t>
            </w: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 pbs</w:t>
            </w:r>
          </w:p>
        </w:tc>
        <w:tc>
          <w:tcPr>
            <w:tcW w:w="0" w:type="dxa"/>
            <w:vAlign w:val="bottom"/>
          </w:tcPr>
          <w:p>
            <w:pPr>
              <w:spacing w:after="0"/>
              <w:rPr>
                <w:sz w:val="1"/>
                <w:szCs w:val="1"/>
                <w:color w:val="auto"/>
              </w:rPr>
            </w:pPr>
          </w:p>
        </w:tc>
      </w:tr>
      <w:tr>
        <w:trPr>
          <w:trHeight w:val="201"/>
        </w:trPr>
        <w:tc>
          <w:tcPr>
            <w:tcW w:w="464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15"/>
                <w:szCs w:val="15"/>
                <w:color w:val="auto"/>
              </w:rPr>
              <w:t xml:space="preserve">Loss ratio </w:t>
            </w:r>
            <w:r>
              <w:rPr>
                <w:rFonts w:ascii="Arial" w:cs="Arial" w:eastAsia="Arial" w:hAnsi="Arial"/>
                <w:sz w:val="23"/>
                <w:szCs w:val="23"/>
                <w:color w:val="auto"/>
                <w:vertAlign w:val="superscript"/>
              </w:rPr>
              <w:t>(1)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107.4%</w:t>
            </w:r>
          </w:p>
        </w:tc>
        <w:tc>
          <w:tcPr>
            <w:tcW w:w="760" w:type="dxa"/>
            <w:vAlign w:val="bottom"/>
          </w:tcPr>
          <w:p>
            <w:pPr>
              <w:jc w:val="right"/>
              <w:spacing w:after="0"/>
              <w:rPr>
                <w:sz w:val="20"/>
                <w:szCs w:val="20"/>
                <w:color w:val="auto"/>
              </w:rPr>
            </w:pPr>
            <w:r>
              <w:rPr>
                <w:rFonts w:ascii="Arial" w:cs="Arial" w:eastAsia="Arial" w:hAnsi="Arial"/>
                <w:sz w:val="16"/>
                <w:szCs w:val="16"/>
                <w:color w:val="auto"/>
              </w:rPr>
              <w:t>69.1%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3690 pbs</w:t>
            </w:r>
          </w:p>
        </w:tc>
        <w:tc>
          <w:tcPr>
            <w:tcW w:w="880" w:type="dxa"/>
            <w:vAlign w:val="bottom"/>
          </w:tcPr>
          <w:p>
            <w:pPr>
              <w:jc w:val="right"/>
              <w:spacing w:after="0"/>
              <w:rPr>
                <w:sz w:val="20"/>
                <w:szCs w:val="20"/>
                <w:color w:val="auto"/>
              </w:rPr>
            </w:pPr>
            <w:r>
              <w:rPr>
                <w:rFonts w:ascii="Arial" w:cs="Arial" w:eastAsia="Arial" w:hAnsi="Arial"/>
                <w:sz w:val="16"/>
                <w:szCs w:val="16"/>
                <w:color w:val="auto"/>
              </w:rPr>
              <w:t>101.8%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3200 pbs</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Fees + underwriting expenses, net / net earned premiums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160 pbs</w:t>
            </w: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110 pbs</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Operating expenses / net earned premiums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760" w:type="dxa"/>
            <w:vAlign w:val="bottom"/>
          </w:tcPr>
          <w:p>
            <w:pPr>
              <w:jc w:val="right"/>
              <w:spacing w:after="0"/>
              <w:rPr>
                <w:sz w:val="20"/>
                <w:szCs w:val="20"/>
                <w:color w:val="auto"/>
              </w:rPr>
            </w:pPr>
            <w:r>
              <w:rPr>
                <w:rFonts w:ascii="Arial" w:cs="Arial" w:eastAsia="Arial" w:hAnsi="Arial"/>
                <w:sz w:val="16"/>
                <w:szCs w:val="16"/>
                <w:color w:val="auto"/>
              </w:rPr>
              <w:t>17.6%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-90 pbs</w:t>
            </w:r>
          </w:p>
        </w:tc>
        <w:tc>
          <w:tcPr>
            <w:tcW w:w="880" w:type="dxa"/>
            <w:vAlign w:val="bottom"/>
          </w:tcPr>
          <w:p>
            <w:pPr>
              <w:jc w:val="right"/>
              <w:spacing w:after="0"/>
              <w:rPr>
                <w:sz w:val="20"/>
                <w:szCs w:val="20"/>
                <w:color w:val="auto"/>
              </w:rPr>
            </w:pPr>
            <w:r>
              <w:rPr>
                <w:rFonts w:ascii="Arial" w:cs="Arial" w:eastAsia="Arial" w:hAnsi="Arial"/>
                <w:sz w:val="16"/>
                <w:szCs w:val="16"/>
                <w:color w:val="auto"/>
              </w:rPr>
              <w:t>16.4%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 bps</w:t>
            </w:r>
          </w:p>
        </w:tc>
        <w:tc>
          <w:tcPr>
            <w:tcW w:w="0" w:type="dxa"/>
            <w:vAlign w:val="bottom"/>
          </w:tcPr>
          <w:p>
            <w:pPr>
              <w:spacing w:after="0"/>
              <w:rPr>
                <w:sz w:val="1"/>
                <w:szCs w:val="1"/>
                <w:color w:val="auto"/>
              </w:rPr>
            </w:pPr>
          </w:p>
        </w:tc>
      </w:tr>
      <w:tr>
        <w:trPr>
          <w:trHeight w:val="201"/>
        </w:trPr>
        <w:tc>
          <w:tcPr>
            <w:tcW w:w="464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23"/>
                <w:szCs w:val="23"/>
                <w:color w:val="auto"/>
                <w:vertAlign w:val="subscript"/>
              </w:rPr>
              <w:t>ROAE</w:t>
            </w:r>
            <w:r>
              <w:rPr>
                <w:rFonts w:ascii="Arial" w:cs="Arial" w:eastAsia="Arial" w:hAnsi="Arial"/>
                <w:sz w:val="12"/>
                <w:szCs w:val="12"/>
                <w:color w:val="auto"/>
              </w:rPr>
              <w:t xml:space="preserve"> (2)(3)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580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4700 pbs</w:t>
            </w: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3660 pbs</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Return on written premiums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370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2670 pbs</w:t>
            </w: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2100 pbs</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4"/>
                <w:szCs w:val="14"/>
                <w:color w:val="auto"/>
              </w:rPr>
              <w:t xml:space="preserve">Combined ratio of Life </w:t>
            </w:r>
            <w:r>
              <w:rPr>
                <w:rFonts w:ascii="Arial" w:cs="Arial" w:eastAsia="Arial" w:hAnsi="Arial"/>
                <w:sz w:val="22"/>
                <w:szCs w:val="22"/>
                <w:color w:val="auto"/>
                <w:vertAlign w:val="superscript"/>
              </w:rPr>
              <w:t>(4)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143.3%</w:t>
            </w:r>
          </w:p>
        </w:tc>
        <w:tc>
          <w:tcPr>
            <w:tcW w:w="760" w:type="dxa"/>
            <w:vAlign w:val="bottom"/>
          </w:tcPr>
          <w:p>
            <w:pPr>
              <w:jc w:val="right"/>
              <w:spacing w:after="0"/>
              <w:rPr>
                <w:sz w:val="20"/>
                <w:szCs w:val="20"/>
                <w:color w:val="auto"/>
              </w:rPr>
            </w:pPr>
            <w:r>
              <w:rPr>
                <w:rFonts w:ascii="Arial" w:cs="Arial" w:eastAsia="Arial" w:hAnsi="Arial"/>
                <w:sz w:val="16"/>
                <w:szCs w:val="16"/>
                <w:color w:val="auto"/>
              </w:rPr>
              <w:t>89.6%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140" w:type="dxa"/>
            <w:vAlign w:val="bottom"/>
          </w:tcPr>
          <w:p>
            <w:pPr>
              <w:spacing w:after="0"/>
              <w:rPr>
                <w:sz w:val="16"/>
                <w:szCs w:val="16"/>
                <w:color w:val="auto"/>
              </w:rPr>
            </w:pP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rPr>
              <w:t>20 pbs -5350 pbs</w:t>
            </w:r>
          </w:p>
        </w:tc>
        <w:tc>
          <w:tcPr>
            <w:tcW w:w="880" w:type="dxa"/>
            <w:vAlign w:val="bottom"/>
          </w:tcPr>
          <w:p>
            <w:pPr>
              <w:jc w:val="right"/>
              <w:spacing w:after="0"/>
              <w:rPr>
                <w:sz w:val="20"/>
                <w:szCs w:val="20"/>
                <w:color w:val="auto"/>
              </w:rPr>
            </w:pPr>
            <w:r>
              <w:rPr>
                <w:rFonts w:ascii="Arial" w:cs="Arial" w:eastAsia="Arial" w:hAnsi="Arial"/>
                <w:sz w:val="16"/>
                <w:szCs w:val="16"/>
                <w:color w:val="auto"/>
              </w:rPr>
              <w:t>143.3%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-5350 pbs</w:t>
            </w:r>
          </w:p>
        </w:tc>
        <w:tc>
          <w:tcPr>
            <w:tcW w:w="0" w:type="dxa"/>
            <w:vAlign w:val="bottom"/>
          </w:tcPr>
          <w:p>
            <w:pPr>
              <w:spacing w:after="0"/>
              <w:rPr>
                <w:sz w:val="1"/>
                <w:szCs w:val="1"/>
                <w:color w:val="auto"/>
              </w:rPr>
            </w:pPr>
          </w:p>
        </w:tc>
      </w:tr>
      <w:tr>
        <w:trPr>
          <w:trHeight w:val="195"/>
        </w:trPr>
        <w:tc>
          <w:tcPr>
            <w:tcW w:w="464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4"/>
                <w:szCs w:val="14"/>
                <w:color w:val="auto"/>
              </w:rPr>
              <w:t xml:space="preserve">Combined ratio of P&amp;C </w:t>
            </w:r>
            <w:r>
              <w:rPr>
                <w:rFonts w:ascii="Arial" w:cs="Arial" w:eastAsia="Arial" w:hAnsi="Arial"/>
                <w:sz w:val="22"/>
                <w:szCs w:val="22"/>
                <w:color w:val="auto"/>
                <w:vertAlign w:val="superscript"/>
              </w:rPr>
              <w:t>(5)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88.9%</w:t>
            </w:r>
          </w:p>
        </w:tc>
        <w:tc>
          <w:tcPr>
            <w:tcW w:w="760" w:type="dxa"/>
            <w:vAlign w:val="bottom"/>
          </w:tcPr>
          <w:p>
            <w:pPr>
              <w:jc w:val="right"/>
              <w:spacing w:after="0"/>
              <w:rPr>
                <w:sz w:val="20"/>
                <w:szCs w:val="20"/>
                <w:color w:val="auto"/>
              </w:rPr>
            </w:pPr>
            <w:r>
              <w:rPr>
                <w:rFonts w:ascii="Arial" w:cs="Arial" w:eastAsia="Arial" w:hAnsi="Arial"/>
                <w:sz w:val="16"/>
                <w:szCs w:val="16"/>
                <w:color w:val="auto"/>
              </w:rPr>
              <w:t>94.4%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-450 pbs</w:t>
            </w: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100 pbs</w:t>
            </w:r>
          </w:p>
        </w:tc>
        <w:tc>
          <w:tcPr>
            <w:tcW w:w="880" w:type="dxa"/>
            <w:vAlign w:val="bottom"/>
          </w:tcPr>
          <w:p>
            <w:pPr>
              <w:jc w:val="right"/>
              <w:spacing w:after="0"/>
              <w:rPr>
                <w:sz w:val="20"/>
                <w:szCs w:val="20"/>
                <w:color w:val="auto"/>
              </w:rPr>
            </w:pPr>
            <w:r>
              <w:rPr>
                <w:rFonts w:ascii="Arial" w:cs="Arial" w:eastAsia="Arial" w:hAnsi="Arial"/>
                <w:sz w:val="16"/>
                <w:szCs w:val="16"/>
                <w:color w:val="auto"/>
              </w:rPr>
              <w:t>88.9%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 pbs</w:t>
            </w:r>
          </w:p>
        </w:tc>
        <w:tc>
          <w:tcPr>
            <w:tcW w:w="0" w:type="dxa"/>
            <w:vAlign w:val="bottom"/>
          </w:tcPr>
          <w:p>
            <w:pPr>
              <w:spacing w:after="0"/>
              <w:rPr>
                <w:sz w:val="1"/>
                <w:szCs w:val="1"/>
                <w:color w:val="auto"/>
              </w:rPr>
            </w:pPr>
          </w:p>
        </w:tc>
      </w:tr>
      <w:tr>
        <w:trPr>
          <w:trHeight w:val="226"/>
        </w:trPr>
        <w:tc>
          <w:tcPr>
            <w:tcW w:w="4640" w:type="dxa"/>
            <w:vAlign w:val="bottom"/>
            <w:tcBorders>
              <w:left w:val="single" w:sz="8" w:color="auto"/>
              <w:bottom w:val="single" w:sz="8" w:color="auto"/>
              <w:right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Equity requirement ratio </w:t>
            </w:r>
            <w:r>
              <w:rPr>
                <w:rFonts w:ascii="Arial" w:cs="Arial" w:eastAsia="Arial" w:hAnsi="Arial"/>
                <w:sz w:val="25"/>
                <w:szCs w:val="25"/>
                <w:color w:val="auto"/>
                <w:vertAlign w:val="superscript"/>
              </w:rPr>
              <w:t>(7)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-600 pbs</w:t>
            </w: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-350 pbs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-350 pbs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*Financial statements without consolidation adjustments.</w:t>
      </w:r>
    </w:p>
    <w:p>
      <w:pPr>
        <w:spacing w:after="0" w:line="3" w:lineRule="exact"/>
        <w:rPr>
          <w:sz w:val="20"/>
          <w:szCs w:val="20"/>
          <w:color w:val="auto"/>
        </w:rPr>
      </w:pPr>
    </w:p>
    <w:p>
      <w:pPr>
        <w:ind w:left="160" w:hanging="143"/>
        <w:spacing w:after="0"/>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Excluding investments in real estate.</w:t>
      </w:r>
    </w:p>
    <w:p>
      <w:pPr>
        <w:ind w:left="160" w:hanging="143"/>
        <w:spacing w:after="0" w:line="231"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claims / Net earned premiums.</w:t>
      </w:r>
    </w:p>
    <w:p>
      <w:pPr>
        <w:ind w:left="160" w:hanging="143"/>
        <w:spacing w:after="0" w:line="231"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unrealized gains.</w:t>
      </w:r>
    </w:p>
    <w:p>
      <w:pPr>
        <w:ind w:left="160" w:hanging="143"/>
        <w:spacing w:after="0" w:line="231"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 and average are determined as the average of period beginning and period ending.</w:t>
      </w:r>
    </w:p>
    <w:p>
      <w:pPr>
        <w:ind w:left="160" w:hanging="143"/>
        <w:spacing w:after="0"/>
        <w:tabs>
          <w:tab w:leader="none" w:pos="16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(Net claims / Net earned premiums) + Reserves / Net earned premiums) + [(Acquisition cost + total expenses) / Net earned premiums] - (Net Financial Income without real state sales, securities sales, impairment loss and fluctuation / Net earned premiums).</w:t>
      </w:r>
    </w:p>
    <w:p>
      <w:pPr>
        <w:spacing w:after="0" w:line="18" w:lineRule="exact"/>
        <w:rPr>
          <w:rFonts w:ascii="Times New Roman" w:cs="Times New Roman" w:eastAsia="Times New Roman" w:hAnsi="Times New Roman"/>
          <w:sz w:val="9"/>
          <w:szCs w:val="9"/>
          <w:color w:val="auto"/>
        </w:rPr>
      </w:pPr>
    </w:p>
    <w:p>
      <w:pPr>
        <w:ind w:left="160" w:hanging="143"/>
        <w:spacing w:after="0" w:line="231"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claims / Net earned premiums) + [(Acquisition cost + total expenses) / Net earned premiums].</w:t>
      </w:r>
    </w:p>
    <w:p>
      <w:pPr>
        <w:ind w:left="160" w:hanging="143"/>
        <w:spacing w:after="0"/>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Support to cover credit risk, market risk and operational risk.</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From 1Q15 and on, Grupo Pacifico’s financial statements reflect the agreement with Banmedica (in equal parts) of the businesses of:</w:t>
      </w:r>
    </w:p>
    <w:p>
      <w:pPr>
        <w:spacing w:after="0" w:line="25" w:lineRule="exact"/>
        <w:rPr>
          <w:sz w:val="20"/>
          <w:szCs w:val="20"/>
          <w:color w:val="auto"/>
        </w:rPr>
      </w:pPr>
    </w:p>
    <w:p>
      <w:pPr>
        <w:ind w:left="600" w:hanging="290"/>
        <w:spacing w:after="0"/>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private health insurance managed by Grupo Pacifico and included in its Financial Statements in each of the accounting lines;</w:t>
      </w:r>
    </w:p>
    <w:p>
      <w:pPr>
        <w:ind w:left="600" w:hanging="290"/>
        <w:spacing w:after="0" w:line="238" w:lineRule="auto"/>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corporate health insurance (dependent workers); and</w:t>
      </w:r>
    </w:p>
    <w:p>
      <w:pPr>
        <w:ind w:left="600" w:hanging="290"/>
        <w:spacing w:after="0"/>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medical services.</w:t>
      </w:r>
    </w:p>
    <w:p>
      <w:pPr>
        <w:spacing w:after="0" w:line="202" w:lineRule="exact"/>
        <w:rPr>
          <w:sz w:val="20"/>
          <w:szCs w:val="20"/>
          <w:color w:val="auto"/>
        </w:rPr>
      </w:pPr>
    </w:p>
    <w:p>
      <w:pPr>
        <w:ind w:left="20" w:right="460"/>
        <w:spacing w:after="0" w:line="288" w:lineRule="auto"/>
        <w:rPr>
          <w:sz w:val="20"/>
          <w:szCs w:val="20"/>
          <w:color w:val="auto"/>
        </w:rPr>
      </w:pPr>
      <w:r>
        <w:rPr>
          <w:rFonts w:ascii="Times New Roman" w:cs="Times New Roman" w:eastAsia="Times New Roman" w:hAnsi="Times New Roman"/>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67" w:lineRule="exact"/>
        <w:rPr>
          <w:sz w:val="20"/>
          <w:szCs w:val="20"/>
          <w:color w:val="auto"/>
        </w:rPr>
      </w:pPr>
    </w:p>
    <w:p>
      <w:pPr>
        <w:ind w:left="20" w:right="180"/>
        <w:spacing w:after="0" w:line="288" w:lineRule="auto"/>
        <w:rPr>
          <w:sz w:val="20"/>
          <w:szCs w:val="20"/>
          <w:color w:val="auto"/>
        </w:rPr>
      </w:pPr>
      <w:r>
        <w:rPr>
          <w:rFonts w:ascii="Times New Roman" w:cs="Times New Roman" w:eastAsia="Times New Roman" w:hAnsi="Times New Roman"/>
          <w:sz w:val="16"/>
          <w:szCs w:val="16"/>
          <w:color w:val="auto"/>
        </w:rPr>
        <w:t>As explained before, corporate health insurance and medical services businesses are consolidated by Banmedica. The following table reflects the consolidated results from which Grupo Pacifico receives the 50% net income.</w:t>
      </w:r>
    </w:p>
    <w:p>
      <w:pPr>
        <w:sectPr>
          <w:pgSz w:w="11900" w:h="16838" w:orient="portrait"/>
          <w:cols w:equalWidth="0" w:num="1">
            <w:col w:w="11280"/>
          </w:cols>
          <w:pgMar w:left="300" w:top="313" w:right="319" w:bottom="1440" w:gutter="0" w:footer="0" w:header="0"/>
        </w:sectPr>
      </w:pPr>
    </w:p>
    <w:p>
      <w:pPr>
        <w:spacing w:after="0" w:line="31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714565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type w:val="continuous"/>
        </w:sectPr>
      </w:pPr>
    </w:p>
    <w:bookmarkStart w:id="68" w:name="page69"/>
    <w:bookmarkEnd w:id="68"/>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7145655" cy="1854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health insurance and Medical services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in thousands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139700</wp:posOffset>
            </wp:positionV>
            <wp:extent cx="7153275" cy="2443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275" cy="2443480"/>
                    </a:xfrm>
                    <a:prstGeom prst="rect">
                      <a:avLst/>
                    </a:prstGeom>
                    <a:noFill/>
                  </pic:spPr>
                </pic:pic>
              </a:graphicData>
            </a:graphic>
          </wp:anchor>
        </w:drawing>
      </w:r>
    </w:p>
    <w:p>
      <w:pPr>
        <w:spacing w:after="0" w:line="180" w:lineRule="exact"/>
        <w:rPr>
          <w:sz w:val="20"/>
          <w:szCs w:val="20"/>
          <w:color w:val="auto"/>
        </w:rPr>
      </w:pPr>
    </w:p>
    <w:tbl>
      <w:tblPr>
        <w:tblLayout w:type="fixed"/>
        <w:tblInd w:w="3120" w:type="dxa"/>
        <w:tblCellMar>
          <w:top w:w="0" w:type="dxa"/>
          <w:left w:w="0" w:type="dxa"/>
          <w:bottom w:w="0" w:type="dxa"/>
          <w:right w:w="0" w:type="dxa"/>
        </w:tblCellMar>
      </w:tblPr>
      <w:tr>
        <w:trPr>
          <w:trHeight w:val="190"/>
        </w:trPr>
        <w:tc>
          <w:tcPr>
            <w:tcW w:w="960" w:type="dxa"/>
            <w:vAlign w:val="bottom"/>
            <w:tcBorders>
              <w:top w:val="single" w:sz="8" w:color="auto"/>
            </w:tcBorders>
            <w:shd w:val="clear" w:color="auto" w:fill="2AD2C9"/>
          </w:tcPr>
          <w:p>
            <w:pPr>
              <w:spacing w:after="0"/>
              <w:rPr>
                <w:sz w:val="16"/>
                <w:szCs w:val="16"/>
                <w:color w:val="auto"/>
              </w:rPr>
            </w:pPr>
          </w:p>
        </w:tc>
        <w:tc>
          <w:tcPr>
            <w:tcW w:w="108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Quarter</w:t>
            </w:r>
          </w:p>
        </w:tc>
        <w:tc>
          <w:tcPr>
            <w:tcW w:w="960" w:type="dxa"/>
            <w:vAlign w:val="bottom"/>
            <w:tcBorders>
              <w:top w:val="single" w:sz="8" w:color="auto"/>
            </w:tcBorders>
            <w:shd w:val="clear" w:color="auto" w:fill="2AD2C9"/>
          </w:tcPr>
          <w:p>
            <w:pPr>
              <w:spacing w:after="0"/>
              <w:rPr>
                <w:sz w:val="16"/>
                <w:szCs w:val="16"/>
                <w:color w:val="auto"/>
              </w:rPr>
            </w:pPr>
          </w:p>
        </w:tc>
        <w:tc>
          <w:tcPr>
            <w:tcW w:w="1920" w:type="dxa"/>
            <w:vAlign w:val="bottom"/>
            <w:tcBorders>
              <w:top w:val="single" w:sz="8" w:color="auto"/>
            </w:tcBorders>
            <w:gridSpan w:val="2"/>
            <w:shd w:val="clear" w:color="auto" w:fill="2AD2C9"/>
          </w:tcPr>
          <w:p>
            <w:pPr>
              <w:ind w:left="600"/>
              <w:spacing w:after="0"/>
              <w:rPr>
                <w:sz w:val="20"/>
                <w:szCs w:val="20"/>
                <w:color w:val="auto"/>
              </w:rPr>
            </w:pPr>
            <w:r>
              <w:rPr>
                <w:rFonts w:ascii="Arial" w:cs="Arial" w:eastAsia="Arial" w:hAnsi="Arial"/>
                <w:sz w:val="16"/>
                <w:szCs w:val="16"/>
                <w:b w:val="1"/>
                <w:bCs w:val="1"/>
                <w:color w:val="FFFFFF"/>
              </w:rPr>
              <w:t>% change</w:t>
            </w:r>
          </w:p>
        </w:tc>
        <w:tc>
          <w:tcPr>
            <w:tcW w:w="1280" w:type="dxa"/>
            <w:vAlign w:val="bottom"/>
            <w:tcBorders>
              <w:top w:val="single" w:sz="8" w:color="auto"/>
            </w:tcBorders>
            <w:shd w:val="clear" w:color="auto" w:fill="2AD2C9"/>
          </w:tcPr>
          <w:p>
            <w:pPr>
              <w:ind w:left="860"/>
              <w:spacing w:after="0"/>
              <w:rPr>
                <w:sz w:val="20"/>
                <w:szCs w:val="20"/>
                <w:color w:val="auto"/>
              </w:rPr>
            </w:pPr>
            <w:r>
              <w:rPr>
                <w:rFonts w:ascii="Arial" w:cs="Arial" w:eastAsia="Arial" w:hAnsi="Arial"/>
                <w:sz w:val="16"/>
                <w:szCs w:val="16"/>
                <w:b w:val="1"/>
                <w:bCs w:val="1"/>
                <w:color w:val="FFFFFF"/>
                <w:w w:val="99"/>
              </w:rPr>
              <w:t>As of</w:t>
            </w:r>
          </w:p>
        </w:tc>
        <w:tc>
          <w:tcPr>
            <w:tcW w:w="1920" w:type="dxa"/>
            <w:vAlign w:val="bottom"/>
            <w:tcBorders>
              <w:top w:val="single" w:sz="8" w:color="auto"/>
            </w:tcBorders>
            <w:shd w:val="clear" w:color="auto" w:fill="2AD2C9"/>
          </w:tcPr>
          <w:p>
            <w:pPr>
              <w:ind w:left="960"/>
              <w:spacing w:after="0"/>
              <w:rPr>
                <w:sz w:val="20"/>
                <w:szCs w:val="20"/>
                <w:color w:val="auto"/>
              </w:rPr>
            </w:pPr>
            <w:r>
              <w:rPr>
                <w:rFonts w:ascii="Arial" w:cs="Arial" w:eastAsia="Arial" w:hAnsi="Arial"/>
                <w:sz w:val="16"/>
                <w:szCs w:val="16"/>
                <w:b w:val="1"/>
                <w:bCs w:val="1"/>
                <w:color w:val="FFFFFF"/>
              </w:rPr>
              <w:t>% change</w:t>
            </w:r>
          </w:p>
        </w:tc>
        <w:tc>
          <w:tcPr>
            <w:tcW w:w="20" w:type="dxa"/>
            <w:vAlign w:val="bottom"/>
            <w:tcBorders>
              <w:top w:val="single" w:sz="8" w:color="auto"/>
            </w:tcBorders>
          </w:tcPr>
          <w:p>
            <w:pPr>
              <w:spacing w:after="0"/>
              <w:rPr>
                <w:sz w:val="16"/>
                <w:szCs w:val="16"/>
                <w:color w:val="auto"/>
              </w:rPr>
            </w:pPr>
          </w:p>
        </w:tc>
      </w:tr>
      <w:tr>
        <w:trPr>
          <w:trHeight w:val="212"/>
        </w:trPr>
        <w:tc>
          <w:tcPr>
            <w:tcW w:w="960" w:type="dxa"/>
            <w:vAlign w:val="bottom"/>
            <w:shd w:val="clear" w:color="auto" w:fill="2AD2C9"/>
          </w:tcPr>
          <w:p>
            <w:pPr>
              <w:ind w:left="300"/>
              <w:spacing w:after="0"/>
              <w:rPr>
                <w:sz w:val="20"/>
                <w:szCs w:val="20"/>
                <w:color w:val="auto"/>
              </w:rPr>
            </w:pPr>
            <w:r>
              <w:rPr>
                <w:rFonts w:ascii="Arial" w:cs="Arial" w:eastAsia="Arial" w:hAnsi="Arial"/>
                <w:sz w:val="16"/>
                <w:szCs w:val="16"/>
                <w:b w:val="1"/>
                <w:bCs w:val="1"/>
                <w:color w:val="FFFFFF"/>
              </w:rPr>
              <w:t>2Q21</w:t>
            </w:r>
          </w:p>
        </w:tc>
        <w:tc>
          <w:tcPr>
            <w:tcW w:w="1080" w:type="dxa"/>
            <w:vAlign w:val="bottom"/>
            <w:shd w:val="clear" w:color="auto" w:fill="2AD2C9"/>
          </w:tcPr>
          <w:p>
            <w:pPr>
              <w:jc w:val="center"/>
              <w:spacing w:after="0"/>
              <w:rPr>
                <w:sz w:val="20"/>
                <w:szCs w:val="20"/>
                <w:color w:val="auto"/>
              </w:rPr>
            </w:pPr>
            <w:r>
              <w:rPr>
                <w:rFonts w:ascii="Arial" w:cs="Arial" w:eastAsia="Arial" w:hAnsi="Arial"/>
                <w:sz w:val="16"/>
                <w:szCs w:val="16"/>
                <w:b w:val="1"/>
                <w:bCs w:val="1"/>
                <w:color w:val="FFFFFF"/>
              </w:rPr>
              <w:t>1Q22</w:t>
            </w:r>
          </w:p>
        </w:tc>
        <w:tc>
          <w:tcPr>
            <w:tcW w:w="960" w:type="dxa"/>
            <w:vAlign w:val="bottom"/>
            <w:shd w:val="clear" w:color="auto" w:fill="2AD2C9"/>
          </w:tcPr>
          <w:p>
            <w:pPr>
              <w:ind w:left="240"/>
              <w:spacing w:after="0"/>
              <w:rPr>
                <w:sz w:val="20"/>
                <w:szCs w:val="20"/>
                <w:color w:val="auto"/>
              </w:rPr>
            </w:pPr>
            <w:r>
              <w:rPr>
                <w:rFonts w:ascii="Arial" w:cs="Arial" w:eastAsia="Arial" w:hAnsi="Arial"/>
                <w:sz w:val="16"/>
                <w:szCs w:val="16"/>
                <w:b w:val="1"/>
                <w:bCs w:val="1"/>
                <w:color w:val="FFFFFF"/>
              </w:rPr>
              <w:t>2Q22</w:t>
            </w:r>
          </w:p>
        </w:tc>
        <w:tc>
          <w:tcPr>
            <w:tcW w:w="1000" w:type="dxa"/>
            <w:vAlign w:val="bottom"/>
            <w:shd w:val="clear" w:color="auto" w:fill="2AD2C9"/>
          </w:tcPr>
          <w:p>
            <w:pPr>
              <w:ind w:left="320"/>
              <w:spacing w:after="0"/>
              <w:rPr>
                <w:sz w:val="20"/>
                <w:szCs w:val="20"/>
                <w:color w:val="auto"/>
              </w:rPr>
            </w:pPr>
            <w:r>
              <w:rPr>
                <w:rFonts w:ascii="Arial" w:cs="Arial" w:eastAsia="Arial" w:hAnsi="Arial"/>
                <w:sz w:val="16"/>
                <w:szCs w:val="16"/>
                <w:b w:val="1"/>
                <w:bCs w:val="1"/>
                <w:color w:val="FFFFFF"/>
              </w:rPr>
              <w:t>QoQ</w:t>
            </w:r>
          </w:p>
        </w:tc>
        <w:tc>
          <w:tcPr>
            <w:tcW w:w="920" w:type="dxa"/>
            <w:vAlign w:val="bottom"/>
            <w:shd w:val="clear" w:color="auto" w:fill="2AD2C9"/>
          </w:tcPr>
          <w:p>
            <w:pPr>
              <w:ind w:left="320"/>
              <w:spacing w:after="0"/>
              <w:rPr>
                <w:sz w:val="20"/>
                <w:szCs w:val="20"/>
                <w:color w:val="auto"/>
              </w:rPr>
            </w:pPr>
            <w:r>
              <w:rPr>
                <w:rFonts w:ascii="Arial" w:cs="Arial" w:eastAsia="Arial" w:hAnsi="Arial"/>
                <w:sz w:val="16"/>
                <w:szCs w:val="16"/>
                <w:b w:val="1"/>
                <w:bCs w:val="1"/>
                <w:color w:val="FFFFFF"/>
              </w:rPr>
              <w:t>YoY</w:t>
            </w:r>
          </w:p>
        </w:tc>
        <w:tc>
          <w:tcPr>
            <w:tcW w:w="1280" w:type="dxa"/>
            <w:vAlign w:val="bottom"/>
            <w:shd w:val="clear" w:color="auto" w:fill="2AD2C9"/>
          </w:tcPr>
          <w:p>
            <w:pPr>
              <w:ind w:left="300"/>
              <w:spacing w:after="0"/>
              <w:rPr>
                <w:sz w:val="20"/>
                <w:szCs w:val="20"/>
                <w:color w:val="auto"/>
              </w:rPr>
            </w:pPr>
            <w:r>
              <w:rPr>
                <w:rFonts w:ascii="Arial" w:cs="Arial" w:eastAsia="Arial" w:hAnsi="Arial"/>
                <w:sz w:val="16"/>
                <w:szCs w:val="16"/>
                <w:b w:val="1"/>
                <w:bCs w:val="1"/>
                <w:color w:val="FFFFFF"/>
              </w:rPr>
              <w:t>Jun 21</w:t>
            </w:r>
          </w:p>
        </w:tc>
        <w:tc>
          <w:tcPr>
            <w:tcW w:w="1920" w:type="dxa"/>
            <w:vAlign w:val="bottom"/>
            <w:shd w:val="clear" w:color="auto" w:fill="2AD2C9"/>
          </w:tcPr>
          <w:p>
            <w:pPr>
              <w:ind w:left="20"/>
              <w:spacing w:after="0"/>
              <w:rPr>
                <w:sz w:val="20"/>
                <w:szCs w:val="20"/>
                <w:color w:val="auto"/>
              </w:rPr>
            </w:pPr>
            <w:r>
              <w:rPr>
                <w:rFonts w:ascii="Arial" w:cs="Arial" w:eastAsia="Arial" w:hAnsi="Arial"/>
                <w:sz w:val="16"/>
                <w:szCs w:val="16"/>
                <w:b w:val="1"/>
                <w:bCs w:val="1"/>
                <w:color w:val="FFFFFF"/>
              </w:rPr>
              <w:t>Jun 22   Jun 22/ Jun 21</w:t>
            </w: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line="186" w:lineRule="exact"/>
              <w:rPr>
                <w:sz w:val="20"/>
                <w:szCs w:val="20"/>
                <w:color w:val="auto"/>
              </w:rPr>
            </w:pPr>
            <w:r>
              <w:rPr>
                <w:rFonts w:ascii="Arial" w:cs="Arial" w:eastAsia="Arial" w:hAnsi="Arial"/>
                <w:sz w:val="18"/>
                <w:szCs w:val="18"/>
                <w:b w:val="1"/>
                <w:bCs w:val="1"/>
                <w:color w:val="auto"/>
              </w:rPr>
              <w:t>Results</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Net earned premiums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288,352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314,362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315,592</w:t>
            </w:r>
          </w:p>
        </w:tc>
        <w:tc>
          <w:tcPr>
            <w:tcW w:w="900" w:type="dxa"/>
            <w:vAlign w:val="bottom"/>
          </w:tcPr>
          <w:p>
            <w:pPr>
              <w:jc w:val="center"/>
              <w:spacing w:after="0"/>
              <w:rPr>
                <w:sz w:val="20"/>
                <w:szCs w:val="20"/>
                <w:color w:val="auto"/>
              </w:rPr>
            </w:pPr>
            <w:r>
              <w:rPr>
                <w:rFonts w:ascii="Arial" w:cs="Arial" w:eastAsia="Arial" w:hAnsi="Arial"/>
                <w:sz w:val="16"/>
                <w:szCs w:val="16"/>
                <w:color w:val="auto"/>
              </w:rPr>
              <w:t>0.4%</w:t>
            </w:r>
          </w:p>
        </w:tc>
        <w:tc>
          <w:tcPr>
            <w:tcW w:w="1040" w:type="dxa"/>
            <w:vAlign w:val="bottom"/>
          </w:tcPr>
          <w:p>
            <w:pPr>
              <w:jc w:val="center"/>
              <w:spacing w:after="0"/>
              <w:rPr>
                <w:sz w:val="20"/>
                <w:szCs w:val="20"/>
                <w:color w:val="auto"/>
              </w:rPr>
            </w:pPr>
            <w:r>
              <w:rPr>
                <w:rFonts w:ascii="Arial" w:cs="Arial" w:eastAsia="Arial" w:hAnsi="Arial"/>
                <w:sz w:val="16"/>
                <w:szCs w:val="16"/>
                <w:color w:val="auto"/>
              </w:rPr>
              <w:t>9.4%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566,296</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629,954</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11.2%</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Net claims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(273,350)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(276,082)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(266,259)</w:t>
            </w:r>
          </w:p>
        </w:tc>
        <w:tc>
          <w:tcPr>
            <w:tcW w:w="900" w:type="dxa"/>
            <w:vAlign w:val="bottom"/>
          </w:tcPr>
          <w:p>
            <w:pPr>
              <w:jc w:val="center"/>
              <w:spacing w:after="0"/>
              <w:rPr>
                <w:sz w:val="20"/>
                <w:szCs w:val="20"/>
                <w:color w:val="auto"/>
              </w:rPr>
            </w:pPr>
            <w:r>
              <w:rPr>
                <w:rFonts w:ascii="Arial" w:cs="Arial" w:eastAsia="Arial" w:hAnsi="Arial"/>
                <w:sz w:val="16"/>
                <w:szCs w:val="16"/>
                <w:color w:val="auto"/>
              </w:rPr>
              <w:t>-3.6%</w:t>
            </w:r>
          </w:p>
        </w:tc>
        <w:tc>
          <w:tcPr>
            <w:tcW w:w="1040" w:type="dxa"/>
            <w:vAlign w:val="bottom"/>
          </w:tcPr>
          <w:p>
            <w:pPr>
              <w:jc w:val="center"/>
              <w:spacing w:after="0"/>
              <w:rPr>
                <w:sz w:val="20"/>
                <w:szCs w:val="20"/>
                <w:color w:val="auto"/>
              </w:rPr>
            </w:pPr>
            <w:r>
              <w:rPr>
                <w:rFonts w:ascii="Arial" w:cs="Arial" w:eastAsia="Arial" w:hAnsi="Arial"/>
                <w:sz w:val="16"/>
                <w:szCs w:val="16"/>
                <w:color w:val="auto"/>
              </w:rPr>
              <w:t>-2.6%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(488,989)</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(542,341)</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10.9%</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Net fees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(12,231)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(13,671)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(13,395)</w:t>
            </w:r>
          </w:p>
        </w:tc>
        <w:tc>
          <w:tcPr>
            <w:tcW w:w="900" w:type="dxa"/>
            <w:vAlign w:val="bottom"/>
          </w:tcPr>
          <w:p>
            <w:pPr>
              <w:jc w:val="center"/>
              <w:spacing w:after="0"/>
              <w:rPr>
                <w:sz w:val="20"/>
                <w:szCs w:val="20"/>
                <w:color w:val="auto"/>
              </w:rPr>
            </w:pPr>
            <w:r>
              <w:rPr>
                <w:rFonts w:ascii="Arial" w:cs="Arial" w:eastAsia="Arial" w:hAnsi="Arial"/>
                <w:sz w:val="16"/>
                <w:szCs w:val="16"/>
                <w:color w:val="auto"/>
              </w:rPr>
              <w:t>-2.0%</w:t>
            </w:r>
          </w:p>
        </w:tc>
        <w:tc>
          <w:tcPr>
            <w:tcW w:w="1040" w:type="dxa"/>
            <w:vAlign w:val="bottom"/>
          </w:tcPr>
          <w:p>
            <w:pPr>
              <w:jc w:val="center"/>
              <w:spacing w:after="0"/>
              <w:rPr>
                <w:sz w:val="20"/>
                <w:szCs w:val="20"/>
                <w:color w:val="auto"/>
              </w:rPr>
            </w:pPr>
            <w:r>
              <w:rPr>
                <w:rFonts w:ascii="Arial" w:cs="Arial" w:eastAsia="Arial" w:hAnsi="Arial"/>
                <w:sz w:val="16"/>
                <w:szCs w:val="16"/>
                <w:color w:val="auto"/>
              </w:rPr>
              <w:t>9.5%</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(24,540)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(27,065)</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10.3%</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Net underwriting expenses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(2,412)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(3,263)</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(2,505)</w:t>
            </w: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-23.2%</w:t>
            </w:r>
          </w:p>
        </w:tc>
        <w:tc>
          <w:tcPr>
            <w:tcW w:w="1040" w:type="dxa"/>
            <w:vAlign w:val="bottom"/>
          </w:tcPr>
          <w:p>
            <w:pPr>
              <w:jc w:val="center"/>
              <w:spacing w:after="0"/>
              <w:rPr>
                <w:sz w:val="20"/>
                <w:szCs w:val="20"/>
                <w:color w:val="auto"/>
              </w:rPr>
            </w:pPr>
            <w:r>
              <w:rPr>
                <w:rFonts w:ascii="Arial" w:cs="Arial" w:eastAsia="Arial" w:hAnsi="Arial"/>
                <w:sz w:val="16"/>
                <w:szCs w:val="16"/>
                <w:color w:val="auto"/>
              </w:rPr>
              <w:t>3.8%</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(5,289)</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(5,768)</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9.0%</w:t>
            </w:r>
          </w:p>
        </w:tc>
      </w:tr>
      <w:tr>
        <w:trPr>
          <w:trHeight w:val="246"/>
        </w:trPr>
        <w:tc>
          <w:tcPr>
            <w:tcW w:w="322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358</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21,346</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33,434</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56.6%</w:t>
            </w:r>
          </w:p>
        </w:tc>
        <w:tc>
          <w:tcPr>
            <w:tcW w:w="1040" w:type="dxa"/>
            <w:vAlign w:val="bottom"/>
          </w:tcPr>
          <w:p>
            <w:pPr>
              <w:ind w:left="360"/>
              <w:spacing w:after="0"/>
              <w:rPr>
                <w:sz w:val="20"/>
                <w:szCs w:val="20"/>
                <w:color w:val="auto"/>
              </w:rPr>
            </w:pPr>
            <w:r>
              <w:rPr>
                <w:rFonts w:ascii="Arial" w:cs="Arial" w:eastAsia="Arial" w:hAnsi="Arial"/>
                <w:sz w:val="16"/>
                <w:szCs w:val="16"/>
                <w:b w:val="1"/>
                <w:bCs w:val="1"/>
                <w:color w:val="auto"/>
              </w:rPr>
              <w:t>n.a.</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47,477</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54,780</w:t>
            </w:r>
          </w:p>
        </w:tc>
        <w:tc>
          <w:tcPr>
            <w:tcW w:w="740" w:type="dxa"/>
            <w:vAlign w:val="bottom"/>
          </w:tcPr>
          <w:p>
            <w:pPr>
              <w:jc w:val="center"/>
              <w:ind w:left="79"/>
              <w:spacing w:after="0"/>
              <w:rPr>
                <w:sz w:val="20"/>
                <w:szCs w:val="20"/>
                <w:color w:val="auto"/>
              </w:rPr>
            </w:pPr>
            <w:r>
              <w:rPr>
                <w:rFonts w:ascii="Arial" w:cs="Arial" w:eastAsia="Arial" w:hAnsi="Arial"/>
                <w:sz w:val="16"/>
                <w:szCs w:val="16"/>
                <w:b w:val="1"/>
                <w:bCs w:val="1"/>
                <w:color w:val="auto"/>
              </w:rPr>
              <w:t>15.4%</w:t>
            </w:r>
          </w:p>
        </w:tc>
      </w:tr>
      <w:tr>
        <w:trPr>
          <w:trHeight w:val="315"/>
        </w:trPr>
        <w:tc>
          <w:tcPr>
            <w:tcW w:w="3220" w:type="dxa"/>
            <w:vAlign w:val="bottom"/>
          </w:tcPr>
          <w:p>
            <w:pPr>
              <w:spacing w:after="0"/>
              <w:rPr>
                <w:sz w:val="20"/>
                <w:szCs w:val="20"/>
                <w:color w:val="auto"/>
              </w:rPr>
            </w:pPr>
            <w:r>
              <w:rPr>
                <w:rFonts w:ascii="Arial" w:cs="Arial" w:eastAsia="Arial" w:hAnsi="Arial"/>
                <w:sz w:val="18"/>
                <w:szCs w:val="18"/>
                <w:color w:val="auto"/>
              </w:rPr>
              <w:t>Net financial income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1,904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1,883</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1,759</w:t>
            </w:r>
          </w:p>
        </w:tc>
        <w:tc>
          <w:tcPr>
            <w:tcW w:w="900" w:type="dxa"/>
            <w:vAlign w:val="bottom"/>
          </w:tcPr>
          <w:p>
            <w:pPr>
              <w:jc w:val="center"/>
              <w:spacing w:after="0"/>
              <w:rPr>
                <w:sz w:val="20"/>
                <w:szCs w:val="20"/>
                <w:color w:val="auto"/>
              </w:rPr>
            </w:pPr>
            <w:r>
              <w:rPr>
                <w:rFonts w:ascii="Arial" w:cs="Arial" w:eastAsia="Arial" w:hAnsi="Arial"/>
                <w:sz w:val="16"/>
                <w:szCs w:val="16"/>
                <w:color w:val="auto"/>
              </w:rPr>
              <w:t>-6.6%</w:t>
            </w:r>
          </w:p>
        </w:tc>
        <w:tc>
          <w:tcPr>
            <w:tcW w:w="1040" w:type="dxa"/>
            <w:vAlign w:val="bottom"/>
          </w:tcPr>
          <w:p>
            <w:pPr>
              <w:jc w:val="center"/>
              <w:spacing w:after="0"/>
              <w:rPr>
                <w:sz w:val="20"/>
                <w:szCs w:val="20"/>
                <w:color w:val="auto"/>
              </w:rPr>
            </w:pPr>
            <w:r>
              <w:rPr>
                <w:rFonts w:ascii="Arial" w:cs="Arial" w:eastAsia="Arial" w:hAnsi="Arial"/>
                <w:sz w:val="16"/>
                <w:szCs w:val="16"/>
                <w:color w:val="auto"/>
              </w:rPr>
              <w:t>-7.6%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3,091</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3,642</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17.8%</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Total expenses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(19,179)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(18,870)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(20,251)</w:t>
            </w:r>
          </w:p>
        </w:tc>
        <w:tc>
          <w:tcPr>
            <w:tcW w:w="900" w:type="dxa"/>
            <w:vAlign w:val="bottom"/>
          </w:tcPr>
          <w:p>
            <w:pPr>
              <w:jc w:val="center"/>
              <w:spacing w:after="0"/>
              <w:rPr>
                <w:sz w:val="20"/>
                <w:szCs w:val="20"/>
                <w:color w:val="auto"/>
              </w:rPr>
            </w:pPr>
            <w:r>
              <w:rPr>
                <w:rFonts w:ascii="Arial" w:cs="Arial" w:eastAsia="Arial" w:hAnsi="Arial"/>
                <w:sz w:val="16"/>
                <w:szCs w:val="16"/>
                <w:color w:val="auto"/>
              </w:rPr>
              <w:t>7.3%</w:t>
            </w:r>
          </w:p>
        </w:tc>
        <w:tc>
          <w:tcPr>
            <w:tcW w:w="1040" w:type="dxa"/>
            <w:vAlign w:val="bottom"/>
          </w:tcPr>
          <w:p>
            <w:pPr>
              <w:jc w:val="center"/>
              <w:spacing w:after="0"/>
              <w:rPr>
                <w:sz w:val="20"/>
                <w:szCs w:val="20"/>
                <w:color w:val="auto"/>
              </w:rPr>
            </w:pPr>
            <w:r>
              <w:rPr>
                <w:rFonts w:ascii="Arial" w:cs="Arial" w:eastAsia="Arial" w:hAnsi="Arial"/>
                <w:sz w:val="16"/>
                <w:szCs w:val="16"/>
                <w:color w:val="auto"/>
              </w:rPr>
              <w:t>5.6%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(39,888)</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(39,122)</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-1.9%</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Other income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1,226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-96.7%</w:t>
            </w:r>
          </w:p>
        </w:tc>
        <w:tc>
          <w:tcPr>
            <w:tcW w:w="1040" w:type="dxa"/>
            <w:vAlign w:val="bottom"/>
          </w:tcPr>
          <w:p>
            <w:pPr>
              <w:jc w:val="center"/>
              <w:spacing w:after="0"/>
              <w:rPr>
                <w:sz w:val="20"/>
                <w:szCs w:val="20"/>
                <w:color w:val="auto"/>
              </w:rPr>
            </w:pPr>
            <w:r>
              <w:rPr>
                <w:rFonts w:ascii="Arial" w:cs="Arial" w:eastAsia="Arial" w:hAnsi="Arial"/>
                <w:sz w:val="16"/>
                <w:szCs w:val="16"/>
                <w:color w:val="auto"/>
              </w:rPr>
              <w:t>-417.2%</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(430)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1,266</w:t>
            </w:r>
          </w:p>
        </w:tc>
        <w:tc>
          <w:tcPr>
            <w:tcW w:w="740" w:type="dxa"/>
            <w:vAlign w:val="bottom"/>
          </w:tcPr>
          <w:p>
            <w:pPr>
              <w:jc w:val="center"/>
              <w:ind w:left="59"/>
              <w:spacing w:after="0"/>
              <w:rPr>
                <w:sz w:val="20"/>
                <w:szCs w:val="20"/>
                <w:color w:val="auto"/>
              </w:rPr>
            </w:pPr>
            <w:r>
              <w:rPr>
                <w:rFonts w:ascii="Arial" w:cs="Arial" w:eastAsia="Arial" w:hAnsi="Arial"/>
                <w:sz w:val="16"/>
                <w:szCs w:val="16"/>
                <w:color w:val="auto"/>
              </w:rPr>
              <w:t>-394.6%</w:t>
            </w:r>
          </w:p>
        </w:tc>
      </w:tr>
      <w:tr>
        <w:trPr>
          <w:trHeight w:val="195"/>
        </w:trPr>
        <w:tc>
          <w:tcPr>
            <w:tcW w:w="3220" w:type="dxa"/>
            <w:vAlign w:val="bottom"/>
          </w:tcPr>
          <w:p>
            <w:pPr>
              <w:spacing w:after="0" w:line="195" w:lineRule="exact"/>
              <w:rPr>
                <w:sz w:val="20"/>
                <w:szCs w:val="20"/>
                <w:color w:val="auto"/>
              </w:rPr>
            </w:pPr>
            <w:r>
              <w:rPr>
                <w:rFonts w:ascii="Arial" w:cs="Arial" w:eastAsia="Arial" w:hAnsi="Arial"/>
                <w:sz w:val="18"/>
                <w:szCs w:val="18"/>
                <w:color w:val="auto"/>
              </w:rPr>
              <w:t>Traslations results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3,005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(4,397)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1,784</w:t>
            </w:r>
          </w:p>
        </w:tc>
        <w:tc>
          <w:tcPr>
            <w:tcW w:w="900" w:type="dxa"/>
            <w:vAlign w:val="bottom"/>
          </w:tcPr>
          <w:p>
            <w:pPr>
              <w:jc w:val="center"/>
              <w:spacing w:after="0"/>
              <w:rPr>
                <w:sz w:val="20"/>
                <w:szCs w:val="20"/>
                <w:color w:val="auto"/>
              </w:rPr>
            </w:pPr>
            <w:r>
              <w:rPr>
                <w:rFonts w:ascii="Arial" w:cs="Arial" w:eastAsia="Arial" w:hAnsi="Arial"/>
                <w:sz w:val="16"/>
                <w:szCs w:val="16"/>
                <w:color w:val="auto"/>
              </w:rPr>
              <w:t>-140.6%</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-40.6%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4,390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(2,613)</w:t>
            </w:r>
          </w:p>
        </w:tc>
        <w:tc>
          <w:tcPr>
            <w:tcW w:w="740" w:type="dxa"/>
            <w:vAlign w:val="bottom"/>
          </w:tcPr>
          <w:p>
            <w:pPr>
              <w:jc w:val="center"/>
              <w:ind w:left="59"/>
              <w:spacing w:after="0"/>
              <w:rPr>
                <w:sz w:val="20"/>
                <w:szCs w:val="20"/>
                <w:color w:val="auto"/>
              </w:rPr>
            </w:pPr>
            <w:r>
              <w:rPr>
                <w:rFonts w:ascii="Arial" w:cs="Arial" w:eastAsia="Arial" w:hAnsi="Arial"/>
                <w:sz w:val="16"/>
                <w:szCs w:val="16"/>
                <w:color w:val="auto"/>
              </w:rPr>
              <w:t>-159.5%</w:t>
            </w:r>
          </w:p>
        </w:tc>
      </w:tr>
      <w:tr>
        <w:trPr>
          <w:trHeight w:val="236"/>
        </w:trPr>
        <w:tc>
          <w:tcPr>
            <w:tcW w:w="3220" w:type="dxa"/>
            <w:vAlign w:val="bottom"/>
          </w:tcPr>
          <w:p>
            <w:pPr>
              <w:spacing w:after="0"/>
              <w:rPr>
                <w:sz w:val="20"/>
                <w:szCs w:val="20"/>
                <w:color w:val="auto"/>
              </w:rPr>
            </w:pPr>
            <w:r>
              <w:rPr>
                <w:rFonts w:ascii="Arial" w:cs="Arial" w:eastAsia="Arial" w:hAnsi="Arial"/>
                <w:sz w:val="18"/>
                <w:szCs w:val="18"/>
                <w:color w:val="auto"/>
              </w:rPr>
              <w:t>Income tax</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3,503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(6,114)</w:t>
            </w:r>
          </w:p>
        </w:tc>
        <w:tc>
          <w:tcPr>
            <w:tcW w:w="900" w:type="dxa"/>
            <w:vAlign w:val="bottom"/>
          </w:tcPr>
          <w:p>
            <w:pPr>
              <w:ind w:left="280"/>
              <w:spacing w:after="0"/>
              <w:rPr>
                <w:sz w:val="20"/>
                <w:szCs w:val="20"/>
                <w:color w:val="auto"/>
              </w:rPr>
            </w:pPr>
            <w:r>
              <w:rPr>
                <w:rFonts w:ascii="Arial" w:cs="Arial" w:eastAsia="Arial" w:hAnsi="Arial"/>
                <w:sz w:val="16"/>
                <w:szCs w:val="16"/>
                <w:color w:val="auto"/>
              </w:rPr>
              <w:t>n.a.</w:t>
            </w:r>
          </w:p>
        </w:tc>
        <w:tc>
          <w:tcPr>
            <w:tcW w:w="1040" w:type="dxa"/>
            <w:vAlign w:val="bottom"/>
          </w:tcPr>
          <w:p>
            <w:pPr>
              <w:jc w:val="center"/>
              <w:spacing w:after="0"/>
              <w:rPr>
                <w:sz w:val="20"/>
                <w:szCs w:val="20"/>
                <w:color w:val="auto"/>
              </w:rPr>
            </w:pPr>
            <w:r>
              <w:rPr>
                <w:rFonts w:ascii="Arial" w:cs="Arial" w:eastAsia="Arial" w:hAnsi="Arial"/>
                <w:sz w:val="16"/>
                <w:szCs w:val="16"/>
                <w:color w:val="auto"/>
              </w:rPr>
              <w:t>-274.5%</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(5,143)</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(6,537)</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27.1%</w:t>
            </w:r>
          </w:p>
        </w:tc>
      </w:tr>
      <w:tr>
        <w:trPr>
          <w:trHeight w:val="375"/>
        </w:trPr>
        <w:tc>
          <w:tcPr>
            <w:tcW w:w="322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(10,422)</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763</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10,652</w:t>
            </w: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n.a.</w:t>
            </w:r>
          </w:p>
        </w:tc>
        <w:tc>
          <w:tcPr>
            <w:tcW w:w="1040" w:type="dxa"/>
            <w:vAlign w:val="bottom"/>
          </w:tcPr>
          <w:p>
            <w:pPr>
              <w:ind w:left="360"/>
              <w:spacing w:after="0"/>
              <w:rPr>
                <w:sz w:val="20"/>
                <w:szCs w:val="20"/>
                <w:color w:val="auto"/>
              </w:rPr>
            </w:pPr>
            <w:r>
              <w:rPr>
                <w:rFonts w:ascii="Arial" w:cs="Arial" w:eastAsia="Arial" w:hAnsi="Arial"/>
                <w:sz w:val="16"/>
                <w:szCs w:val="16"/>
                <w:b w:val="1"/>
                <w:bCs w:val="1"/>
                <w:color w:val="auto"/>
              </w:rPr>
              <w:t>n.a.</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9,499</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11,415</w:t>
            </w:r>
          </w:p>
        </w:tc>
        <w:tc>
          <w:tcPr>
            <w:tcW w:w="740" w:type="dxa"/>
            <w:vAlign w:val="bottom"/>
          </w:tcPr>
          <w:p>
            <w:pPr>
              <w:jc w:val="center"/>
              <w:ind w:left="79"/>
              <w:spacing w:after="0"/>
              <w:rPr>
                <w:sz w:val="20"/>
                <w:szCs w:val="20"/>
                <w:color w:val="auto"/>
              </w:rPr>
            </w:pPr>
            <w:r>
              <w:rPr>
                <w:rFonts w:ascii="Arial" w:cs="Arial" w:eastAsia="Arial" w:hAnsi="Arial"/>
                <w:sz w:val="16"/>
                <w:szCs w:val="16"/>
                <w:b w:val="1"/>
                <w:bCs w:val="1"/>
                <w:color w:val="auto"/>
              </w:rPr>
              <w:t>20.2%</w:t>
            </w:r>
          </w:p>
        </w:tc>
      </w:tr>
      <w:tr>
        <w:trPr>
          <w:trHeight w:val="365"/>
        </w:trPr>
        <w:tc>
          <w:tcPr>
            <w:tcW w:w="322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27,939</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28,460</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25,076</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-11.9%</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-10.2%</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54,689</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53,535</w:t>
            </w:r>
          </w:p>
        </w:tc>
        <w:tc>
          <w:tcPr>
            <w:tcW w:w="740" w:type="dxa"/>
            <w:vAlign w:val="bottom"/>
          </w:tcPr>
          <w:p>
            <w:pPr>
              <w:jc w:val="center"/>
              <w:ind w:left="79"/>
              <w:spacing w:after="0"/>
              <w:rPr>
                <w:sz w:val="20"/>
                <w:szCs w:val="20"/>
                <w:color w:val="auto"/>
              </w:rPr>
            </w:pPr>
            <w:r>
              <w:rPr>
                <w:rFonts w:ascii="Arial" w:cs="Arial" w:eastAsia="Arial" w:hAnsi="Arial"/>
                <w:sz w:val="16"/>
                <w:szCs w:val="16"/>
                <w:b w:val="1"/>
                <w:bCs w:val="1"/>
                <w:color w:val="auto"/>
              </w:rPr>
              <w:t>-2.1%</w:t>
            </w:r>
          </w:p>
        </w:tc>
      </w:tr>
      <w:tr>
        <w:trPr>
          <w:trHeight w:val="365"/>
        </w:trPr>
        <w:tc>
          <w:tcPr>
            <w:tcW w:w="32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17,517</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29,222</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35,728</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22.3%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104.0%</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64,188</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64,951</w:t>
            </w:r>
          </w:p>
        </w:tc>
        <w:tc>
          <w:tcPr>
            <w:tcW w:w="740" w:type="dxa"/>
            <w:vAlign w:val="bottom"/>
          </w:tcPr>
          <w:p>
            <w:pPr>
              <w:jc w:val="center"/>
              <w:ind w:left="79"/>
              <w:spacing w:after="0"/>
              <w:rPr>
                <w:sz w:val="20"/>
                <w:szCs w:val="20"/>
                <w:color w:val="auto"/>
              </w:rPr>
            </w:pPr>
            <w:r>
              <w:rPr>
                <w:rFonts w:ascii="Arial" w:cs="Arial" w:eastAsia="Arial" w:hAnsi="Arial"/>
                <w:sz w:val="16"/>
                <w:szCs w:val="16"/>
                <w:b w:val="1"/>
                <w:bCs w:val="1"/>
                <w:color w:val="auto"/>
              </w:rPr>
              <w:t>1.2%</w:t>
            </w:r>
          </w:p>
        </w:tc>
      </w:tr>
    </w:tbl>
    <w:p>
      <w:pPr>
        <w:spacing w:after="0" w:line="34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69" w:name="page70"/>
    <w:bookmarkEnd w:id="69"/>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7145655" cy="1854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12.5.9. Investment Banking &amp; Wealth Management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Banking &amp; Wealth Management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880" w:type="dxa"/>
            <w:vAlign w:val="bottom"/>
            <w:tcBorders>
              <w:top w:val="single" w:sz="8" w:color="auto"/>
              <w:left w:val="single" w:sz="8" w:color="auto"/>
              <w:right w:val="single" w:sz="8" w:color="auto"/>
            </w:tcBorders>
            <w:shd w:val="clear" w:color="auto" w:fill="2AD2C9"/>
          </w:tcPr>
          <w:p>
            <w:pPr>
              <w:ind w:left="20"/>
              <w:spacing w:after="0" w:line="198" w:lineRule="exact"/>
              <w:rPr>
                <w:sz w:val="20"/>
                <w:szCs w:val="20"/>
                <w:color w:val="auto"/>
              </w:rPr>
            </w:pPr>
            <w:r>
              <w:rPr>
                <w:rFonts w:ascii="Arial" w:cs="Arial" w:eastAsia="Arial" w:hAnsi="Arial"/>
                <w:sz w:val="18"/>
                <w:szCs w:val="18"/>
                <w:b w:val="1"/>
                <w:bCs w:val="1"/>
                <w:color w:val="FFFFFF"/>
                <w:w w:val="98"/>
              </w:rPr>
              <w:t>Investment Banking and Wealth Management</w:t>
            </w:r>
          </w:p>
        </w:tc>
        <w:tc>
          <w:tcPr>
            <w:tcW w:w="920" w:type="dxa"/>
            <w:vAlign w:val="bottom"/>
            <w:tcBorders>
              <w:top w:val="single" w:sz="8" w:color="auto"/>
            </w:tcBorders>
            <w:shd w:val="clear" w:color="auto" w:fill="2AD2C9"/>
          </w:tcPr>
          <w:p>
            <w:pPr>
              <w:spacing w:after="0"/>
              <w:rPr>
                <w:sz w:val="17"/>
                <w:szCs w:val="17"/>
                <w:color w:val="auto"/>
              </w:rPr>
            </w:pPr>
          </w:p>
        </w:tc>
        <w:tc>
          <w:tcPr>
            <w:tcW w:w="920" w:type="dxa"/>
            <w:vAlign w:val="bottom"/>
            <w:tcBorders>
              <w:top w:val="single" w:sz="8" w:color="auto"/>
            </w:tcBorders>
            <w:shd w:val="clear" w:color="auto" w:fill="2AD2C9"/>
          </w:tcPr>
          <w:p>
            <w:pPr>
              <w:jc w:val="right"/>
              <w:ind w:right="111"/>
              <w:spacing w:after="0" w:line="198" w:lineRule="exact"/>
              <w:rPr>
                <w:sz w:val="20"/>
                <w:szCs w:val="20"/>
                <w:color w:val="auto"/>
              </w:rPr>
            </w:pPr>
            <w:r>
              <w:rPr>
                <w:rFonts w:ascii="Arial" w:cs="Arial" w:eastAsia="Arial" w:hAnsi="Arial"/>
                <w:sz w:val="18"/>
                <w:szCs w:val="18"/>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7"/>
                <w:szCs w:val="17"/>
                <w:color w:val="auto"/>
              </w:rPr>
            </w:pPr>
          </w:p>
        </w:tc>
        <w:tc>
          <w:tcPr>
            <w:tcW w:w="1720" w:type="dxa"/>
            <w:vAlign w:val="bottom"/>
            <w:tcBorders>
              <w:top w:val="single" w:sz="8" w:color="auto"/>
              <w:right w:val="single" w:sz="8" w:color="auto"/>
            </w:tcBorders>
            <w:gridSpan w:val="2"/>
            <w:shd w:val="clear" w:color="auto" w:fill="2AD2C9"/>
          </w:tcPr>
          <w:p>
            <w:pPr>
              <w:ind w:left="440"/>
              <w:spacing w:after="0" w:line="198" w:lineRule="exact"/>
              <w:rPr>
                <w:sz w:val="20"/>
                <w:szCs w:val="20"/>
                <w:color w:val="auto"/>
              </w:rPr>
            </w:pPr>
            <w:r>
              <w:rPr>
                <w:rFonts w:ascii="Arial" w:cs="Arial" w:eastAsia="Arial" w:hAnsi="Arial"/>
                <w:sz w:val="18"/>
                <w:szCs w:val="18"/>
                <w:b w:val="1"/>
                <w:bCs w:val="1"/>
                <w:color w:val="FFFFFF"/>
              </w:rPr>
              <w:t>% change</w:t>
            </w:r>
          </w:p>
        </w:tc>
        <w:tc>
          <w:tcPr>
            <w:tcW w:w="1800" w:type="dxa"/>
            <w:vAlign w:val="bottom"/>
            <w:tcBorders>
              <w:top w:val="single" w:sz="8" w:color="auto"/>
              <w:right w:val="single" w:sz="8" w:color="auto"/>
            </w:tcBorders>
            <w:gridSpan w:val="2"/>
            <w:shd w:val="clear" w:color="auto" w:fill="2AD2C9"/>
          </w:tcPr>
          <w:p>
            <w:pPr>
              <w:jc w:val="right"/>
              <w:ind w:right="591"/>
              <w:spacing w:after="0" w:line="198" w:lineRule="exact"/>
              <w:rPr>
                <w:sz w:val="20"/>
                <w:szCs w:val="20"/>
                <w:color w:val="auto"/>
              </w:rPr>
            </w:pPr>
            <w:r>
              <w:rPr>
                <w:rFonts w:ascii="Arial" w:cs="Arial" w:eastAsia="Arial" w:hAnsi="Arial"/>
                <w:sz w:val="18"/>
                <w:szCs w:val="18"/>
                <w:b w:val="1"/>
                <w:bCs w:val="1"/>
                <w:color w:val="FFFFFF"/>
              </w:rPr>
              <w:t>As of</w:t>
            </w:r>
          </w:p>
        </w:tc>
        <w:tc>
          <w:tcPr>
            <w:tcW w:w="1200" w:type="dxa"/>
            <w:vAlign w:val="bottom"/>
            <w:tcBorders>
              <w:top w:val="single" w:sz="8" w:color="auto"/>
              <w:right w:val="single" w:sz="8" w:color="auto"/>
            </w:tcBorders>
            <w:shd w:val="clear" w:color="auto" w:fill="2AD2C9"/>
          </w:tcPr>
          <w:p>
            <w:pPr>
              <w:jc w:val="center"/>
              <w:spacing w:after="0" w:line="198" w:lineRule="exact"/>
              <w:rPr>
                <w:sz w:val="20"/>
                <w:szCs w:val="20"/>
                <w:color w:val="auto"/>
              </w:rPr>
            </w:pPr>
            <w:r>
              <w:rPr>
                <w:rFonts w:ascii="Arial" w:cs="Arial" w:eastAsia="Arial" w:hAnsi="Arial"/>
                <w:sz w:val="18"/>
                <w:szCs w:val="18"/>
                <w:b w:val="1"/>
                <w:bCs w:val="1"/>
                <w:color w:val="FFFFFF"/>
                <w:w w:val="99"/>
              </w:rPr>
              <w:t>% change</w:t>
            </w:r>
          </w:p>
        </w:tc>
      </w:tr>
      <w:tr>
        <w:trPr>
          <w:trHeight w:val="220"/>
        </w:trPr>
        <w:tc>
          <w:tcPr>
            <w:tcW w:w="38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8"/>
                <w:szCs w:val="18"/>
                <w:b w:val="1"/>
                <w:bCs w:val="1"/>
                <w:color w:val="FFFFFF"/>
              </w:rPr>
              <w:t>S/ 000</w:t>
            </w:r>
          </w:p>
        </w:tc>
        <w:tc>
          <w:tcPr>
            <w:tcW w:w="920" w:type="dxa"/>
            <w:vAlign w:val="bottom"/>
            <w:tcBorders>
              <w:bottom w:val="single" w:sz="8" w:color="auto"/>
            </w:tcBorders>
            <w:shd w:val="clear" w:color="auto" w:fill="2AD2C9"/>
          </w:tcPr>
          <w:p>
            <w:pPr>
              <w:jc w:val="right"/>
              <w:ind w:right="211"/>
              <w:spacing w:after="0"/>
              <w:rPr>
                <w:sz w:val="20"/>
                <w:szCs w:val="20"/>
                <w:color w:val="auto"/>
              </w:rPr>
            </w:pPr>
            <w:r>
              <w:rPr>
                <w:rFonts w:ascii="Arial" w:cs="Arial" w:eastAsia="Arial" w:hAnsi="Arial"/>
                <w:sz w:val="16"/>
                <w:szCs w:val="16"/>
                <w:b w:val="1"/>
                <w:bCs w:val="1"/>
                <w:color w:val="FFFFFF"/>
              </w:rPr>
              <w:t>2Q21</w:t>
            </w:r>
          </w:p>
        </w:tc>
        <w:tc>
          <w:tcPr>
            <w:tcW w:w="920" w:type="dxa"/>
            <w:vAlign w:val="bottom"/>
            <w:tcBorders>
              <w:bottom w:val="single" w:sz="8" w:color="auto"/>
            </w:tcBorders>
            <w:shd w:val="clear" w:color="auto" w:fill="2AD2C9"/>
          </w:tcPr>
          <w:p>
            <w:pPr>
              <w:jc w:val="right"/>
              <w:ind w:right="251"/>
              <w:spacing w:after="0"/>
              <w:rPr>
                <w:sz w:val="20"/>
                <w:szCs w:val="20"/>
                <w:color w:val="auto"/>
              </w:rPr>
            </w:pPr>
            <w:r>
              <w:rPr>
                <w:rFonts w:ascii="Arial" w:cs="Arial" w:eastAsia="Arial" w:hAnsi="Arial"/>
                <w:sz w:val="16"/>
                <w:szCs w:val="16"/>
                <w:b w:val="1"/>
                <w:bCs w:val="1"/>
                <w:color w:val="FFFFFF"/>
              </w:rPr>
              <w:t>1Q22</w:t>
            </w:r>
          </w:p>
        </w:tc>
        <w:tc>
          <w:tcPr>
            <w:tcW w:w="820" w:type="dxa"/>
            <w:vAlign w:val="bottom"/>
            <w:tcBorders>
              <w:bottom w:val="single" w:sz="8" w:color="auto"/>
              <w:right w:val="single" w:sz="8" w:color="auto"/>
            </w:tcBorders>
            <w:shd w:val="clear" w:color="auto" w:fill="2AD2C9"/>
          </w:tcPr>
          <w:p>
            <w:pPr>
              <w:jc w:val="right"/>
              <w:ind w:right="171"/>
              <w:spacing w:after="0"/>
              <w:rPr>
                <w:sz w:val="20"/>
                <w:szCs w:val="20"/>
                <w:color w:val="auto"/>
              </w:rPr>
            </w:pPr>
            <w:r>
              <w:rPr>
                <w:rFonts w:ascii="Arial" w:cs="Arial" w:eastAsia="Arial" w:hAnsi="Arial"/>
                <w:sz w:val="16"/>
                <w:szCs w:val="16"/>
                <w:b w:val="1"/>
                <w:bCs w:val="1"/>
                <w:color w:val="FFFFFF"/>
              </w:rPr>
              <w:t>2Q22</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7"/>
              </w:rPr>
              <w:t>QoQ</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YoY</w:t>
            </w:r>
          </w:p>
        </w:tc>
        <w:tc>
          <w:tcPr>
            <w:tcW w:w="960" w:type="dxa"/>
            <w:vAlign w:val="bottom"/>
            <w:tcBorders>
              <w:bottom w:val="single" w:sz="8" w:color="auto"/>
            </w:tcBorders>
            <w:shd w:val="clear" w:color="auto" w:fill="2AD2C9"/>
          </w:tcPr>
          <w:p>
            <w:pPr>
              <w:jc w:val="right"/>
              <w:ind w:right="171"/>
              <w:spacing w:after="0"/>
              <w:rPr>
                <w:sz w:val="20"/>
                <w:szCs w:val="20"/>
                <w:color w:val="auto"/>
              </w:rPr>
            </w:pPr>
            <w:r>
              <w:rPr>
                <w:rFonts w:ascii="Arial" w:cs="Arial" w:eastAsia="Arial" w:hAnsi="Arial"/>
                <w:sz w:val="16"/>
                <w:szCs w:val="16"/>
                <w:b w:val="1"/>
                <w:bCs w:val="1"/>
                <w:color w:val="FFFFFF"/>
              </w:rPr>
              <w:t>Jun 21</w:t>
            </w:r>
          </w:p>
        </w:tc>
        <w:tc>
          <w:tcPr>
            <w:tcW w:w="840" w:type="dxa"/>
            <w:vAlign w:val="bottom"/>
            <w:tcBorders>
              <w:bottom w:val="single" w:sz="8" w:color="auto"/>
              <w:right w:val="single" w:sz="8" w:color="auto"/>
            </w:tcBorders>
            <w:shd w:val="clear" w:color="auto" w:fill="2AD2C9"/>
          </w:tcPr>
          <w:p>
            <w:pPr>
              <w:jc w:val="right"/>
              <w:ind w:right="131"/>
              <w:spacing w:after="0"/>
              <w:rPr>
                <w:sz w:val="20"/>
                <w:szCs w:val="20"/>
                <w:color w:val="auto"/>
              </w:rPr>
            </w:pPr>
            <w:r>
              <w:rPr>
                <w:rFonts w:ascii="Arial" w:cs="Arial" w:eastAsia="Arial" w:hAnsi="Arial"/>
                <w:sz w:val="16"/>
                <w:szCs w:val="16"/>
                <w:b w:val="1"/>
                <w:bCs w:val="1"/>
                <w:color w:val="FFFFFF"/>
              </w:rPr>
              <w:t>Jun 22</w:t>
            </w:r>
          </w:p>
        </w:tc>
        <w:tc>
          <w:tcPr>
            <w:tcW w:w="12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Jun 22 / Jun 21</w:t>
            </w:r>
          </w:p>
        </w:tc>
      </w:tr>
      <w:tr>
        <w:trPr>
          <w:trHeight w:val="174"/>
        </w:trPr>
        <w:tc>
          <w:tcPr>
            <w:tcW w:w="38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Net interest income</w:t>
            </w:r>
          </w:p>
        </w:tc>
        <w:tc>
          <w:tcPr>
            <w:tcW w:w="920" w:type="dxa"/>
            <w:vAlign w:val="bottom"/>
          </w:tcPr>
          <w:p>
            <w:pPr>
              <w:jc w:val="right"/>
              <w:spacing w:after="0" w:line="174" w:lineRule="exact"/>
              <w:rPr>
                <w:sz w:val="20"/>
                <w:szCs w:val="20"/>
                <w:color w:val="auto"/>
              </w:rPr>
            </w:pPr>
            <w:r>
              <w:rPr>
                <w:rFonts w:ascii="Arial" w:cs="Arial" w:eastAsia="Arial" w:hAnsi="Arial"/>
                <w:sz w:val="18"/>
                <w:szCs w:val="18"/>
                <w:color w:val="auto"/>
              </w:rPr>
              <w:t>23,055</w:t>
            </w:r>
          </w:p>
        </w:tc>
        <w:tc>
          <w:tcPr>
            <w:tcW w:w="920" w:type="dxa"/>
            <w:vAlign w:val="bottom"/>
          </w:tcPr>
          <w:p>
            <w:pPr>
              <w:jc w:val="right"/>
              <w:ind w:right="11"/>
              <w:spacing w:after="0" w:line="174" w:lineRule="exact"/>
              <w:rPr>
                <w:sz w:val="20"/>
                <w:szCs w:val="20"/>
                <w:color w:val="auto"/>
              </w:rPr>
            </w:pPr>
            <w:r>
              <w:rPr>
                <w:rFonts w:ascii="Arial" w:cs="Arial" w:eastAsia="Arial" w:hAnsi="Arial"/>
                <w:sz w:val="18"/>
                <w:szCs w:val="18"/>
                <w:color w:val="auto"/>
              </w:rPr>
              <w:t>19,340</w:t>
            </w:r>
          </w:p>
        </w:tc>
        <w:tc>
          <w:tcPr>
            <w:tcW w:w="8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18,930</w:t>
            </w:r>
          </w:p>
        </w:tc>
        <w:tc>
          <w:tcPr>
            <w:tcW w:w="840" w:type="dxa"/>
            <w:vAlign w:val="bottom"/>
          </w:tcPr>
          <w:p>
            <w:pPr>
              <w:jc w:val="center"/>
              <w:spacing w:after="0" w:line="174" w:lineRule="exact"/>
              <w:rPr>
                <w:sz w:val="20"/>
                <w:szCs w:val="20"/>
                <w:color w:val="auto"/>
              </w:rPr>
            </w:pPr>
            <w:r>
              <w:rPr>
                <w:rFonts w:ascii="Arial" w:cs="Arial" w:eastAsia="Arial" w:hAnsi="Arial"/>
                <w:sz w:val="18"/>
                <w:szCs w:val="18"/>
                <w:color w:val="auto"/>
                <w:w w:val="97"/>
              </w:rPr>
              <w:t>-2.1%</w:t>
            </w:r>
          </w:p>
        </w:tc>
        <w:tc>
          <w:tcPr>
            <w:tcW w:w="8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9"/>
              </w:rPr>
              <w:t>-18%</w:t>
            </w:r>
          </w:p>
        </w:tc>
        <w:tc>
          <w:tcPr>
            <w:tcW w:w="960" w:type="dxa"/>
            <w:vAlign w:val="bottom"/>
          </w:tcPr>
          <w:p>
            <w:pPr>
              <w:jc w:val="right"/>
              <w:spacing w:after="0" w:line="174" w:lineRule="exact"/>
              <w:rPr>
                <w:sz w:val="20"/>
                <w:szCs w:val="20"/>
                <w:color w:val="auto"/>
              </w:rPr>
            </w:pPr>
            <w:r>
              <w:rPr>
                <w:rFonts w:ascii="Arial" w:cs="Arial" w:eastAsia="Arial" w:hAnsi="Arial"/>
                <w:sz w:val="18"/>
                <w:szCs w:val="18"/>
                <w:color w:val="auto"/>
              </w:rPr>
              <w:t>46,142</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38,270</w:t>
            </w:r>
          </w:p>
        </w:tc>
        <w:tc>
          <w:tcPr>
            <w:tcW w:w="12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-17.1%</w:t>
            </w:r>
          </w:p>
        </w:tc>
      </w:tr>
      <w:tr>
        <w:trPr>
          <w:trHeight w:val="195"/>
        </w:trPr>
        <w:tc>
          <w:tcPr>
            <w:tcW w:w="38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Non-financial income</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213,732</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179,997</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146,646</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-18.5%</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-31.4%</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391,797</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326,643</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-16.6%</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Fee income</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168,937</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137,586</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138,468</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0.6%</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-18.0%</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316,531</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276,054</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-12.8%</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Net gain on foreign exchange transactions</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-2,498</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8,160</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12,338</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7"/>
              </w:rPr>
              <w:t>51.2%</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n.a</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4,712</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20,498</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335.0%</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Net gain on sales of securities</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44,184</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10,696</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-15,406</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n.a</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132</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-4,710</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n.a</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Derivative Result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21,640</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4,997</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31,345</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44.8%</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86,729</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36,342</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-58.1%</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Result from exposure to the exchange rate</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-24,660</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10,557</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-28,225</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14.5%</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-29,407</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-17,668</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-39.9%</w:t>
            </w:r>
          </w:p>
        </w:tc>
      </w:tr>
      <w:tr>
        <w:trPr>
          <w:trHeight w:val="195"/>
        </w:trPr>
        <w:tc>
          <w:tcPr>
            <w:tcW w:w="38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Other income</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6,129</w:t>
            </w:r>
          </w:p>
        </w:tc>
        <w:tc>
          <w:tcPr>
            <w:tcW w:w="9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8,001</w:t>
            </w:r>
          </w:p>
        </w:tc>
        <w:tc>
          <w:tcPr>
            <w:tcW w:w="8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8,126</w:t>
            </w: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rPr>
              <w:t>1.6%</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32.6%</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13,100</w:t>
            </w:r>
          </w:p>
        </w:tc>
        <w:tc>
          <w:tcPr>
            <w:tcW w:w="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16,127</w:t>
            </w:r>
          </w:p>
        </w:tc>
        <w:tc>
          <w:tcPr>
            <w:tcW w:w="1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23.1%</w:t>
            </w:r>
          </w:p>
        </w:tc>
      </w:tr>
      <w:tr>
        <w:trPr>
          <w:trHeight w:val="220"/>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Operating expenses (1)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-162,087</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-162,258</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-160,877</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-318,772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-323,135</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1.4%</w:t>
            </w:r>
          </w:p>
        </w:tc>
      </w:tr>
      <w:tr>
        <w:trPr>
          <w:trHeight w:val="199"/>
        </w:trPr>
        <w:tc>
          <w:tcPr>
            <w:tcW w:w="3880" w:type="dxa"/>
            <w:vAlign w:val="bottom"/>
            <w:tcBorders>
              <w:left w:val="single" w:sz="8" w:color="auto"/>
              <w:bottom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Operating income</w:t>
            </w: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74,700</w:t>
            </w:r>
          </w:p>
        </w:tc>
        <w:tc>
          <w:tcPr>
            <w:tcW w:w="920" w:type="dxa"/>
            <w:vAlign w:val="bottom"/>
            <w:tcBorders>
              <w:bottom w:val="single" w:sz="8" w:color="auto"/>
            </w:tcBorders>
          </w:tcPr>
          <w:p>
            <w:pPr>
              <w:jc w:val="right"/>
              <w:ind w:right="11"/>
              <w:spacing w:after="0" w:line="195" w:lineRule="exact"/>
              <w:rPr>
                <w:sz w:val="20"/>
                <w:szCs w:val="20"/>
                <w:color w:val="auto"/>
              </w:rPr>
            </w:pPr>
            <w:r>
              <w:rPr>
                <w:rFonts w:ascii="Arial" w:cs="Arial" w:eastAsia="Arial" w:hAnsi="Arial"/>
                <w:sz w:val="18"/>
                <w:szCs w:val="18"/>
                <w:b w:val="1"/>
                <w:bCs w:val="1"/>
                <w:color w:val="auto"/>
              </w:rPr>
              <w:t>37,079</w:t>
            </w:r>
          </w:p>
        </w:tc>
        <w:tc>
          <w:tcPr>
            <w:tcW w:w="82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4,699</w:t>
            </w:r>
          </w:p>
        </w:tc>
        <w:tc>
          <w:tcPr>
            <w:tcW w:w="8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rPr>
              <w:t>-87.3%</w:t>
            </w:r>
          </w:p>
        </w:tc>
        <w:tc>
          <w:tcPr>
            <w:tcW w:w="88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-93.7%</w:t>
            </w:r>
          </w:p>
        </w:tc>
        <w:tc>
          <w:tcPr>
            <w:tcW w:w="9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119,167</w:t>
            </w:r>
          </w:p>
        </w:tc>
        <w:tc>
          <w:tcPr>
            <w:tcW w:w="84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41,778</w:t>
            </w:r>
          </w:p>
        </w:tc>
        <w:tc>
          <w:tcPr>
            <w:tcW w:w="120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-64.9%</w:t>
            </w:r>
          </w:p>
        </w:tc>
      </w:tr>
      <w:tr>
        <w:trPr>
          <w:trHeight w:val="174"/>
        </w:trPr>
        <w:tc>
          <w:tcPr>
            <w:tcW w:w="38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Income taxes</w:t>
            </w:r>
          </w:p>
        </w:tc>
        <w:tc>
          <w:tcPr>
            <w:tcW w:w="920" w:type="dxa"/>
            <w:vAlign w:val="bottom"/>
          </w:tcPr>
          <w:p>
            <w:pPr>
              <w:jc w:val="right"/>
              <w:spacing w:after="0" w:line="174" w:lineRule="exact"/>
              <w:rPr>
                <w:sz w:val="20"/>
                <w:szCs w:val="20"/>
                <w:color w:val="auto"/>
              </w:rPr>
            </w:pPr>
            <w:r>
              <w:rPr>
                <w:rFonts w:ascii="Arial" w:cs="Arial" w:eastAsia="Arial" w:hAnsi="Arial"/>
                <w:sz w:val="18"/>
                <w:szCs w:val="18"/>
                <w:color w:val="auto"/>
              </w:rPr>
              <w:t>-9,314</w:t>
            </w:r>
          </w:p>
        </w:tc>
        <w:tc>
          <w:tcPr>
            <w:tcW w:w="920" w:type="dxa"/>
            <w:vAlign w:val="bottom"/>
          </w:tcPr>
          <w:p>
            <w:pPr>
              <w:jc w:val="right"/>
              <w:ind w:right="11"/>
              <w:spacing w:after="0" w:line="174" w:lineRule="exact"/>
              <w:rPr>
                <w:sz w:val="20"/>
                <w:szCs w:val="20"/>
                <w:color w:val="auto"/>
              </w:rPr>
            </w:pPr>
            <w:r>
              <w:rPr>
                <w:rFonts w:ascii="Arial" w:cs="Arial" w:eastAsia="Arial" w:hAnsi="Arial"/>
                <w:sz w:val="18"/>
                <w:szCs w:val="18"/>
                <w:color w:val="auto"/>
              </w:rPr>
              <w:t>-1,548</w:t>
            </w:r>
          </w:p>
        </w:tc>
        <w:tc>
          <w:tcPr>
            <w:tcW w:w="8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273</w:t>
            </w:r>
          </w:p>
        </w:tc>
        <w:tc>
          <w:tcPr>
            <w:tcW w:w="840" w:type="dxa"/>
            <w:vAlign w:val="bottom"/>
          </w:tcPr>
          <w:p>
            <w:pPr>
              <w:jc w:val="center"/>
              <w:spacing w:after="0" w:line="174" w:lineRule="exact"/>
              <w:rPr>
                <w:sz w:val="20"/>
                <w:szCs w:val="20"/>
                <w:color w:val="auto"/>
              </w:rPr>
            </w:pPr>
            <w:r>
              <w:rPr>
                <w:rFonts w:ascii="Arial" w:cs="Arial" w:eastAsia="Arial" w:hAnsi="Arial"/>
                <w:sz w:val="18"/>
                <w:szCs w:val="18"/>
                <w:color w:val="auto"/>
                <w:w w:val="98"/>
              </w:rPr>
              <w:t>-117.6%</w:t>
            </w:r>
          </w:p>
        </w:tc>
        <w:tc>
          <w:tcPr>
            <w:tcW w:w="8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-102.9%</w:t>
            </w:r>
          </w:p>
        </w:tc>
        <w:tc>
          <w:tcPr>
            <w:tcW w:w="960" w:type="dxa"/>
            <w:vAlign w:val="bottom"/>
          </w:tcPr>
          <w:p>
            <w:pPr>
              <w:jc w:val="right"/>
              <w:spacing w:after="0" w:line="174" w:lineRule="exact"/>
              <w:rPr>
                <w:sz w:val="20"/>
                <w:szCs w:val="20"/>
                <w:color w:val="auto"/>
              </w:rPr>
            </w:pPr>
            <w:r>
              <w:rPr>
                <w:rFonts w:ascii="Arial" w:cs="Arial" w:eastAsia="Arial" w:hAnsi="Arial"/>
                <w:sz w:val="18"/>
                <w:szCs w:val="18"/>
                <w:color w:val="auto"/>
              </w:rPr>
              <w:t>-16,451</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-1,275</w:t>
            </w:r>
          </w:p>
        </w:tc>
        <w:tc>
          <w:tcPr>
            <w:tcW w:w="12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-92.2%</w:t>
            </w:r>
          </w:p>
        </w:tc>
      </w:tr>
      <w:tr>
        <w:trPr>
          <w:trHeight w:val="22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Non-controlling interest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757</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-39.4%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-51.3%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-22.6%</w:t>
            </w:r>
          </w:p>
        </w:tc>
      </w:tr>
      <w:tr>
        <w:trPr>
          <w:trHeight w:val="199"/>
        </w:trPr>
        <w:tc>
          <w:tcPr>
            <w:tcW w:w="3880" w:type="dxa"/>
            <w:vAlign w:val="bottom"/>
            <w:tcBorders>
              <w:left w:val="single" w:sz="8" w:color="auto"/>
              <w:bottom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64,443</w:t>
            </w:r>
          </w:p>
        </w:tc>
        <w:tc>
          <w:tcPr>
            <w:tcW w:w="920" w:type="dxa"/>
            <w:vAlign w:val="bottom"/>
            <w:tcBorders>
              <w:bottom w:val="single" w:sz="8" w:color="auto"/>
            </w:tcBorders>
          </w:tcPr>
          <w:p>
            <w:pPr>
              <w:jc w:val="right"/>
              <w:ind w:right="11"/>
              <w:spacing w:after="0" w:line="195" w:lineRule="exact"/>
              <w:rPr>
                <w:sz w:val="20"/>
                <w:szCs w:val="20"/>
                <w:color w:val="auto"/>
              </w:rPr>
            </w:pPr>
            <w:r>
              <w:rPr>
                <w:rFonts w:ascii="Arial" w:cs="Arial" w:eastAsia="Arial" w:hAnsi="Arial"/>
                <w:sz w:val="18"/>
                <w:szCs w:val="18"/>
                <w:b w:val="1"/>
                <w:bCs w:val="1"/>
                <w:color w:val="auto"/>
              </w:rPr>
              <w:t>34,774</w:t>
            </w:r>
          </w:p>
        </w:tc>
        <w:tc>
          <w:tcPr>
            <w:tcW w:w="82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4,513</w:t>
            </w:r>
          </w:p>
        </w:tc>
        <w:tc>
          <w:tcPr>
            <w:tcW w:w="8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rPr>
              <w:t>-87.0%</w:t>
            </w:r>
          </w:p>
        </w:tc>
        <w:tc>
          <w:tcPr>
            <w:tcW w:w="88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-93.0%</w:t>
            </w:r>
          </w:p>
        </w:tc>
        <w:tc>
          <w:tcPr>
            <w:tcW w:w="9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101,144</w:t>
            </w:r>
          </w:p>
        </w:tc>
        <w:tc>
          <w:tcPr>
            <w:tcW w:w="840" w:type="dxa"/>
            <w:vAlign w:val="bottom"/>
            <w:tcBorders>
              <w:bottom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39,287</w:t>
            </w:r>
          </w:p>
        </w:tc>
        <w:tc>
          <w:tcPr>
            <w:tcW w:w="120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-61.2%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Salaries and employees benefits + Administrative expenses + Assigned expenses + Depreciation and amortization + Tax and contributions + Other expenses.</w:t>
      </w:r>
    </w:p>
    <w:p>
      <w:pPr>
        <w:spacing w:after="0" w:line="240"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70" w:name="page71"/>
    <w:bookmarkEnd w:id="70"/>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5655" cy="1854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3"/>
        <w:spacing w:after="0"/>
        <w:rPr>
          <w:sz w:val="20"/>
          <w:szCs w:val="20"/>
          <w:color w:val="auto"/>
        </w:rPr>
      </w:pPr>
      <w:r>
        <w:rPr>
          <w:rFonts w:ascii="Arial" w:cs="Arial" w:eastAsia="Arial" w:hAnsi="Arial"/>
          <w:sz w:val="19"/>
          <w:szCs w:val="19"/>
          <w:b w:val="1"/>
          <w:bCs w:val="1"/>
          <w:color w:val="FFFFFF"/>
        </w:rPr>
        <w:t>12. Appendix</w:t>
      </w:r>
    </w:p>
    <w:p>
      <w:pPr>
        <w:spacing w:after="0" w:line="1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12.6.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15875</wp:posOffset>
            </wp:positionV>
            <wp:extent cx="5227955" cy="51504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27955" cy="515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3" w:hanging="143"/>
        <w:spacing w:after="0"/>
        <w:tabs>
          <w:tab w:leader="none" w:pos="143"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Averages are determined as the average of period-beginning and period-ending balances.</w:t>
      </w:r>
    </w:p>
    <w:p>
      <w:pPr>
        <w:spacing w:after="0" w:line="7" w:lineRule="exact"/>
        <w:rPr>
          <w:rFonts w:ascii="Times New Roman" w:cs="Times New Roman" w:eastAsia="Times New Roman" w:hAnsi="Times New Roman"/>
          <w:sz w:val="11"/>
          <w:szCs w:val="11"/>
          <w:color w:val="auto"/>
        </w:rPr>
      </w:pPr>
    </w:p>
    <w:p>
      <w:pPr>
        <w:ind w:left="143" w:hanging="143"/>
        <w:spacing w:after="0" w:line="231" w:lineRule="auto"/>
        <w:tabs>
          <w:tab w:leader="none" w:pos="143"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total deposits, due to banks and correspondents, BCRP instruments, repurchase agreements and bonds and notes issued.</w:t>
      </w:r>
    </w:p>
    <w:p>
      <w:pPr>
        <w:ind w:left="143" w:hanging="143"/>
        <w:spacing w:after="0" w:line="231" w:lineRule="auto"/>
        <w:tabs>
          <w:tab w:leader="none" w:pos="143"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Does not include Life insurance business.</w:t>
      </w:r>
    </w:p>
    <w:p>
      <w:pPr>
        <w:ind w:left="3" w:right="120" w:hanging="3"/>
        <w:spacing w:after="0" w:line="231" w:lineRule="auto"/>
        <w:tabs>
          <w:tab w:leader="none" w:pos="152"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43" w:hanging="143"/>
        <w:spacing w:after="0"/>
        <w:tabs>
          <w:tab w:leader="none" w:pos="143"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investment in subsidiaries, goodwill, intangibles and deferred tax that rely on future profitability.</w:t>
      </w:r>
    </w:p>
    <w:p>
      <w:pPr>
        <w:spacing w:after="0" w:line="337" w:lineRule="exact"/>
        <w:rPr>
          <w:sz w:val="20"/>
          <w:szCs w:val="20"/>
          <w:color w:val="auto"/>
        </w:rPr>
      </w:pPr>
    </w:p>
    <w:p>
      <w:pPr>
        <w:ind w:left="11123"/>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313" w:right="319" w:bottom="1440" w:gutter="0" w:footer="0" w:header="0"/>
        </w:sectPr>
      </w:pPr>
    </w:p>
    <w:bookmarkStart w:id="71" w:name="page72"/>
    <w:bookmarkEnd w:id="71"/>
    <w:p>
      <w:pPr>
        <w:jc w:val="right"/>
        <w:spacing w:after="0"/>
        <w:tabs>
          <w:tab w:leader="none" w:pos="3300" w:val="left"/>
        </w:tabs>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714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5655" cy="371475"/>
                    </a:xfrm>
                    <a:prstGeom prst="rect">
                      <a:avLst/>
                    </a:prstGeom>
                    <a:noFill/>
                  </pic:spPr>
                </pic:pic>
              </a:graphicData>
            </a:graphic>
          </wp:anchor>
        </w:drawing>
        <w:t xml:space="preserve">Earnings Release </w:t>
      </w:r>
      <w:r>
        <w:rPr>
          <w:rFonts w:ascii="Arial" w:cs="Arial" w:eastAsia="Arial" w:hAnsi="Arial"/>
          <w:sz w:val="15"/>
          <w:szCs w:val="15"/>
          <w:b w:val="1"/>
          <w:bCs w:val="1"/>
          <w:color w:val="FFFFFF"/>
        </w:rPr>
        <w:t>2Q / 2022</w:t>
      </w:r>
      <w:r>
        <w:rPr>
          <w:sz w:val="20"/>
          <w:szCs w:val="20"/>
          <w:color w:val="auto"/>
        </w:rPr>
        <w:tab/>
      </w:r>
      <w:r>
        <w:rPr>
          <w:rFonts w:ascii="Arial" w:cs="Arial" w:eastAsia="Arial" w:hAnsi="Arial"/>
          <w:sz w:val="17"/>
          <w:szCs w:val="17"/>
          <w:b w:val="1"/>
          <w:bCs w:val="1"/>
          <w:color w:val="E93CAC"/>
        </w:rPr>
        <w:t>Analysis of 2Q22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7145655" cy="1854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5655" cy="1854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FFFFFF"/>
        </w:rPr>
        <w:t>12. Appendix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12.7. Glossary of terms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80" w:type="dxa"/>
            <w:vAlign w:val="bottom"/>
            <w:tcBorders>
              <w:top w:val="single" w:sz="8" w:color="auto"/>
              <w:left w:val="single" w:sz="8" w:color="auto"/>
              <w:bottom w:val="single" w:sz="8" w:color="auto"/>
              <w:right w:val="single" w:sz="8" w:color="auto"/>
            </w:tcBorders>
            <w:shd w:val="clear" w:color="auto" w:fill="2AD2C9"/>
          </w:tcPr>
          <w:p>
            <w:pPr>
              <w:ind w:left="1840"/>
              <w:spacing w:after="0"/>
              <w:rPr>
                <w:sz w:val="20"/>
                <w:szCs w:val="20"/>
                <w:color w:val="auto"/>
              </w:rPr>
            </w:pPr>
            <w:r>
              <w:rPr>
                <w:rFonts w:ascii="Arial" w:cs="Arial" w:eastAsia="Arial" w:hAnsi="Arial"/>
                <w:sz w:val="16"/>
                <w:szCs w:val="16"/>
                <w:b w:val="1"/>
                <w:bCs w:val="1"/>
                <w:color w:val="FFFFFF"/>
              </w:rPr>
              <w:t>Term</w:t>
            </w:r>
          </w:p>
        </w:tc>
        <w:tc>
          <w:tcPr>
            <w:tcW w:w="7180" w:type="dxa"/>
            <w:vAlign w:val="bottom"/>
            <w:tcBorders>
              <w:top w:val="single" w:sz="8" w:color="auto"/>
              <w:bottom w:val="single" w:sz="8" w:color="auto"/>
              <w:right w:val="single" w:sz="8" w:color="auto"/>
            </w:tcBorders>
            <w:shd w:val="clear" w:color="auto" w:fill="2AD2C9"/>
          </w:tcPr>
          <w:p>
            <w:pPr>
              <w:ind w:left="3200"/>
              <w:spacing w:after="0"/>
              <w:rPr>
                <w:sz w:val="20"/>
                <w:szCs w:val="20"/>
                <w:color w:val="auto"/>
              </w:rPr>
            </w:pPr>
            <w:r>
              <w:rPr>
                <w:rFonts w:ascii="Arial" w:cs="Arial" w:eastAsia="Arial" w:hAnsi="Arial"/>
                <w:sz w:val="16"/>
                <w:szCs w:val="16"/>
                <w:b w:val="1"/>
                <w:bCs w:val="1"/>
                <w:color w:val="FFFFFF"/>
              </w:rPr>
              <w:t>Definition</w:t>
            </w:r>
          </w:p>
        </w:tc>
        <w:tc>
          <w:tcPr>
            <w:tcW w:w="0" w:type="dxa"/>
            <w:vAlign w:val="bottom"/>
          </w:tcPr>
          <w:p>
            <w:pPr>
              <w:spacing w:after="0"/>
              <w:rPr>
                <w:sz w:val="1"/>
                <w:szCs w:val="1"/>
                <w:color w:val="auto"/>
              </w:rPr>
            </w:pPr>
          </w:p>
        </w:tc>
      </w:tr>
      <w:tr>
        <w:trPr>
          <w:trHeight w:val="231"/>
        </w:trPr>
        <w:tc>
          <w:tcPr>
            <w:tcW w:w="4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Government Program Loans ("GP" or "GP Loans")</w:t>
            </w:r>
          </w:p>
        </w:tc>
        <w:tc>
          <w:tcPr>
            <w:tcW w:w="7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Loan Portfolio related to Reactiva Peru and FAE-Mype programs to respond quickly and</w:t>
            </w:r>
          </w:p>
        </w:tc>
        <w:tc>
          <w:tcPr>
            <w:tcW w:w="0" w:type="dxa"/>
            <w:vAlign w:val="bottom"/>
          </w:tcPr>
          <w:p>
            <w:pPr>
              <w:spacing w:after="0"/>
              <w:rPr>
                <w:sz w:val="1"/>
                <w:szCs w:val="1"/>
                <w:color w:val="auto"/>
              </w:rPr>
            </w:pPr>
          </w:p>
        </w:tc>
      </w:tr>
      <w:tr>
        <w:trPr>
          <w:trHeight w:val="138"/>
        </w:trPr>
        <w:tc>
          <w:tcPr>
            <w:tcW w:w="4080" w:type="dxa"/>
            <w:vAlign w:val="bottom"/>
            <w:tcBorders>
              <w:left w:val="single" w:sz="8" w:color="auto"/>
              <w:bottom w:val="single" w:sz="8" w:color="auto"/>
              <w:right w:val="single" w:sz="8" w:color="auto"/>
            </w:tcBorders>
          </w:tcPr>
          <w:p>
            <w:pPr>
              <w:spacing w:after="0"/>
              <w:rPr>
                <w:sz w:val="12"/>
                <w:szCs w:val="12"/>
                <w:color w:val="auto"/>
              </w:rPr>
            </w:pPr>
          </w:p>
        </w:tc>
        <w:tc>
          <w:tcPr>
            <w:tcW w:w="7180" w:type="dxa"/>
            <w:vAlign w:val="bottom"/>
            <w:tcBorders>
              <w:bottom w:val="single" w:sz="8" w:color="auto"/>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effectively to liquidity needs and maintain the payment chain.</w:t>
            </w:r>
          </w:p>
        </w:tc>
        <w:tc>
          <w:tcPr>
            <w:tcW w:w="0" w:type="dxa"/>
            <w:vAlign w:val="bottom"/>
          </w:tcPr>
          <w:p>
            <w:pPr>
              <w:spacing w:after="0"/>
              <w:rPr>
                <w:sz w:val="1"/>
                <w:szCs w:val="1"/>
                <w:color w:val="auto"/>
              </w:rPr>
            </w:pPr>
          </w:p>
        </w:tc>
      </w:tr>
      <w:tr>
        <w:trPr>
          <w:trHeight w:val="187"/>
        </w:trPr>
        <w:tc>
          <w:tcPr>
            <w:tcW w:w="4080" w:type="dxa"/>
            <w:vAlign w:val="bottom"/>
            <w:tcBorders>
              <w:left w:val="single" w:sz="8" w:color="auto"/>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Structural Loans</w:t>
            </w:r>
          </w:p>
        </w:tc>
        <w:tc>
          <w:tcPr>
            <w:tcW w:w="71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Loan Portfolio excluding GP Loans.</w:t>
            </w:r>
          </w:p>
        </w:tc>
        <w:tc>
          <w:tcPr>
            <w:tcW w:w="0" w:type="dxa"/>
            <w:vAlign w:val="bottom"/>
          </w:tcPr>
          <w:p>
            <w:pPr>
              <w:spacing w:after="0"/>
              <w:rPr>
                <w:sz w:val="1"/>
                <w:szCs w:val="1"/>
                <w:color w:val="auto"/>
              </w:rPr>
            </w:pPr>
          </w:p>
        </w:tc>
      </w:tr>
      <w:tr>
        <w:trPr>
          <w:trHeight w:val="166"/>
        </w:trPr>
        <w:tc>
          <w:tcPr>
            <w:tcW w:w="4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Non-Recurring Events at Interest Income</w:t>
            </w:r>
          </w:p>
        </w:tc>
        <w:tc>
          <w:tcPr>
            <w:tcW w:w="7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Impairment charge (related to the government facility that allowed for deferment of certain</w:t>
            </w:r>
          </w:p>
        </w:tc>
        <w:tc>
          <w:tcPr>
            <w:tcW w:w="0" w:type="dxa"/>
            <w:vAlign w:val="bottom"/>
          </w:tcPr>
          <w:p>
            <w:pPr>
              <w:spacing w:after="0"/>
              <w:rPr>
                <w:sz w:val="1"/>
                <w:szCs w:val="1"/>
                <w:color w:val="auto"/>
              </w:rPr>
            </w:pPr>
          </w:p>
        </w:tc>
      </w:tr>
      <w:tr>
        <w:trPr>
          <w:trHeight w:val="125"/>
        </w:trPr>
        <w:tc>
          <w:tcPr>
            <w:tcW w:w="408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installments at zero cost) and subsequent amortization thereof.</w:t>
            </w:r>
          </w:p>
        </w:tc>
        <w:tc>
          <w:tcPr>
            <w:tcW w:w="0" w:type="dxa"/>
            <w:vAlign w:val="bottom"/>
          </w:tcPr>
          <w:p>
            <w:pPr>
              <w:spacing w:after="0"/>
              <w:rPr>
                <w:sz w:val="1"/>
                <w:szCs w:val="1"/>
                <w:color w:val="auto"/>
              </w:rPr>
            </w:pPr>
          </w:p>
        </w:tc>
      </w:tr>
      <w:tr>
        <w:trPr>
          <w:trHeight w:val="78"/>
        </w:trPr>
        <w:tc>
          <w:tcPr>
            <w:tcW w:w="4080" w:type="dxa"/>
            <w:vAlign w:val="bottom"/>
            <w:tcBorders>
              <w:left w:val="single" w:sz="8" w:color="auto"/>
              <w:bottom w:val="single" w:sz="8" w:color="auto"/>
              <w:right w:val="single" w:sz="8" w:color="auto"/>
            </w:tcBorders>
          </w:tcPr>
          <w:p>
            <w:pPr>
              <w:spacing w:after="0"/>
              <w:rPr>
                <w:sz w:val="6"/>
                <w:szCs w:val="6"/>
                <w:color w:val="auto"/>
              </w:rPr>
            </w:pPr>
          </w:p>
        </w:tc>
        <w:tc>
          <w:tcPr>
            <w:tcW w:w="71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080" w:type="dxa"/>
            <w:vAlign w:val="bottom"/>
            <w:tcBorders>
              <w:left w:val="single" w:sz="8" w:color="auto"/>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Non-Recurring Events at Interest Expenses</w:t>
            </w:r>
          </w:p>
        </w:tc>
        <w:tc>
          <w:tcPr>
            <w:tcW w:w="71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Charges related to the liability management operation at BCP Stand-alone (3Q20 and 1Q21).</w:t>
            </w:r>
          </w:p>
        </w:tc>
        <w:tc>
          <w:tcPr>
            <w:tcW w:w="0" w:type="dxa"/>
            <w:vAlign w:val="bottom"/>
          </w:tcPr>
          <w:p>
            <w:pPr>
              <w:spacing w:after="0"/>
              <w:rPr>
                <w:sz w:val="1"/>
                <w:szCs w:val="1"/>
                <w:color w:val="auto"/>
              </w:rPr>
            </w:pPr>
          </w:p>
        </w:tc>
      </w:tr>
      <w:tr>
        <w:trPr>
          <w:trHeight w:val="166"/>
        </w:trPr>
        <w:tc>
          <w:tcPr>
            <w:tcW w:w="4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Structural Cost of Risk</w:t>
            </w:r>
          </w:p>
        </w:tc>
        <w:tc>
          <w:tcPr>
            <w:tcW w:w="7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Cost of Risk related to the Structural Loans. It excludes, in the numerator, provisions for credit</w:t>
            </w:r>
          </w:p>
        </w:tc>
        <w:tc>
          <w:tcPr>
            <w:tcW w:w="0" w:type="dxa"/>
            <w:vAlign w:val="bottom"/>
          </w:tcPr>
          <w:p>
            <w:pPr>
              <w:spacing w:after="0"/>
              <w:rPr>
                <w:sz w:val="1"/>
                <w:szCs w:val="1"/>
                <w:color w:val="auto"/>
              </w:rPr>
            </w:pPr>
          </w:p>
        </w:tc>
      </w:tr>
      <w:tr>
        <w:trPr>
          <w:trHeight w:val="125"/>
        </w:trPr>
        <w:tc>
          <w:tcPr>
            <w:tcW w:w="408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losses on GP loans, and in the denominator, the total amount of GP Loans.</w:t>
            </w:r>
          </w:p>
        </w:tc>
        <w:tc>
          <w:tcPr>
            <w:tcW w:w="0" w:type="dxa"/>
            <w:vAlign w:val="bottom"/>
          </w:tcPr>
          <w:p>
            <w:pPr>
              <w:spacing w:after="0"/>
              <w:rPr>
                <w:sz w:val="1"/>
                <w:szCs w:val="1"/>
                <w:color w:val="auto"/>
              </w:rPr>
            </w:pPr>
          </w:p>
        </w:tc>
      </w:tr>
      <w:tr>
        <w:trPr>
          <w:trHeight w:val="78"/>
        </w:trPr>
        <w:tc>
          <w:tcPr>
            <w:tcW w:w="4080" w:type="dxa"/>
            <w:vAlign w:val="bottom"/>
            <w:tcBorders>
              <w:left w:val="single" w:sz="8" w:color="auto"/>
              <w:bottom w:val="single" w:sz="8" w:color="auto"/>
              <w:right w:val="single" w:sz="8" w:color="auto"/>
            </w:tcBorders>
          </w:tcPr>
          <w:p>
            <w:pPr>
              <w:spacing w:after="0"/>
              <w:rPr>
                <w:sz w:val="6"/>
                <w:szCs w:val="6"/>
                <w:color w:val="auto"/>
              </w:rPr>
            </w:pPr>
          </w:p>
        </w:tc>
        <w:tc>
          <w:tcPr>
            <w:tcW w:w="71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080" w:type="dxa"/>
            <w:vAlign w:val="bottom"/>
            <w:tcBorders>
              <w:left w:val="single" w:sz="8" w:color="auto"/>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Structural NPL ratio</w:t>
            </w:r>
          </w:p>
        </w:tc>
        <w:tc>
          <w:tcPr>
            <w:tcW w:w="71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NPL Ratio related to Structural Loans. It excludes the impact of GP Loans.</w:t>
            </w:r>
          </w:p>
        </w:tc>
        <w:tc>
          <w:tcPr>
            <w:tcW w:w="0" w:type="dxa"/>
            <w:vAlign w:val="bottom"/>
          </w:tcPr>
          <w:p>
            <w:pPr>
              <w:spacing w:after="0"/>
              <w:rPr>
                <w:sz w:val="1"/>
                <w:szCs w:val="1"/>
                <w:color w:val="auto"/>
              </w:rPr>
            </w:pPr>
          </w:p>
        </w:tc>
      </w:tr>
      <w:tr>
        <w:trPr>
          <w:trHeight w:val="166"/>
        </w:trPr>
        <w:tc>
          <w:tcPr>
            <w:tcW w:w="4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Structural NIM</w:t>
            </w:r>
          </w:p>
        </w:tc>
        <w:tc>
          <w:tcPr>
            <w:tcW w:w="7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NIM related to Structural Loans and Other Interest Earning Assets. It deducts the impact of GP</w:t>
            </w:r>
          </w:p>
        </w:tc>
        <w:tc>
          <w:tcPr>
            <w:tcW w:w="0" w:type="dxa"/>
            <w:vAlign w:val="bottom"/>
          </w:tcPr>
          <w:p>
            <w:pPr>
              <w:spacing w:after="0"/>
              <w:rPr>
                <w:sz w:val="1"/>
                <w:szCs w:val="1"/>
                <w:color w:val="auto"/>
              </w:rPr>
            </w:pPr>
          </w:p>
        </w:tc>
      </w:tr>
      <w:tr>
        <w:trPr>
          <w:trHeight w:val="125"/>
        </w:trPr>
        <w:tc>
          <w:tcPr>
            <w:tcW w:w="408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Loans and Non-recurring Events from Interest Income and Interest Expenses.</w:t>
            </w:r>
          </w:p>
        </w:tc>
        <w:tc>
          <w:tcPr>
            <w:tcW w:w="0" w:type="dxa"/>
            <w:vAlign w:val="bottom"/>
          </w:tcPr>
          <w:p>
            <w:pPr>
              <w:spacing w:after="0"/>
              <w:rPr>
                <w:sz w:val="1"/>
                <w:szCs w:val="1"/>
                <w:color w:val="auto"/>
              </w:rPr>
            </w:pPr>
          </w:p>
        </w:tc>
      </w:tr>
      <w:tr>
        <w:trPr>
          <w:trHeight w:val="78"/>
        </w:trPr>
        <w:tc>
          <w:tcPr>
            <w:tcW w:w="4080" w:type="dxa"/>
            <w:vAlign w:val="bottom"/>
            <w:tcBorders>
              <w:left w:val="single" w:sz="8" w:color="auto"/>
              <w:bottom w:val="single" w:sz="8" w:color="auto"/>
              <w:right w:val="single" w:sz="8" w:color="auto"/>
            </w:tcBorders>
          </w:tcPr>
          <w:p>
            <w:pPr>
              <w:spacing w:after="0"/>
              <w:rPr>
                <w:sz w:val="6"/>
                <w:szCs w:val="6"/>
                <w:color w:val="auto"/>
              </w:rPr>
            </w:pPr>
          </w:p>
        </w:tc>
        <w:tc>
          <w:tcPr>
            <w:tcW w:w="71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4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Structural Funding Cost</w:t>
            </w:r>
          </w:p>
        </w:tc>
        <w:tc>
          <w:tcPr>
            <w:tcW w:w="7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Funding Cost deducting the impact in expenses and funding related to GP Loans and deducting</w:t>
            </w:r>
          </w:p>
        </w:tc>
        <w:tc>
          <w:tcPr>
            <w:tcW w:w="0" w:type="dxa"/>
            <w:vAlign w:val="bottom"/>
          </w:tcPr>
          <w:p>
            <w:pPr>
              <w:spacing w:after="0"/>
              <w:rPr>
                <w:sz w:val="1"/>
                <w:szCs w:val="1"/>
                <w:color w:val="auto"/>
              </w:rPr>
            </w:pPr>
          </w:p>
        </w:tc>
      </w:tr>
      <w:tr>
        <w:trPr>
          <w:trHeight w:val="125"/>
        </w:trPr>
        <w:tc>
          <w:tcPr>
            <w:tcW w:w="408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Non-recurring Events from Interest Expenses</w:t>
            </w:r>
          </w:p>
        </w:tc>
        <w:tc>
          <w:tcPr>
            <w:tcW w:w="0" w:type="dxa"/>
            <w:vAlign w:val="bottom"/>
          </w:tcPr>
          <w:p>
            <w:pPr>
              <w:spacing w:after="0"/>
              <w:rPr>
                <w:sz w:val="1"/>
                <w:szCs w:val="1"/>
                <w:color w:val="auto"/>
              </w:rPr>
            </w:pPr>
          </w:p>
        </w:tc>
      </w:tr>
      <w:tr>
        <w:trPr>
          <w:trHeight w:val="78"/>
        </w:trPr>
        <w:tc>
          <w:tcPr>
            <w:tcW w:w="4080" w:type="dxa"/>
            <w:vAlign w:val="bottom"/>
            <w:tcBorders>
              <w:left w:val="single" w:sz="8" w:color="auto"/>
              <w:bottom w:val="single" w:sz="8" w:color="auto"/>
              <w:right w:val="single" w:sz="8" w:color="auto"/>
            </w:tcBorders>
          </w:tcPr>
          <w:p>
            <w:pPr>
              <w:spacing w:after="0"/>
              <w:rPr>
                <w:sz w:val="6"/>
                <w:szCs w:val="6"/>
                <w:color w:val="auto"/>
              </w:rPr>
            </w:pPr>
          </w:p>
        </w:tc>
        <w:tc>
          <w:tcPr>
            <w:tcW w:w="71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6"/>
        </w:trPr>
        <w:tc>
          <w:tcPr>
            <w:tcW w:w="4080" w:type="dxa"/>
            <w:vAlign w:val="bottom"/>
          </w:tcPr>
          <w:p>
            <w:pPr>
              <w:spacing w:after="0"/>
              <w:rPr>
                <w:sz w:val="24"/>
                <w:szCs w:val="24"/>
                <w:color w:val="auto"/>
              </w:rPr>
            </w:pPr>
          </w:p>
        </w:tc>
        <w:tc>
          <w:tcPr>
            <w:tcW w:w="7180" w:type="dxa"/>
            <w:vAlign w:val="bottom"/>
          </w:tcPr>
          <w:p>
            <w:pPr>
              <w:ind w:left="7040"/>
              <w:spacing w:after="0"/>
              <w:rPr>
                <w:sz w:val="20"/>
                <w:szCs w:val="20"/>
                <w:color w:val="auto"/>
              </w:rPr>
            </w:pPr>
            <w:r>
              <w:rPr>
                <w:rFonts w:ascii="Times New Roman" w:cs="Times New Roman" w:eastAsia="Times New Roman" w:hAnsi="Times New Roman"/>
                <w:sz w:val="13"/>
                <w:szCs w:val="13"/>
                <w:color w:val="auto"/>
                <w:w w:val="76"/>
              </w:rPr>
              <w:t>70</w:t>
            </w:r>
          </w:p>
        </w:tc>
        <w:tc>
          <w:tcPr>
            <w:tcW w:w="0" w:type="dxa"/>
            <w:vAlign w:val="bottom"/>
          </w:tcPr>
          <w:p>
            <w:pPr>
              <w:spacing w:after="0"/>
              <w:rPr>
                <w:sz w:val="1"/>
                <w:szCs w:val="1"/>
                <w:color w:val="auto"/>
              </w:rPr>
            </w:pPr>
          </w:p>
        </w:tc>
      </w:tr>
      <w:tr>
        <w:trPr>
          <w:trHeight w:val="88"/>
        </w:trPr>
        <w:tc>
          <w:tcPr>
            <w:tcW w:w="408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3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lvl w:ilvl="1">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2022-08-13T13:05:19Z</dcterms:created>
  <dcterms:modified xsi:type="dcterms:W3CDTF">2022-08-13T13:05:19Z</dcterms:modified>
</cp:coreProperties>
</file>