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123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123940"/>
                    </a:xfrm>
                    <a:prstGeom prst="rect">
                      <a:avLst/>
                    </a:prstGeom>
                    <a:noFill/>
                  </pic:spPr>
                </pic:pic>
              </a:graphicData>
            </a:graphic>
          </wp:anchor>
        </w:drawing>
      </w:r>
    </w:p>
    <w:p>
      <w:pPr>
        <w:sectPr>
          <w:pgSz w:w="11900" w:h="16838" w:orient="portrait"/>
          <w:cols w:equalWidth="0" w:num="1">
            <w:col w:w="10940"/>
          </w:cols>
          <w:pgMar w:left="480" w:top="230" w:right="479" w:bottom="55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Romero Belismelis Luis</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Borders>
              <w:top w:val="single" w:sz="8" w:color="0000EE"/>
              <w:bottom w:val="single" w:sz="8" w:color="0000EE"/>
            </w:tcBorders>
          </w:tcPr>
          <w:p>
            <w:pPr>
              <w:spacing w:after="0" w:line="250" w:lineRule="exact"/>
              <w:rPr>
                <w:rFonts w:ascii="Times New Roman" w:cs="Times New Roman" w:eastAsia="Times New Roman" w:hAnsi="Times New Roman"/>
                <w:sz w:val="24"/>
                <w:szCs w:val="24"/>
                <w:color w:val="0000EE"/>
                <w:w w:val="97"/>
              </w:rPr>
            </w:pPr>
            <w:hyperlink r:id="rId10">
              <w:r>
                <w:rPr>
                  <w:rFonts w:ascii="Times New Roman" w:cs="Times New Roman" w:eastAsia="Times New Roman" w:hAnsi="Times New Roman"/>
                  <w:sz w:val="24"/>
                  <w:szCs w:val="24"/>
                  <w:color w:val="0000EE"/>
                  <w:w w:val="97"/>
                </w:rPr>
                <w:t>Enrique</w:t>
              </w:r>
            </w:hyperlink>
          </w:p>
        </w:tc>
        <w:tc>
          <w:tcPr>
            <w:tcW w:w="1560" w:type="dxa"/>
            <w:vAlign w:val="bottom"/>
            <w:tcBorders>
              <w:top w:val="single" w:sz="8" w:color="0000EE"/>
            </w:tcBorders>
          </w:tcPr>
          <w:p>
            <w:pPr>
              <w:spacing w:after="0"/>
              <w:rPr>
                <w:sz w:val="21"/>
                <w:szCs w:val="21"/>
                <w:color w:val="auto"/>
              </w:rPr>
            </w:pPr>
          </w:p>
        </w:tc>
        <w:tc>
          <w:tcPr>
            <w:tcW w:w="70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CREDICORP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BAP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55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CALLE CENTENARIO 156</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LA MOLINA</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65"/>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LIMA</w:t>
            </w:r>
          </w:p>
        </w:tc>
        <w:tc>
          <w:tcPr>
            <w:tcW w:w="88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R5</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15026</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0"/>
          <w:szCs w:val="20"/>
          <w:color w:val="auto"/>
        </w:rPr>
      </w:pPr>
    </w:p>
    <w:p>
      <w:pPr>
        <w:ind w:left="463"/>
        <w:spacing w:after="0"/>
        <w:rPr>
          <w:sz w:val="20"/>
          <w:szCs w:val="20"/>
          <w:color w:val="auto"/>
        </w:rPr>
      </w:pPr>
      <w:r>
        <w:rPr>
          <w:rFonts w:ascii="Times New Roman" w:cs="Times New Roman" w:eastAsia="Times New Roman" w:hAnsi="Times New Roman"/>
          <w:sz w:val="20"/>
          <w:szCs w:val="20"/>
          <w:color w:val="0000FF"/>
        </w:rPr>
        <w:t>EXECUTIVE CHAIRMAN</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8" w:lineRule="exact"/>
        <w:rPr>
          <w:sz w:val="20"/>
          <w:szCs w:val="20"/>
          <w:color w:val="auto"/>
        </w:rPr>
      </w:pPr>
    </w:p>
    <w:p>
      <w:pPr>
        <w:sectPr>
          <w:pgSz w:w="11900" w:h="16838" w:orient="portrait"/>
          <w:cols w:equalWidth="0" w:num="3">
            <w:col w:w="4277" w:space="720"/>
            <w:col w:w="3003" w:space="269"/>
            <w:col w:w="2671"/>
          </w:cols>
          <w:pgMar w:left="480" w:top="230" w:right="479" w:bottom="55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jc w:val="center"/>
              <w:ind w:right="52"/>
              <w:spacing w:after="0"/>
              <w:rPr>
                <w:sz w:val="20"/>
                <w:szCs w:val="20"/>
                <w:color w:val="auto"/>
              </w:rPr>
            </w:pPr>
            <w:r>
              <w:rPr>
                <w:rFonts w:ascii="Times New Roman" w:cs="Times New Roman" w:eastAsia="Times New Roman" w:hAnsi="Times New Roman"/>
                <w:sz w:val="20"/>
                <w:szCs w:val="20"/>
                <w:color w:val="0000FF"/>
                <w:w w:val="94"/>
              </w:rPr>
              <w:t>19,854</w:t>
            </w:r>
          </w:p>
        </w:tc>
        <w:tc>
          <w:tcPr>
            <w:tcW w:w="7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jc w:val="center"/>
              <w:ind w:right="32"/>
              <w:spacing w:after="0"/>
              <w:rPr>
                <w:sz w:val="20"/>
                <w:szCs w:val="20"/>
                <w:color w:val="auto"/>
              </w:rPr>
            </w:pPr>
            <w:r>
              <w:rPr>
                <w:rFonts w:ascii="Times New Roman" w:cs="Times New Roman" w:eastAsia="Times New Roman" w:hAnsi="Times New Roman"/>
                <w:sz w:val="20"/>
                <w:szCs w:val="20"/>
                <w:color w:val="0000FF"/>
                <w:w w:val="97"/>
              </w:rPr>
              <w:t>2,943,868</w:t>
            </w:r>
          </w:p>
        </w:tc>
        <w:tc>
          <w:tcPr>
            <w:tcW w:w="780" w:type="dxa"/>
            <w:vAlign w:val="bottom"/>
            <w:gridSpan w:val="2"/>
            <w:vMerge w:val="restart"/>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THROUGH HIGH INTER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rPr>
              <w:t>PROJECTS, CORP.</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jc w:val="center"/>
              <w:ind w:right="52"/>
              <w:spacing w:after="0"/>
              <w:rPr>
                <w:sz w:val="20"/>
                <w:szCs w:val="20"/>
                <w:color w:val="auto"/>
              </w:rPr>
            </w:pPr>
            <w:r>
              <w:rPr>
                <w:rFonts w:ascii="Times New Roman" w:cs="Times New Roman" w:eastAsia="Times New Roman" w:hAnsi="Times New Roman"/>
                <w:sz w:val="20"/>
                <w:szCs w:val="20"/>
                <w:color w:val="0000FF"/>
                <w:w w:val="98"/>
              </w:rPr>
              <w:t>158,000</w:t>
            </w:r>
          </w:p>
        </w:tc>
        <w:tc>
          <w:tcPr>
            <w:tcW w:w="780" w:type="dxa"/>
            <w:vAlign w:val="bottom"/>
            <w:gridSpan w:val="2"/>
            <w:vMerge w:val="restart"/>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THROUGH INVERSIONES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rPr>
              <w:t>PIURANAS S.A.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jc w:val="center"/>
              <w:ind w:right="32"/>
              <w:spacing w:after="0"/>
              <w:rPr>
                <w:sz w:val="20"/>
                <w:szCs w:val="20"/>
                <w:color w:val="auto"/>
              </w:rPr>
            </w:pPr>
            <w:r>
              <w:rPr>
                <w:rFonts w:ascii="Times New Roman" w:cs="Times New Roman" w:eastAsia="Times New Roman" w:hAnsi="Times New Roman"/>
                <w:sz w:val="20"/>
                <w:szCs w:val="20"/>
                <w:color w:val="0000FF"/>
                <w:w w:val="97"/>
              </w:rPr>
              <w:t>5,547,276</w:t>
            </w:r>
          </w:p>
        </w:tc>
        <w:tc>
          <w:tcPr>
            <w:tcW w:w="780" w:type="dxa"/>
            <w:vAlign w:val="bottom"/>
            <w:gridSpan w:val="2"/>
            <w:vMerge w:val="restart"/>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THROUGH RITTENHOUSE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w w:val="97"/>
              </w:rPr>
              <w:t>CAPITAL LTD.</w:t>
            </w: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jc w:val="center"/>
              <w:ind w:right="52"/>
              <w:spacing w:after="0"/>
              <w:rPr>
                <w:sz w:val="20"/>
                <w:szCs w:val="20"/>
                <w:color w:val="auto"/>
              </w:rPr>
            </w:pPr>
            <w:r>
              <w:rPr>
                <w:rFonts w:ascii="Times New Roman" w:cs="Times New Roman" w:eastAsia="Times New Roman" w:hAnsi="Times New Roman"/>
                <w:sz w:val="20"/>
                <w:szCs w:val="20"/>
                <w:color w:val="0000FF"/>
                <w:w w:val="98"/>
              </w:rPr>
              <w:t>693,073</w:t>
            </w:r>
          </w:p>
        </w:tc>
        <w:tc>
          <w:tcPr>
            <w:tcW w:w="78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THROUGH MARAY S.A.</w:t>
            </w: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3"/>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4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40" w:right="80"/>
        <w:spacing w:after="0" w:line="244" w:lineRule="auto"/>
        <w:rPr>
          <w:sz w:val="20"/>
          <w:szCs w:val="20"/>
          <w:color w:val="auto"/>
        </w:rPr>
      </w:pPr>
      <w:r>
        <w:rPr>
          <w:rFonts w:ascii="Times New Roman" w:cs="Times New Roman" w:eastAsia="Times New Roman" w:hAnsi="Times New Roman"/>
          <w:sz w:val="15"/>
          <w:szCs w:val="15"/>
          <w:color w:val="008000"/>
        </w:rPr>
        <w:t>All indirect holdings indicate Common Shares of the Issuer that are beneficially owned by High Inter Projects, Corp., Inversiones Piuranas S.A., Rittenhouse Capital Ltd., or Maray S.A., as applicable. Mr. Romero interest in these Common Shares as reported in this Form appears larger than his actual economic interest because the Common Shares are held through these entities, in which Mr. Romero holds only a minority ownership interest. This is an inadvertent late filing due to a delay in obtaining EDGAR access credentials.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LUIS ENRIQUE</w:t>
            </w:r>
          </w:p>
        </w:tc>
        <w:tc>
          <w:tcPr>
            <w:tcW w:w="84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04/06/2026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ROMERO BELISMELIS</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0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0"/>
                <w:szCs w:val="20"/>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5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6538" TargetMode="External"/><Relationship Id="rId11" Type="http://schemas.openxmlformats.org/officeDocument/2006/relationships/hyperlink" Target="http://www.sec.gov/cgi-bin/browse-edgar?action=getcompany&amp;CIK=00010012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2026-04-06T09:56:08Z</dcterms:created>
  <dcterms:modified xsi:type="dcterms:W3CDTF">2026-04-06T09:56:08Z</dcterms:modified>
</cp:coreProperties>
</file>