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7"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514" w:right="1440" w:bottom="144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persons making this filing are affiliated entities;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however, they disclaim membership in a group for all</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purposes other than making this joint filing.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spacing w:after="0" w:line="18"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5,225,230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5,225,230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5,225,230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14"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Limited</w:t>
      </w:r>
    </w:p>
    <w:p>
      <w:pPr>
        <w:spacing w:after="0" w:line="200" w:lineRule="exact"/>
        <w:rPr>
          <w:sz w:val="20"/>
          <w:szCs w:val="20"/>
          <w:color w:val="auto"/>
        </w:rPr>
      </w:pPr>
    </w:p>
    <w:p>
      <w:pPr>
        <w:spacing w:after="0" w:line="211"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514" w:right="1440" w:bottom="144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persons making this filing are affiliated entities;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however, they disclaim membership in a group for all</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purposes other than making this joint filing.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spacing w:after="0" w:line="18"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Kingdom</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110,480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110,480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110,480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540" w:hanging="427"/>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S.A.</w:t>
      </w:r>
    </w:p>
    <w:p>
      <w:pPr>
        <w:spacing w:after="0" w:line="200" w:lineRule="exact"/>
        <w:rPr>
          <w:sz w:val="20"/>
          <w:szCs w:val="20"/>
          <w:color w:val="auto"/>
        </w:rPr>
      </w:pPr>
    </w:p>
    <w:p>
      <w:pPr>
        <w:spacing w:after="0" w:line="211" w:lineRule="exact"/>
        <w:rPr>
          <w:sz w:val="20"/>
          <w:szCs w:val="20"/>
          <w:color w:val="auto"/>
        </w:rPr>
      </w:pPr>
    </w:p>
    <w:p>
      <w:pPr>
        <w:ind w:left="540" w:hanging="427"/>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persons making this filing are affiliated entities;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ectPr>
          <w:pgSz w:w="11900" w:h="16838" w:orient="portrait"/>
          <w:cols w:equalWidth="0" w:num="2">
            <w:col w:w="6340" w:space="720"/>
            <w:col w:w="3159"/>
          </w:cols>
          <w:pgMar w:left="240" w:top="919"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however, they disclaim membership in a group for all</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purposes other than making this joint filing.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3159"/>
          </w:cols>
          <w:pgMar w:left="240" w:top="919" w:right="1440" w:bottom="1440" w:gutter="0" w:footer="0" w:header="0"/>
          <w:type w:val="continuous"/>
        </w:sectPr>
      </w:pPr>
    </w:p>
    <w:p>
      <w:pPr>
        <w:spacing w:after="0" w:line="18" w:lineRule="exact"/>
        <w:rPr>
          <w:sz w:val="20"/>
          <w:szCs w:val="20"/>
          <w:color w:val="auto"/>
        </w:rPr>
      </w:pPr>
    </w:p>
    <w:p>
      <w:pPr>
        <w:ind w:left="540" w:hanging="427"/>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Geneva, Switzerland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94,900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94,900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039" w:hanging="427"/>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94,900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HM11, BERMUDA</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939"/>
        <w:spacing w:after="0" w:line="235" w:lineRule="auto"/>
        <w:rPr>
          <w:sz w:val="20"/>
          <w:szCs w:val="20"/>
          <w:color w:val="auto"/>
        </w:rPr>
      </w:pPr>
      <w:r>
        <w:rPr>
          <w:rFonts w:ascii="Courier New" w:cs="Courier New" w:eastAsia="Courier New" w:hAnsi="Courier New"/>
          <w:sz w:val="18"/>
          <w:szCs w:val="18"/>
          <w:color w:val="auto"/>
        </w:rPr>
        <w:t>Capital International, Inc., Capital International Limited and Capital International S.A.</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839" w:hanging="535"/>
        <w:spacing w:after="0" w:line="235" w:lineRule="auto"/>
        <w:tabs>
          <w:tab w:leader="none" w:pos="149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739"/>
        <w:spacing w:after="0" w:line="236" w:lineRule="auto"/>
        <w:rPr>
          <w:sz w:val="20"/>
          <w:szCs w:val="20"/>
          <w:color w:val="auto"/>
        </w:rPr>
      </w:pPr>
      <w:r>
        <w:rPr>
          <w:rFonts w:ascii="Courier New" w:cs="Courier New" w:eastAsia="Courier New" w:hAnsi="Courier New"/>
          <w:sz w:val="18"/>
          <w:szCs w:val="18"/>
          <w:color w:val="auto"/>
        </w:rPr>
        <w:t>The persons making this filing are affiliated entities; however, they disclaim membership in a group for all purposes other than making this joint filing.</w:t>
      </w:r>
    </w:p>
    <w:p>
      <w:pPr>
        <w:spacing w:after="0" w:line="209"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5,225,230 shares or 6.1% of the 85,728,000 shares of Common Stock believed to be outstanding as a result of acting as investment adviser to various investment companies and institutional accounts.</w:t>
      </w:r>
    </w:p>
    <w:p>
      <w:pPr>
        <w:spacing w:after="0" w:line="210" w:lineRule="exact"/>
        <w:rPr>
          <w:sz w:val="20"/>
          <w:szCs w:val="20"/>
          <w:color w:val="auto"/>
        </w:rPr>
      </w:pPr>
    </w:p>
    <w:p>
      <w:pPr>
        <w:ind w:left="740" w:right="3159"/>
        <w:spacing w:after="0" w:line="237" w:lineRule="auto"/>
        <w:rPr>
          <w:sz w:val="20"/>
          <w:szCs w:val="20"/>
          <w:color w:val="auto"/>
        </w:rPr>
      </w:pPr>
      <w:r>
        <w:rPr>
          <w:rFonts w:ascii="Courier New" w:cs="Courier New" w:eastAsia="Courier New" w:hAnsi="Courier New"/>
          <w:sz w:val="18"/>
          <w:szCs w:val="18"/>
          <w:color w:val="auto"/>
        </w:rPr>
        <w:t>Capital International Limited is deemed to be the beneficial owner of 110,480 shares or 0.1% of the 85,728,000 shares of Common Stock believed to be outstanding as a result of its serving as the investment manager of various institutional accounts.</w:t>
      </w:r>
    </w:p>
    <w:p>
      <w:pPr>
        <w:spacing w:after="0" w:line="209"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International S.A. is deemed to be the beneficial owner of 94,900 shares or 0.1% of the 85,728,000 shares of Common Stock believed to be outstanding as a result of its serving as the investment manager of various institutional accounts.</w:t>
      </w:r>
    </w:p>
    <w:p>
      <w:pPr>
        <w:sectPr>
          <w:pgSz w:w="11900" w:h="16838" w:orient="portrait"/>
          <w:cols w:equalWidth="0" w:num="1">
            <w:col w:w="10219"/>
          </w:cols>
          <w:pgMar w:left="240" w:top="717" w:right="1440" w:bottom="144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1122" w:right="1440" w:bottom="1440" w:gutter="0" w:footer="0" w:header="0"/>
        </w:sectPr>
      </w:pPr>
    </w:p>
    <w:bookmarkStart w:id="10" w:name="page11"/>
    <w:bookmarkEnd w:id="10"/>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7,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400" w:space="720"/>
            <w:col w:w="7779"/>
          </w:cols>
          <w:pgMar w:left="560" w:top="919"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7"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Name/Title:</w:t>
      </w:r>
      <w:r>
        <w:rPr>
          <w:sz w:val="20"/>
          <w:szCs w:val="20"/>
          <w:color w:val="auto"/>
        </w:rPr>
        <w:tab/>
      </w:r>
      <w:r>
        <w:rPr>
          <w:rFonts w:ascii="Courier New" w:cs="Courier New" w:eastAsia="Courier New" w:hAnsi="Courier New"/>
          <w:sz w:val="16"/>
          <w:szCs w:val="16"/>
          <w:color w:val="auto"/>
        </w:rPr>
        <w:t>David I. Fisher, Vice Chairman</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Inc.</w:t>
      </w:r>
    </w:p>
    <w:p>
      <w:pPr>
        <w:sectPr>
          <w:pgSz w:w="11900" w:h="16838" w:orient="portrait"/>
          <w:cols w:equalWidth="0" w:num="1">
            <w:col w:w="9899"/>
          </w:cols>
          <w:pgMar w:left="560" w:top="919"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7,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400" w:space="720"/>
            <w:col w:w="7779"/>
          </w:cols>
          <w:pgMar w:left="560" w:top="919"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7"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Name/Title:</w:t>
      </w:r>
      <w:r>
        <w:rPr>
          <w:sz w:val="20"/>
          <w:szCs w:val="20"/>
          <w:color w:val="auto"/>
        </w:rPr>
        <w:tab/>
      </w:r>
      <w:r>
        <w:rPr>
          <w:rFonts w:ascii="Courier New" w:cs="Courier New" w:eastAsia="Courier New" w:hAnsi="Courier New"/>
          <w:sz w:val="16"/>
          <w:szCs w:val="16"/>
          <w:color w:val="auto"/>
        </w:rPr>
        <w:t>David I. Fisher, Vice Chairman</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Limited</w:t>
      </w:r>
    </w:p>
    <w:p>
      <w:pPr>
        <w:sectPr>
          <w:pgSz w:w="11900" w:h="16838" w:orient="portrait"/>
          <w:cols w:equalWidth="0" w:num="1">
            <w:col w:w="9899"/>
          </w:cols>
          <w:pgMar w:left="560" w:top="919"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7,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400" w:space="720"/>
            <w:col w:w="7779"/>
          </w:cols>
          <w:pgMar w:left="560" w:top="919"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President du Conseil</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Michael J. Downer</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939"/>
        <w:spacing w:after="0" w:line="237" w:lineRule="auto"/>
        <w:rPr>
          <w:sz w:val="20"/>
          <w:szCs w:val="20"/>
          <w:color w:val="auto"/>
        </w:rPr>
      </w:pPr>
      <w:r>
        <w:rPr>
          <w:rFonts w:ascii="Courier New" w:cs="Courier New" w:eastAsia="Courier New" w:hAnsi="Courier New"/>
          <w:sz w:val="18"/>
          <w:szCs w:val="18"/>
          <w:color w:val="auto"/>
        </w:rPr>
        <w:t>Signed pursuant to a Power of Attorney dated June 16, 1998 included as an Exhibit to Schedule 13G filed with the Securities and Exchange Commission by Capital Guardian Trust Company on July 9, 1998 with respect to Acclaim Entertainment, Inc.</w:t>
      </w:r>
    </w:p>
    <w:p>
      <w:pPr>
        <w:sectPr>
          <w:pgSz w:w="11900" w:h="16838" w:orient="portrait"/>
          <w:cols w:equalWidth="0" w:num="1">
            <w:col w:w="9899"/>
          </w:cols>
          <w:pgMar w:left="560" w:top="919" w:right="1440" w:bottom="1440" w:gutter="0" w:footer="0" w:header="0"/>
          <w:type w:val="continuous"/>
        </w:sectPr>
      </w:pPr>
    </w:p>
    <w:bookmarkStart w:id="12" w:name="page13"/>
    <w:bookmarkEnd w:id="1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3160"/>
        <w:spacing w:after="0" w:line="238" w:lineRule="auto"/>
        <w:rPr>
          <w:sz w:val="20"/>
          <w:szCs w:val="20"/>
          <w:color w:val="auto"/>
        </w:rPr>
      </w:pPr>
      <w:r>
        <w:rPr>
          <w:rFonts w:ascii="Courier New" w:cs="Courier New" w:eastAsia="Courier New" w:hAnsi="Courier New"/>
          <w:sz w:val="18"/>
          <w:szCs w:val="18"/>
          <w:color w:val="auto"/>
        </w:rPr>
        <w:t>July 7, 1998</w:t>
      </w:r>
    </w:p>
    <w:p>
      <w:pPr>
        <w:spacing w:after="0" w:line="207" w:lineRule="exact"/>
        <w:rPr>
          <w:sz w:val="20"/>
          <w:szCs w:val="20"/>
          <w:color w:val="auto"/>
        </w:rPr>
      </w:pPr>
    </w:p>
    <w:p>
      <w:pPr>
        <w:ind w:right="3039" w:firstLine="211"/>
        <w:spacing w:after="0" w:line="268" w:lineRule="auto"/>
        <w:rPr>
          <w:sz w:val="20"/>
          <w:szCs w:val="20"/>
          <w:color w:val="auto"/>
        </w:rPr>
      </w:pPr>
      <w:r>
        <w:rPr>
          <w:rFonts w:ascii="Courier New" w:cs="Courier New" w:eastAsia="Courier New" w:hAnsi="Courier New"/>
          <w:sz w:val="16"/>
          <w:szCs w:val="16"/>
          <w:color w:val="auto"/>
        </w:rPr>
        <w:t>Capital International, Inc. ("CII"), Capital International Limited ("CIL"), Capital International S.A. ("CISA") hereby agree to file a joint statement on Schedule 13G under the Securities Exchange Act of</w:t>
      </w:r>
    </w:p>
    <w:p>
      <w:pPr>
        <w:spacing w:after="0" w:line="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1934 (the "Act") in connection with their beneficial ownership of Common Stock issued by Credicorp Ltd.</w:t>
      </w:r>
    </w:p>
    <w:p>
      <w:pPr>
        <w:spacing w:after="0" w:line="208"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CII, CIL, CISA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CII, CIL, CISA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LIMITED</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Limited</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S.A.</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President du</w:t>
      </w:r>
    </w:p>
    <w:p>
      <w:pPr>
        <w:ind w:left="3700"/>
        <w:spacing w:after="0" w:line="238" w:lineRule="auto"/>
        <w:rPr>
          <w:sz w:val="20"/>
          <w:szCs w:val="20"/>
          <w:color w:val="auto"/>
        </w:rPr>
      </w:pPr>
      <w:r>
        <w:rPr>
          <w:rFonts w:ascii="Courier New" w:cs="Courier New" w:eastAsia="Courier New" w:hAnsi="Courier New"/>
          <w:sz w:val="18"/>
          <w:szCs w:val="18"/>
          <w:color w:val="auto"/>
        </w:rPr>
        <w:t>Conseil</w:t>
      </w:r>
    </w:p>
    <w:p>
      <w:pPr>
        <w:ind w:left="3700"/>
        <w:spacing w:after="0"/>
        <w:rPr>
          <w:sz w:val="20"/>
          <w:szCs w:val="20"/>
          <w:color w:val="auto"/>
        </w:rPr>
      </w:pPr>
      <w:r>
        <w:rPr>
          <w:rFonts w:ascii="Courier New" w:cs="Courier New" w:eastAsia="Courier New" w:hAnsi="Courier New"/>
          <w:sz w:val="18"/>
          <w:szCs w:val="18"/>
          <w:color w:val="auto"/>
        </w:rPr>
        <w:t>Capital International 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J. Downer</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619"/>
        <w:spacing w:after="0" w:line="237" w:lineRule="auto"/>
        <w:rPr>
          <w:sz w:val="20"/>
          <w:szCs w:val="20"/>
          <w:color w:val="auto"/>
        </w:rPr>
      </w:pPr>
      <w:r>
        <w:rPr>
          <w:rFonts w:ascii="Courier New" w:cs="Courier New" w:eastAsia="Courier New" w:hAnsi="Courier New"/>
          <w:sz w:val="18"/>
          <w:szCs w:val="18"/>
          <w:color w:val="auto"/>
        </w:rPr>
        <w:t>Signed pursuant to a Power of Attorney dated June 16, 1998 included as an Exhibit to Schedule 13G filed with the Securities and Exchange Commission by Capital Guardian Trust Company on July 9, 1998 with respect to Acclaim Entertainment,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bullet"/>
      <w:start w:val="1"/>
    </w:lvl>
  </w:abstractNum>
  <w:abstractNum w:abstractNumId="1">
    <w:nsid w:val="109CF92E"/>
    <w:multiLevelType w:val="hybridMultilevel"/>
    <w:lvl w:ilvl="0">
      <w:lvlJc w:val="left"/>
      <w:lvlText w:val="2"/>
      <w:numFmt w:val="bullet"/>
      <w:start w:val="1"/>
    </w:lvl>
  </w:abstractNum>
  <w:abstractNum w:abstractNumId="2">
    <w:nsid w:val="DED7263"/>
    <w:multiLevelType w:val="hybridMultilevel"/>
    <w:lvl w:ilvl="0">
      <w:lvlJc w:val="left"/>
      <w:lvlText w:val="3"/>
      <w:numFmt w:val="bullet"/>
      <w:start w:val="1"/>
    </w:lvl>
  </w:abstractNum>
  <w:abstractNum w:abstractNumId="3">
    <w:nsid w:val="7FDCC233"/>
    <w:multiLevelType w:val="hybridMultilevel"/>
    <w:lvl w:ilvl="0">
      <w:lvlJc w:val="left"/>
      <w:lvlText w:val="4"/>
      <w:numFmt w:val="bullet"/>
      <w:start w:val="1"/>
    </w:lvl>
  </w:abstractNum>
  <w:abstractNum w:abstractNumId="4">
    <w:nsid w:val="1BEFD79F"/>
    <w:multiLevelType w:val="hybridMultilevel"/>
    <w:lvl w:ilvl="0">
      <w:lvlJc w:val="left"/>
      <w:lvlText w:val="5"/>
      <w:numFmt w:val="bullet"/>
      <w:start w:val="1"/>
    </w:lvl>
  </w:abstractNum>
  <w:abstractNum w:abstractNumId="5">
    <w:nsid w:val="41A7C4C9"/>
    <w:multiLevelType w:val="hybridMultilevel"/>
    <w:lvl w:ilvl="0">
      <w:lvlJc w:val="left"/>
      <w:lvlText w:val="8"/>
      <w:numFmt w:val="bullet"/>
      <w:start w:val="1"/>
    </w:lvl>
  </w:abstractNum>
  <w:abstractNum w:abstractNumId="6">
    <w:nsid w:val="6B68079A"/>
    <w:multiLevelType w:val="hybridMultilevel"/>
    <w:lvl w:ilvl="0">
      <w:lvlJc w:val="left"/>
      <w:lvlText w:val="9"/>
      <w:numFmt w:val="bullet"/>
      <w:start w:val="1"/>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2"/>
      <w:numFmt w:val="bullet"/>
      <w:start w:val="1"/>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5"/>
      <w:numFmt w:val="bullet"/>
      <w:start w:val="1"/>
    </w:lvl>
  </w:abstractNum>
  <w:abstractNum w:abstractNumId="13">
    <w:nsid w:val="257130A3"/>
    <w:multiLevelType w:val="hybridMultilevel"/>
    <w:lvl w:ilvl="0">
      <w:lvlJc w:val="left"/>
      <w:lvlText w:val="8"/>
      <w:numFmt w:val="bullet"/>
      <w:start w:val="1"/>
    </w:lvl>
  </w:abstractNum>
  <w:abstractNum w:abstractNumId="14">
    <w:nsid w:val="62BBD95A"/>
    <w:multiLevelType w:val="hybridMultilevel"/>
    <w:lvl w:ilvl="0">
      <w:lvlJc w:val="left"/>
      <w:lvlText w:val="9"/>
      <w:numFmt w:val="bullet"/>
      <w:start w:val="1"/>
    </w:lvl>
  </w:abstractNum>
  <w:abstractNum w:abstractNumId="15">
    <w:nsid w:val="436C6125"/>
    <w:multiLevelType w:val="hybridMultilevel"/>
    <w:lvl w:ilvl="0">
      <w:lvlJc w:val="left"/>
      <w:lvlText w:val="%1"/>
      <w:numFmt w:val="decimal"/>
      <w:start w:val="10"/>
    </w:lvl>
    <w:lvl w:ilvl="1">
      <w:lvlJc w:val="left"/>
      <w:lvlText w:val="*"/>
      <w:numFmt w:val="bullet"/>
      <w:start w:val="1"/>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2"/>
      <w:numFmt w:val="bullet"/>
      <w:start w:val="1"/>
    </w:lvl>
  </w:abstractNum>
  <w:abstractNum w:abstractNumId="18">
    <w:nsid w:val="721DA317"/>
    <w:multiLevelType w:val="hybridMultilevel"/>
    <w:lvl w:ilvl="0">
      <w:lvlJc w:val="left"/>
      <w:lvlText w:val="3"/>
      <w:numFmt w:val="bullet"/>
      <w:start w:val="1"/>
    </w:lvl>
  </w:abstractNum>
  <w:abstractNum w:abstractNumId="19">
    <w:nsid w:val="2443A858"/>
    <w:multiLevelType w:val="hybridMultilevel"/>
    <w:lvl w:ilvl="0">
      <w:lvlJc w:val="left"/>
      <w:lvlText w:val="4"/>
      <w:numFmt w:val="bullet"/>
      <w:start w:val="1"/>
    </w:lvl>
  </w:abstractNum>
  <w:abstractNum w:abstractNumId="20">
    <w:nsid w:val="2D1D5AE9"/>
    <w:multiLevelType w:val="hybridMultilevel"/>
    <w:lvl w:ilvl="0">
      <w:lvlJc w:val="left"/>
      <w:lvlText w:val="5"/>
      <w:numFmt w:val="bullet"/>
      <w:start w:val="1"/>
    </w:lvl>
  </w:abstractNum>
  <w:abstractNum w:abstractNumId="21">
    <w:nsid w:val="6763845E"/>
    <w:multiLevelType w:val="hybridMultilevel"/>
    <w:lvl w:ilvl="0">
      <w:lvlJc w:val="left"/>
      <w:lvlText w:val="8"/>
      <w:numFmt w:val="bullet"/>
      <w:start w:val="1"/>
    </w:lvl>
  </w:abstractNum>
  <w:abstractNum w:abstractNumId="22">
    <w:nsid w:val="75A2A8D4"/>
    <w:multiLevelType w:val="hybridMultilevel"/>
    <w:lvl w:ilvl="0">
      <w:lvlJc w:val="left"/>
      <w:lvlText w:val="9"/>
      <w:numFmt w:val="bullet"/>
      <w:start w:val="1"/>
    </w:lvl>
  </w:abstractNum>
  <w:abstractNum w:abstractNumId="23">
    <w:nsid w:val="8EDBDAB"/>
    <w:multiLevelType w:val="hybridMultilevel"/>
    <w:lvl w:ilvl="0">
      <w:lvlJc w:val="left"/>
      <w:lvlText w:val="%1"/>
      <w:numFmt w:val="decimal"/>
      <w:start w:val="10"/>
    </w:lvl>
    <w:lvl w:ilvl="1">
      <w:lvlJc w:val="left"/>
      <w:lvlText w:val="*"/>
      <w:numFmt w:val="bullet"/>
      <w:start w:val="1"/>
    </w:lvl>
  </w:abstractNum>
  <w:abstractNum w:abstractNumId="24">
    <w:nsid w:val="79838CB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2019-12-14T06:50:30Z</dcterms:created>
  <dcterms:modified xsi:type="dcterms:W3CDTF">2019-12-14T06:50:30Z</dcterms:modified>
</cp:coreProperties>
</file>