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brhc20051790_6k.htm"/>
      <w:bookmarkStart w:id="1" w:name="ksbrhc20051790_6k"/>
      <w:bookmarkStart w:id="2" w:name="brhc20051790_6k.htm"/>
      <w:bookmarkStart w:id="3" w:name="ksbrhc20051790_6k"/>
      <w:bookmarkEnd w:id="2"/>
      <w:bookmarkEnd w:id="3"/>
    </w:p>
    <w:p>
      <w:pPr>
        <w:pStyle w:val="TextBody"/>
        <w:spacing w:before="0" w:after="0"/>
        <w:jc w:val="center"/>
        <w:rPr>
          <w:b/>
          <w:color w:val="000000"/>
          <w:sz w:val="28"/>
        </w:rPr>
      </w:pPr>
      <w:r>
        <w:rPr>
          <w:b/>
          <w:color w:val="000000"/>
          <w:sz w:val="28"/>
        </w:rPr>
        <w:t>SECURITIES AND EXCHANGE COMMISSION</w:t>
      </w:r>
    </w:p>
    <w:p>
      <w:pPr>
        <w:pStyle w:val="TextBody"/>
        <w:spacing w:before="0" w:after="0"/>
        <w:jc w:val="center"/>
        <w:rPr>
          <w:b/>
          <w:color w:val="000000"/>
          <w:sz w:val="24"/>
        </w:rPr>
      </w:pPr>
      <w:r>
        <w:rPr>
          <w:b/>
          <w:color w:val="000000"/>
          <w:sz w:val="24"/>
        </w:rPr>
        <w:t>Washington, D.C. 20549</w:t>
      </w:r>
    </w:p>
    <w:p>
      <w:pPr>
        <w:pStyle w:val="TextBody"/>
        <w:spacing w:before="0" w:after="0"/>
        <w:jc w:val="center"/>
        <w:rPr>
          <w:sz w:val="20"/>
        </w:rPr>
      </w:pPr>
      <w:r>
        <w:rPr>
          <w:sz w:val="20"/>
        </w:rPr>
      </w:r>
    </w:p>
    <w:p>
      <w:pPr>
        <w:pStyle w:val="TextBody"/>
        <w:spacing w:before="0" w:after="0"/>
        <w:jc w:val="center"/>
        <w:rPr>
          <w:b/>
          <w:color w:val="000000"/>
          <w:sz w:val="36"/>
        </w:rPr>
      </w:pPr>
      <w:r>
        <w:rPr>
          <w:b/>
          <w:color w:val="000000"/>
          <w:sz w:val="36"/>
        </w:rPr>
        <w:t>FORM 6-K</w:t>
      </w:r>
    </w:p>
    <w:p>
      <w:pPr>
        <w:pStyle w:val="TextBody"/>
        <w:spacing w:before="0" w:after="0"/>
        <w:jc w:val="center"/>
        <w:rPr>
          <w:sz w:val="20"/>
        </w:rPr>
      </w:pPr>
      <w:r>
        <w:rPr>
          <w:sz w:val="20"/>
        </w:rPr>
      </w:r>
    </w:p>
    <w:p>
      <w:pPr>
        <w:pStyle w:val="TextBody"/>
        <w:spacing w:before="0" w:after="0"/>
        <w:jc w:val="center"/>
        <w:rPr>
          <w:color w:val="000000"/>
          <w:sz w:val="20"/>
        </w:rPr>
      </w:pPr>
      <w:r>
        <w:rPr>
          <w:color w:val="000000"/>
          <w:sz w:val="20"/>
        </w:rPr>
        <w:t>Report of Foreign Private Issuer</w:t>
      </w:r>
    </w:p>
    <w:p>
      <w:pPr>
        <w:pStyle w:val="TextBody"/>
        <w:spacing w:before="0" w:after="0"/>
        <w:jc w:val="center"/>
        <w:rPr>
          <w:color w:val="000000"/>
          <w:sz w:val="20"/>
        </w:rPr>
      </w:pPr>
      <w:r>
        <w:rPr>
          <w:color w:val="000000"/>
          <w:sz w:val="20"/>
        </w:rPr>
        <w:t>Pursuant to Rule 13a-16 or 15d-16 under the</w:t>
      </w:r>
    </w:p>
    <w:p>
      <w:pPr>
        <w:pStyle w:val="TextBody"/>
        <w:spacing w:before="0" w:after="0"/>
        <w:jc w:val="center"/>
        <w:rPr>
          <w:color w:val="000000"/>
          <w:sz w:val="20"/>
        </w:rPr>
      </w:pPr>
      <w:r>
        <w:rPr>
          <w:color w:val="000000"/>
          <w:sz w:val="20"/>
        </w:rPr>
        <w:t>Securities Exchange Act of 1934</w:t>
      </w:r>
    </w:p>
    <w:p>
      <w:pPr>
        <w:pStyle w:val="TextBody"/>
        <w:spacing w:before="0" w:after="0"/>
        <w:jc w:val="center"/>
        <w:rPr>
          <w:sz w:val="20"/>
        </w:rPr>
      </w:pPr>
      <w:r>
        <w:rPr>
          <w:sz w:val="20"/>
        </w:rPr>
      </w:r>
    </w:p>
    <w:p>
      <w:pPr>
        <w:pStyle w:val="TextBody"/>
        <w:spacing w:before="0" w:after="0"/>
        <w:jc w:val="center"/>
        <w:rPr>
          <w:b/>
          <w:color w:val="000000"/>
          <w:sz w:val="20"/>
        </w:rPr>
      </w:pPr>
      <w:r>
        <w:rPr>
          <w:b/>
          <w:color w:val="000000"/>
          <w:sz w:val="20"/>
        </w:rPr>
        <w:t>For the month of April 2023</w:t>
      </w:r>
    </w:p>
    <w:p>
      <w:pPr>
        <w:pStyle w:val="TextBody"/>
        <w:spacing w:before="0" w:after="0"/>
        <w:jc w:val="center"/>
        <w:rPr>
          <w:sz w:val="20"/>
        </w:rPr>
      </w:pPr>
      <w:r>
        <w:rPr>
          <w:sz w:val="20"/>
        </w:rPr>
      </w:r>
    </w:p>
    <w:p>
      <w:pPr>
        <w:pStyle w:val="TextBody"/>
        <w:spacing w:before="0" w:after="0"/>
        <w:jc w:val="center"/>
        <w:rPr>
          <w:color w:val="000000"/>
          <w:sz w:val="20"/>
        </w:rPr>
      </w:pPr>
      <w:r>
        <w:rPr>
          <w:color w:val="000000"/>
          <w:sz w:val="20"/>
        </w:rPr>
        <w:t>Commission File Number: 001-14014</w:t>
      </w:r>
    </w:p>
    <w:p>
      <w:pPr>
        <w:pStyle w:val="TextBody"/>
        <w:spacing w:before="0" w:after="0"/>
        <w:jc w:val="center"/>
        <w:rPr>
          <w:sz w:val="20"/>
        </w:rPr>
      </w:pPr>
      <w:r>
        <w:rPr>
          <w:sz w:val="20"/>
        </w:rPr>
      </w:r>
    </w:p>
    <w:p>
      <w:pPr>
        <w:pStyle w:val="TextBody"/>
        <w:spacing w:before="0" w:after="0"/>
        <w:jc w:val="center"/>
        <w:rPr>
          <w:b/>
          <w:color w:val="000000"/>
          <w:sz w:val="48"/>
        </w:rPr>
      </w:pPr>
      <w:r>
        <w:rPr>
          <w:b/>
          <w:color w:val="000000"/>
          <w:sz w:val="48"/>
        </w:rPr>
        <w:t>CREDICORP LTD.</w:t>
      </w:r>
    </w:p>
    <w:p>
      <w:pPr>
        <w:pStyle w:val="TextBody"/>
        <w:spacing w:before="0" w:after="0"/>
        <w:jc w:val="center"/>
        <w:rPr>
          <w:color w:val="000000"/>
          <w:sz w:val="20"/>
        </w:rPr>
      </w:pPr>
      <w:r>
        <w:rPr>
          <w:color w:val="000000"/>
          <w:sz w:val="20"/>
        </w:rPr>
        <w:t>(Translation of registrant’s name into English)</w:t>
      </w:r>
    </w:p>
    <w:p>
      <w:pPr>
        <w:pStyle w:val="TextBody"/>
        <w:spacing w:before="0" w:after="0"/>
        <w:jc w:val="center"/>
        <w:rPr>
          <w:sz w:val="20"/>
        </w:rPr>
      </w:pPr>
      <w:r>
        <w:rPr>
          <w:sz w:val="20"/>
        </w:rPr>
      </w:r>
    </w:p>
    <w:p>
      <w:pPr>
        <w:pStyle w:val="TextBody"/>
        <w:spacing w:before="0" w:after="0"/>
        <w:jc w:val="center"/>
        <w:rPr>
          <w:b/>
          <w:color w:val="000000"/>
          <w:sz w:val="20"/>
        </w:rPr>
      </w:pPr>
      <w:r>
        <w:rPr>
          <w:b/>
          <w:color w:val="000000"/>
          <w:sz w:val="20"/>
        </w:rPr>
        <w:t>Of our subsidiary</w:t>
      </w:r>
    </w:p>
    <w:p>
      <w:pPr>
        <w:pStyle w:val="TextBody"/>
        <w:spacing w:before="0" w:after="0"/>
        <w:jc w:val="center"/>
        <w:rPr>
          <w:b/>
          <w:color w:val="000000"/>
          <w:sz w:val="20"/>
        </w:rPr>
      </w:pPr>
      <w:r>
        <w:rPr>
          <w:b/>
          <w:color w:val="000000"/>
          <w:sz w:val="20"/>
        </w:rPr>
        <w:t>Banco de Credito del Peru:</w:t>
      </w:r>
    </w:p>
    <w:p>
      <w:pPr>
        <w:pStyle w:val="TextBody"/>
        <w:spacing w:before="0" w:after="0"/>
        <w:jc w:val="center"/>
        <w:rPr>
          <w:b/>
          <w:color w:val="000000"/>
          <w:sz w:val="20"/>
        </w:rPr>
      </w:pPr>
      <w:r>
        <w:rPr>
          <w:b/>
          <w:color w:val="000000"/>
          <w:sz w:val="20"/>
        </w:rPr>
        <w:t>Calle Centenario 156</w:t>
      </w:r>
    </w:p>
    <w:p>
      <w:pPr>
        <w:pStyle w:val="TextBody"/>
        <w:spacing w:before="0" w:after="0"/>
        <w:jc w:val="center"/>
        <w:rPr>
          <w:b/>
          <w:color w:val="000000"/>
          <w:sz w:val="20"/>
        </w:rPr>
      </w:pPr>
      <w:r>
        <w:rPr>
          <w:b/>
          <w:color w:val="000000"/>
          <w:sz w:val="20"/>
        </w:rPr>
        <w:t>La Molina</w:t>
      </w:r>
    </w:p>
    <w:p>
      <w:pPr>
        <w:pStyle w:val="TextBody"/>
        <w:spacing w:before="0" w:after="0"/>
        <w:jc w:val="center"/>
        <w:rPr>
          <w:b/>
          <w:color w:val="000000"/>
          <w:sz w:val="20"/>
        </w:rPr>
      </w:pPr>
      <w:r>
        <w:rPr>
          <w:b/>
          <w:color w:val="000000"/>
          <w:sz w:val="20"/>
        </w:rPr>
        <w:t>Lima 12, Peru</w:t>
      </w:r>
    </w:p>
    <w:p>
      <w:pPr>
        <w:pStyle w:val="TextBody"/>
        <w:spacing w:before="0" w:after="0"/>
        <w:jc w:val="center"/>
        <w:rPr>
          <w:color w:val="000000"/>
          <w:sz w:val="20"/>
        </w:rPr>
      </w:pPr>
      <w:r>
        <w:rPr>
          <w:color w:val="000000"/>
          <w:sz w:val="20"/>
        </w:rPr>
        <w:t>(Address of principal executive office)</w:t>
      </w:r>
    </w:p>
    <w:p>
      <w:pPr>
        <w:pStyle w:val="TextBody"/>
        <w:spacing w:before="0" w:after="0"/>
        <w:rPr>
          <w:sz w:val="20"/>
        </w:rPr>
      </w:pPr>
      <w:r>
        <w:rPr>
          <w:sz w:val="20"/>
        </w:rPr>
      </w:r>
    </w:p>
    <w:p>
      <w:pPr>
        <w:pStyle w:val="TextBody"/>
        <w:spacing w:before="0" w:after="0"/>
        <w:jc w:val="center"/>
        <w:rPr>
          <w:color w:val="000000"/>
          <w:sz w:val="20"/>
        </w:rPr>
      </w:pPr>
      <w:r>
        <w:rPr>
          <w:color w:val="000000"/>
          <w:sz w:val="20"/>
        </w:rPr>
        <w:t>Indicate by check mark whether the registrant files or will file annual reports under cover of Form 20-F or Form 40-F.</w:t>
      </w:r>
    </w:p>
    <w:p>
      <w:pPr>
        <w:pStyle w:val="TextBody"/>
        <w:spacing w:before="0" w:after="0"/>
        <w:rPr>
          <w:sz w:val="20"/>
        </w:rPr>
      </w:pPr>
      <w:r>
        <w:rPr>
          <w:sz w:val="20"/>
        </w:rPr>
      </w:r>
    </w:p>
    <w:p>
      <w:pPr>
        <w:pStyle w:val="TextBody"/>
        <w:spacing w:before="0" w:after="0"/>
        <w:jc w:val="center"/>
        <w:rPr>
          <w:color w:val="000000"/>
          <w:sz w:val="20"/>
        </w:rPr>
      </w:pPr>
      <w:r>
        <w:rPr>
          <w:color w:val="000000"/>
          <w:sz w:val="20"/>
        </w:rPr>
        <w:t>Form 20-F ⌧ Form 40-F ☐</w:t>
      </w:r>
    </w:p>
    <w:p>
      <w:pPr>
        <w:pStyle w:val="TextBody"/>
        <w:spacing w:before="0" w:after="0"/>
        <w:rPr>
          <w:sz w:val="20"/>
        </w:rPr>
      </w:pPr>
      <w:r>
        <w:rPr>
          <w:sz w:val="20"/>
        </w:rPr>
      </w:r>
    </w:p>
    <w:p>
      <w:pPr>
        <w:pStyle w:val="TextBody"/>
        <w:spacing w:before="0" w:after="0"/>
        <w:rPr>
          <w:color w:val="000000"/>
        </w:rPr>
      </w:pPr>
      <w:r>
        <w:rPr>
          <w:color w:val="000000"/>
        </w:rPr>
        <w:t> </w:t>
      </w:r>
      <w:r>
        <w:rPr>
          <w:color w:val="000000"/>
          <w:sz w:val="20"/>
        </w:rPr>
        <w:t>Indicate by check mark if the registrant is submitting the Form 6-K in paper as permitted by Regulation S-T Rule 101(b)(1): ____</w:t>
      </w:r>
    </w:p>
    <w:p>
      <w:pPr>
        <w:pStyle w:val="TextBody"/>
        <w:spacing w:before="0" w:after="0"/>
        <w:rPr>
          <w:sz w:val="20"/>
        </w:rPr>
      </w:pPr>
      <w:r>
        <w:rPr>
          <w:sz w:val="20"/>
        </w:rPr>
      </w:r>
    </w:p>
    <w:p>
      <w:pPr>
        <w:pStyle w:val="TextBody"/>
        <w:spacing w:before="0" w:after="0"/>
        <w:rPr>
          <w:color w:val="000000"/>
        </w:rPr>
      </w:pPr>
      <w:r>
        <w:rPr>
          <w:color w:val="000000"/>
        </w:rPr>
        <w:t> </w:t>
      </w:r>
      <w:r>
        <w:rPr>
          <w:color w:val="000000"/>
          <w:sz w:val="20"/>
        </w:rPr>
        <w:t>Indicate by check mark if the registrant is submitting the Form 6-K in paper as permitted by Regulation S-T Rule 101(b)(7): ____</w:t>
      </w:r>
    </w:p>
    <w:p>
      <w:pPr>
        <w:pStyle w:val="TextBody"/>
        <w:spacing w:before="0" w:after="0"/>
        <w:rPr>
          <w:sz w:val="20"/>
        </w:rPr>
      </w:pPr>
      <w:r>
        <w:rPr>
          <w:sz w:val="20"/>
        </w:rPr>
      </w:r>
    </w:p>
    <w:p>
      <w:pPr>
        <w:pStyle w:val="HorizontalLine"/>
        <w:rPr/>
      </w:pPr>
      <w:r>
        <w:rPr/>
      </w:r>
    </w:p>
    <w:p>
      <w:pPr>
        <w:pStyle w:val="HorizontalLine"/>
        <w:pBdr>
          <w:bottom w:val="single" w:sz="20" w:space="0" w:color="808080"/>
        </w:pBdr>
        <w:spacing w:before="180" w:after="180"/>
        <w:rPr/>
      </w:pPr>
      <w:r>
        <w:rPr/>
      </w:r>
    </w:p>
    <w:p>
      <w:pPr>
        <w:pStyle w:val="TextBody"/>
        <w:spacing w:before="0" w:after="0"/>
        <w:rPr/>
      </w:pPr>
      <w:r>
        <w:rPr/>
        <w:drawing>
          <wp:inline distT="0" distB="0" distL="0" distR="0">
            <wp:extent cx="30003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0375" cy="361950"/>
                    </a:xfrm>
                    <a:prstGeom prst="rect">
                      <a:avLst/>
                    </a:prstGeom>
                  </pic:spPr>
                </pic:pic>
              </a:graphicData>
            </a:graphic>
          </wp:inline>
        </w:drawing>
      </w:r>
    </w:p>
    <w:p>
      <w:pPr>
        <w:pStyle w:val="TextBody"/>
        <w:spacing w:before="0" w:after="0"/>
        <w:rPr>
          <w:sz w:val="20"/>
        </w:rPr>
      </w:pPr>
      <w:r>
        <w:rPr>
          <w:sz w:val="20"/>
        </w:rPr>
      </w:r>
    </w:p>
    <w:p>
      <w:pPr>
        <w:pStyle w:val="TextBody"/>
        <w:spacing w:before="0" w:after="0"/>
        <w:jc w:val="both"/>
        <w:rPr>
          <w:sz w:val="20"/>
        </w:rPr>
      </w:pPr>
      <w:r>
        <w:rPr>
          <w:sz w:val="20"/>
        </w:rPr>
        <w:t>April 24, 2023</w:t>
      </w:r>
    </w:p>
    <w:p>
      <w:pPr>
        <w:pStyle w:val="TextBody"/>
        <w:spacing w:before="0" w:after="0"/>
        <w:rPr>
          <w:sz w:val="20"/>
        </w:rPr>
      </w:pPr>
      <w:r>
        <w:rPr>
          <w:sz w:val="20"/>
        </w:rPr>
      </w:r>
    </w:p>
    <w:p>
      <w:pPr>
        <w:pStyle w:val="TextBody"/>
        <w:spacing w:before="0" w:after="0"/>
        <w:jc w:val="both"/>
        <w:rPr>
          <w:sz w:val="20"/>
        </w:rPr>
      </w:pPr>
      <w:r>
        <w:rPr>
          <w:sz w:val="20"/>
        </w:rPr>
        <w:t>Securities and Exchange Commission - SEC</w:t>
      </w:r>
    </w:p>
    <w:p>
      <w:pPr>
        <w:pStyle w:val="TextBody"/>
        <w:spacing w:before="0" w:after="0"/>
        <w:rPr>
          <w:sz w:val="20"/>
        </w:rPr>
      </w:pPr>
      <w:r>
        <w:rPr>
          <w:sz w:val="20"/>
        </w:rPr>
      </w:r>
    </w:p>
    <w:p>
      <w:pPr>
        <w:pStyle w:val="TextBody"/>
        <w:spacing w:before="0" w:after="0"/>
        <w:jc w:val="both"/>
        <w:rPr>
          <w:sz w:val="20"/>
        </w:rPr>
      </w:pPr>
      <w:r>
        <w:rPr>
          <w:sz w:val="20"/>
        </w:rPr>
        <w:t>Re.: MATERIAL EVENT</w:t>
      </w:r>
    </w:p>
    <w:p>
      <w:pPr>
        <w:pStyle w:val="TextBody"/>
        <w:spacing w:before="0" w:after="0"/>
        <w:rPr>
          <w:sz w:val="20"/>
        </w:rPr>
      </w:pPr>
      <w:r>
        <w:rPr>
          <w:sz w:val="20"/>
        </w:rPr>
      </w:r>
    </w:p>
    <w:p>
      <w:pPr>
        <w:pStyle w:val="TextBody"/>
        <w:spacing w:before="0" w:after="0"/>
        <w:jc w:val="both"/>
        <w:rPr>
          <w:sz w:val="20"/>
        </w:rPr>
      </w:pPr>
      <w:r>
        <w:rPr>
          <w:sz w:val="20"/>
        </w:rPr>
        <w:t>Dear Sirs:</w:t>
      </w:r>
    </w:p>
    <w:p>
      <w:pPr>
        <w:pStyle w:val="TextBody"/>
        <w:spacing w:before="0" w:after="0"/>
        <w:rPr>
          <w:sz w:val="20"/>
        </w:rPr>
      </w:pPr>
      <w:r>
        <w:rPr>
          <w:sz w:val="20"/>
        </w:rPr>
      </w:r>
    </w:p>
    <w:p>
      <w:pPr>
        <w:pStyle w:val="TextBody"/>
        <w:spacing w:before="0" w:after="0"/>
        <w:jc w:val="both"/>
        <w:rPr>
          <w:sz w:val="20"/>
        </w:rPr>
      </w:pPr>
      <w:r>
        <w:rPr>
          <w:sz w:val="20"/>
        </w:rPr>
        <w:t>We hereby notify you as a Material Event that Fitch Ratings has updated the credit rating report of Credicorp Ltd. (Credicorp) dated March 31, 2023.</w:t>
      </w:r>
    </w:p>
    <w:p>
      <w:pPr>
        <w:pStyle w:val="TextBody"/>
        <w:spacing w:before="0" w:after="0"/>
        <w:rPr>
          <w:sz w:val="20"/>
        </w:rPr>
      </w:pPr>
      <w:r>
        <w:rPr>
          <w:sz w:val="20"/>
        </w:rPr>
      </w:r>
    </w:p>
    <w:p>
      <w:pPr>
        <w:pStyle w:val="TextBody"/>
        <w:spacing w:before="0" w:after="0"/>
        <w:jc w:val="both"/>
        <w:rPr>
          <w:sz w:val="20"/>
        </w:rPr>
      </w:pPr>
      <w:r>
        <w:rPr>
          <w:sz w:val="20"/>
        </w:rPr>
        <w:t>The information in this Form 6-K regarding the rating of Fitch Ratings has been disclosed in Peru in conformity with Peruvian law (Article 30 of the Capital Markets Law, approved by Supreme Decree 020-2023-EF, and by the Regulation of the Disclosure of Material Events and Reserved Information approved by Resolution 005-2014-SMV/01 of the Peruvian Capital Markets Superintendency). The ratings of Fitch Ratings do not necessarily represent the opinion of Credicorp, nor should they be seen as a recommendation to buy shares or any other securities of Credicorp. Credicorp accepts no liability for the completeness, timeliness, accuracy or selection of such information.</w:t>
      </w:r>
    </w:p>
    <w:p>
      <w:pPr>
        <w:pStyle w:val="TextBody"/>
        <w:spacing w:before="0" w:after="0"/>
        <w:rPr>
          <w:sz w:val="20"/>
        </w:rPr>
      </w:pPr>
      <w:r>
        <w:rPr>
          <w:sz w:val="20"/>
        </w:rPr>
      </w:r>
    </w:p>
    <w:p>
      <w:pPr>
        <w:pStyle w:val="TextBody"/>
        <w:spacing w:before="0" w:after="0"/>
        <w:jc w:val="both"/>
        <w:rPr>
          <w:sz w:val="20"/>
        </w:rPr>
      </w:pPr>
      <w:r>
        <w:rPr>
          <w:sz w:val="20"/>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pStyle w:val="TextBody"/>
        <w:spacing w:before="0" w:after="0"/>
        <w:rPr>
          <w:sz w:val="20"/>
        </w:rPr>
      </w:pPr>
      <w:r>
        <w:rPr>
          <w:sz w:val="20"/>
        </w:rPr>
      </w:r>
    </w:p>
    <w:p>
      <w:pPr>
        <w:pStyle w:val="TextBody"/>
        <w:spacing w:before="0" w:after="0"/>
        <w:jc w:val="both"/>
        <w:rPr>
          <w:sz w:val="20"/>
        </w:rPr>
      </w:pPr>
      <w:r>
        <w:rPr>
          <w:sz w:val="20"/>
        </w:rPr>
        <w:t>Sincerely,</w:t>
      </w:r>
    </w:p>
    <w:p>
      <w:pPr>
        <w:pStyle w:val="TextBody"/>
        <w:spacing w:before="0" w:after="0"/>
        <w:rPr>
          <w:sz w:val="20"/>
        </w:rPr>
      </w:pPr>
      <w:r>
        <w:rPr>
          <w:sz w:val="20"/>
        </w:rPr>
      </w:r>
    </w:p>
    <w:p>
      <w:pPr>
        <w:pStyle w:val="TextBody"/>
        <w:spacing w:before="0" w:after="0"/>
        <w:ind w:left="0" w:right="7364" w:hanging="0"/>
        <w:jc w:val="both"/>
        <w:rPr>
          <w:sz w:val="20"/>
          <w:u w:val="single"/>
        </w:rPr>
      </w:pPr>
      <w:r>
        <w:rPr>
          <w:sz w:val="20"/>
          <w:u w:val="single"/>
        </w:rPr>
        <w:t>/s/ Guillermo Morales</w:t>
      </w:r>
    </w:p>
    <w:p>
      <w:pPr>
        <w:pStyle w:val="TextBody"/>
        <w:spacing w:before="0" w:after="0"/>
        <w:jc w:val="both"/>
        <w:rPr>
          <w:sz w:val="20"/>
        </w:rPr>
      </w:pPr>
      <w:r>
        <w:rPr>
          <w:sz w:val="20"/>
        </w:rPr>
        <w:t>Authorized Representative</w:t>
      </w:r>
    </w:p>
    <w:p>
      <w:pPr>
        <w:pStyle w:val="TextBody"/>
        <w:spacing w:before="0" w:after="0"/>
        <w:jc w:val="both"/>
        <w:rPr>
          <w:sz w:val="20"/>
        </w:rPr>
      </w:pPr>
      <w:r>
        <w:rPr>
          <w:sz w:val="20"/>
        </w:rPr>
        <w:t>Credicorp Ltd.</w:t>
      </w:r>
    </w:p>
    <w:p>
      <w:pPr>
        <w:pStyle w:val="TextBody"/>
        <w:spacing w:before="0" w:after="0"/>
        <w:rPr>
          <w:sz w:val="20"/>
        </w:rPr>
      </w:pPr>
      <w:r>
        <w:rPr>
          <w:sz w:val="20"/>
        </w:rPr>
      </w:r>
    </w:p>
    <w:p>
      <w:pPr>
        <w:pStyle w:val="HorizontalLine"/>
        <w:pBdr>
          <w:bottom w:val="single" w:sz="20" w:space="0" w:color="808080"/>
        </w:pBdr>
        <w:spacing w:before="180" w:after="180"/>
        <w:rPr/>
      </w:pPr>
      <w:r>
        <w:rPr/>
      </w:r>
    </w:p>
    <w:p>
      <w:pPr>
        <w:pStyle w:val="TextBody"/>
        <w:spacing w:before="0" w:after="0"/>
        <w:jc w:val="center"/>
        <w:rPr>
          <w:b/>
          <w:color w:val="000000"/>
          <w:sz w:val="20"/>
        </w:rPr>
      </w:pPr>
      <w:r>
        <w:rPr>
          <w:b/>
          <w:color w:val="000000"/>
          <w:sz w:val="20"/>
        </w:rPr>
        <w:t>SIGNATURE</w:t>
      </w:r>
    </w:p>
    <w:p>
      <w:pPr>
        <w:pStyle w:val="TextBody"/>
        <w:spacing w:before="0" w:after="0"/>
        <w:rPr>
          <w:sz w:val="20"/>
        </w:rPr>
      </w:pPr>
      <w:r>
        <w:rPr>
          <w:sz w:val="20"/>
        </w:rPr>
      </w:r>
    </w:p>
    <w:p>
      <w:pPr>
        <w:pStyle w:val="TextBody"/>
        <w:spacing w:before="0" w:after="0"/>
        <w:ind w:left="0" w:right="0" w:firstLine="594"/>
        <w:rPr>
          <w:color w:val="000000"/>
          <w:sz w:val="20"/>
        </w:rPr>
      </w:pPr>
      <w:r>
        <w:rPr>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sz w:val="20"/>
        </w:rPr>
      </w:pPr>
      <w:r>
        <w:rPr>
          <w:sz w:val="20"/>
        </w:rPr>
      </w:r>
    </w:p>
    <w:p>
      <w:pPr>
        <w:pStyle w:val="TextBody"/>
        <w:spacing w:before="0" w:after="0"/>
        <w:ind w:left="0" w:right="0" w:firstLine="594"/>
        <w:rPr>
          <w:color w:val="000000"/>
          <w:sz w:val="20"/>
        </w:rPr>
      </w:pPr>
      <w:r>
        <w:rPr>
          <w:color w:val="000000"/>
          <w:sz w:val="20"/>
        </w:rPr>
        <w:t>Date: April 24, 2023</w:t>
      </w:r>
    </w:p>
    <w:p>
      <w:pPr>
        <w:pStyle w:val="TextBody"/>
        <w:spacing w:before="0" w:after="0"/>
        <w:rPr>
          <w:sz w:val="20"/>
        </w:rPr>
      </w:pPr>
      <w:r>
        <w:rPr>
          <w:sz w:val="20"/>
        </w:rPr>
      </w:r>
    </w:p>
    <w:p>
      <w:pPr>
        <w:pStyle w:val="Normal"/>
        <w:spacing w:before="0" w:after="0"/>
        <w:rPr>
          <w:sz w:val="4"/>
          <w:szCs w:val="4"/>
        </w:rPr>
      </w:pPr>
      <w:r>
        <w:rPr>
          <w:sz w:val="4"/>
          <w:szCs w:val="4"/>
        </w:rPr>
      </w:r>
      <w:bookmarkStart w:id="4" w:name="zbdea6182358c412da1cbf97cf292539f"/>
      <w:bookmarkStart w:id="5" w:name="zbdea6182358c412da1cbf97cf292539f"/>
      <w:bookmarkEnd w:id="5"/>
    </w:p>
    <w:tbl>
      <w:tblPr>
        <w:tblW w:w="2710" w:type="dxa"/>
        <w:jc w:val="left"/>
        <w:tblInd w:w="0" w:type="dxa"/>
        <w:tblCellMar>
          <w:top w:w="0" w:type="dxa"/>
          <w:left w:w="0" w:type="dxa"/>
          <w:bottom w:w="0" w:type="dxa"/>
          <w:right w:w="0" w:type="dxa"/>
        </w:tblCellMar>
      </w:tblPr>
      <w:tblGrid>
        <w:gridCol w:w="60"/>
        <w:gridCol w:w="320"/>
        <w:gridCol w:w="2270"/>
        <w:gridCol w:w="60"/>
      </w:tblGrid>
      <w:tr>
        <w:trPr/>
        <w:tc>
          <w:tcPr>
            <w:tcW w:w="60" w:type="dxa"/>
            <w:tcBorders/>
            <w:shd w:fill="auto" w:val="clear"/>
            <w:vAlign w:val="center"/>
          </w:tcPr>
          <w:p>
            <w:pPr>
              <w:pStyle w:val="TableContents"/>
              <w:spacing w:before="0" w:after="283"/>
              <w:rPr/>
            </w:pPr>
            <w:r>
              <w:rPr/>
              <w:t> </w:t>
            </w:r>
          </w:p>
        </w:tc>
        <w:tc>
          <w:tcPr>
            <w:tcW w:w="2590" w:type="dxa"/>
            <w:gridSpan w:val="2"/>
            <w:tcBorders/>
            <w:shd w:fill="auto" w:val="clear"/>
            <w:vAlign w:val="center"/>
          </w:tcPr>
          <w:p>
            <w:pPr>
              <w:pStyle w:val="TableContents"/>
              <w:spacing w:before="0" w:after="0"/>
              <w:rPr>
                <w:color w:val="000000"/>
                <w:sz w:val="20"/>
              </w:rPr>
            </w:pPr>
            <w:r>
              <w:rPr>
                <w:color w:val="000000"/>
                <w:sz w:val="20"/>
              </w:rPr>
              <w:t>CREDICORP LTD.</w:t>
            </w:r>
          </w:p>
          <w:p>
            <w:pPr>
              <w:pStyle w:val="TableContents"/>
              <w:spacing w:before="0" w:after="0"/>
              <w:rPr>
                <w:color w:val="000000"/>
                <w:sz w:val="20"/>
              </w:rPr>
            </w:pPr>
            <w:r>
              <w:rPr>
                <w:color w:val="000000"/>
                <w:sz w:val="20"/>
              </w:rPr>
              <w:t>(Registrant)</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27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0"/>
              <w:rPr>
                <w:color w:val="000000"/>
                <w:sz w:val="20"/>
              </w:rPr>
            </w:pPr>
            <w:r>
              <w:rPr>
                <w:color w:val="000000"/>
                <w:sz w:val="20"/>
              </w:rPr>
              <w:t>By:</w:t>
            </w:r>
          </w:p>
        </w:tc>
        <w:tc>
          <w:tcPr>
            <w:tcW w:w="2270" w:type="dxa"/>
            <w:tcBorders>
              <w:bottom w:val="single" w:sz="12" w:space="0" w:color="000000"/>
            </w:tcBorders>
            <w:shd w:fill="auto" w:val="clear"/>
            <w:tcMar>
              <w:bottom w:w="28" w:type="dxa"/>
            </w:tcMar>
            <w:vAlign w:val="center"/>
          </w:tcPr>
          <w:p>
            <w:pPr>
              <w:pStyle w:val="TableContents"/>
              <w:spacing w:before="0" w:after="0"/>
              <w:rPr>
                <w:color w:val="000000"/>
                <w:sz w:val="20"/>
              </w:rPr>
            </w:pPr>
            <w:r>
              <w:rPr>
                <w:color w:val="000000"/>
                <w:sz w:val="20"/>
              </w:rPr>
              <w:t>/s/ Guillermo Morales</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270" w:type="dxa"/>
            <w:tcBorders/>
            <w:shd w:fill="auto" w:val="clear"/>
            <w:vAlign w:val="center"/>
          </w:tcPr>
          <w:p>
            <w:pPr>
              <w:pStyle w:val="TableContents"/>
              <w:spacing w:before="0" w:after="0"/>
              <w:rPr>
                <w:b/>
                <w:color w:val="000000"/>
                <w:sz w:val="20"/>
              </w:rPr>
            </w:pPr>
            <w:r>
              <w:rPr>
                <w:b/>
                <w:color w:val="000000"/>
                <w:sz w:val="20"/>
              </w:rPr>
              <w:t>Guillermo Morales</w:t>
            </w:r>
          </w:p>
        </w:tc>
        <w:tc>
          <w:tcPr>
            <w:tcW w:w="60" w:type="dxa"/>
            <w:tcBorders/>
            <w:shd w:fill="auto" w:val="clear"/>
            <w:vAlign w:val="center"/>
          </w:tcPr>
          <w:p>
            <w:pPr>
              <w:pStyle w:val="TableContents"/>
              <w:spacing w:before="0" w:after="283"/>
              <w:rPr/>
            </w:pPr>
            <w:r>
              <w:rPr/>
              <w:t> </w:t>
            </w:r>
          </w:p>
        </w:tc>
      </w:tr>
      <w:tr>
        <w:trPr/>
        <w:tc>
          <w:tcPr>
            <w:tcW w:w="60" w:type="dxa"/>
            <w:tcBorders/>
            <w:shd w:fill="auto" w:val="clear"/>
            <w:vAlign w:val="center"/>
          </w:tcPr>
          <w:p>
            <w:pPr>
              <w:pStyle w:val="TableContents"/>
              <w:spacing w:before="0" w:after="283"/>
              <w:rPr/>
            </w:pPr>
            <w:r>
              <w:rPr/>
              <w:t> </w:t>
            </w:r>
          </w:p>
        </w:tc>
        <w:tc>
          <w:tcPr>
            <w:tcW w:w="320" w:type="dxa"/>
            <w:tcBorders/>
            <w:shd w:fill="auto" w:val="clear"/>
            <w:vAlign w:val="center"/>
          </w:tcPr>
          <w:p>
            <w:pPr>
              <w:pStyle w:val="TableContents"/>
              <w:spacing w:before="0" w:after="283"/>
              <w:rPr/>
            </w:pPr>
            <w:r>
              <w:rPr/>
              <w:t> </w:t>
            </w:r>
          </w:p>
        </w:tc>
        <w:tc>
          <w:tcPr>
            <w:tcW w:w="2270" w:type="dxa"/>
            <w:tcBorders/>
            <w:shd w:fill="auto" w:val="clear"/>
            <w:vAlign w:val="center"/>
          </w:tcPr>
          <w:p>
            <w:pPr>
              <w:pStyle w:val="TableContents"/>
              <w:spacing w:before="0" w:after="0"/>
              <w:rPr>
                <w:b/>
                <w:color w:val="000000"/>
                <w:sz w:val="20"/>
              </w:rPr>
            </w:pPr>
            <w:r>
              <w:rPr>
                <w:b/>
                <w:color w:val="000000"/>
                <w:sz w:val="20"/>
              </w:rPr>
              <w:t>Authorized Representative</w:t>
            </w:r>
          </w:p>
        </w:tc>
        <w:tc>
          <w:tcPr>
            <w:tcW w:w="60" w:type="dxa"/>
            <w:tcBorders/>
            <w:shd w:fill="auto" w:val="clear"/>
            <w:vAlign w:val="center"/>
          </w:tcPr>
          <w:p>
            <w:pPr>
              <w:pStyle w:val="TableContents"/>
              <w:spacing w:before="0" w:after="283"/>
              <w:rPr/>
            </w:pPr>
            <w:r>
              <w:rPr/>
              <w:t> </w:t>
            </w:r>
          </w:p>
        </w:tc>
      </w:tr>
    </w:tbl>
    <w:p>
      <w:pPr>
        <w:pStyle w:val="TextBody"/>
        <w:spacing w:before="0" w:after="0"/>
        <w:rPr>
          <w:sz w:val="20"/>
        </w:rPr>
      </w:pPr>
      <w:r>
        <w:rPr>
          <w:sz w:val="20"/>
        </w:rPr>
      </w:r>
    </w:p>
    <w:p>
      <w:pPr>
        <w:pStyle w:val="TextBody"/>
        <w:spacing w:before="0" w:after="0"/>
        <w:rPr/>
      </w:pPr>
      <w:r>
        <w:rPr/>
      </w:r>
    </w:p>
    <w:p>
      <w:pPr>
        <w:pStyle w:val="HorizontalLine"/>
        <w:pBdr>
          <w:bottom w:val="single" w:sz="20" w:space="0" w:color="808080"/>
        </w:pBdr>
        <w:rPr/>
      </w:pPr>
      <w:r>
        <w:rPr/>
      </w:r>
      <w:r>
        <w:br w:type="page"/>
      </w:r>
    </w:p>
    <w:p>
      <w:pPr>
        <w:pStyle w:val="HorizontalLine"/>
        <w:pBdr>
          <w:bottom w:val="single" w:sz="20" w:space="0" w:color="808080"/>
        </w:pBdr>
        <w:jc w:val="right"/>
        <w:rPr/>
      </w:pPr>
      <w:r>
        <w:rPr/>
      </w:r>
      <w:bookmarkStart w:id="6" w:name="brhc20051790_ex99-1.htm"/>
      <w:bookmarkStart w:id="7" w:name="ksbrhc20051790_ex991"/>
      <w:bookmarkStart w:id="8" w:name="brhc20051790_ex99-1.htm"/>
      <w:bookmarkStart w:id="9" w:name="ksbrhc20051790_ex991"/>
      <w:bookmarkEnd w:id="8"/>
      <w:bookmarkEnd w:id="9"/>
    </w:p>
    <w:p>
      <w:pPr>
        <w:pStyle w:val="TextBody"/>
        <w:spacing w:before="0" w:after="0"/>
        <w:jc w:val="right"/>
        <w:rPr>
          <w:b/>
        </w:rPr>
      </w:pPr>
      <w:r>
        <w:rPr>
          <w:b/>
        </w:rPr>
        <w:t>Exhibit 99.1</w:t>
      </w:r>
    </w:p>
    <w:p>
      <w:pPr>
        <w:pStyle w:val="TextBody"/>
        <w:spacing w:before="0" w:after="0"/>
        <w:jc w:val="center"/>
        <w:rPr/>
      </w:pPr>
      <w:r>
        <w:rPr/>
      </w:r>
    </w:p>
    <w:p>
      <w:pPr>
        <w:pStyle w:val="TextBody"/>
        <w:spacing w:before="0" w:after="0"/>
        <w:jc w:val="center"/>
        <w:rPr/>
      </w:pPr>
      <w:r>
        <w:rPr/>
        <w:drawing>
          <wp:inline distT="0" distB="0" distL="0" distR="0">
            <wp:extent cx="7743825" cy="9620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7743825" cy="962025"/>
                    </a:xfrm>
                    <a:prstGeom prst="rect">
                      <a:avLst/>
                    </a:prstGeom>
                  </pic:spPr>
                </pic:pic>
              </a:graphicData>
            </a:graphic>
          </wp:inline>
        </w:drawing>
      </w:r>
    </w:p>
    <w:p>
      <w:pPr>
        <w:pStyle w:val="TextBody"/>
        <w:spacing w:before="0" w:after="0"/>
        <w:rPr/>
      </w:pPr>
      <w:r>
        <w:rPr>
          <w:color w:val="000000"/>
        </w:rPr>
        <w:t> </w:t>
      </w:r>
      <w:r>
        <w:rPr/>
        <w:t xml:space="preserve"> </w:t>
      </w:r>
    </w:p>
    <w:p>
      <w:pPr>
        <w:pStyle w:val="HorizontalLine"/>
        <w:pBdr>
          <w:bottom w:val="single" w:sz="20" w:space="0" w:color="808080"/>
        </w:pBdr>
        <w:rPr/>
      </w:pPr>
      <w:r>
        <w:rPr/>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110230" cy="9972040"/>
                <wp:effectExtent l="0" t="0" r="0" b="0"/>
                <wp:wrapSquare wrapText="largest"/>
                <wp:docPr id="3" name="Frame1"/>
                <a:graphic xmlns:a="http://schemas.openxmlformats.org/drawingml/2006/main">
                  <a:graphicData uri="http://schemas.microsoft.com/office/word/2010/wordprocessingShape">
                    <wps:wsp>
                      <wps:cNvSpPr txBox="1"/>
                      <wps:spPr>
                        <a:xfrm>
                          <a:off x="0" y="0"/>
                          <a:ext cx="3110230" cy="9972040"/>
                        </a:xfrm>
                        <a:prstGeom prst="rect"/>
                      </wps:spPr>
                      <wps:txbx>
                        <w:txbxContent>
                          <w:p>
                            <w:pPr>
                              <w:pStyle w:val="TextBody"/>
                              <w:spacing w:before="0" w:after="0"/>
                              <w:rPr/>
                            </w:pPr>
                            <w:r>
                              <w:rPr/>
                              <w:t> </w:t>
                            </w:r>
                          </w:p>
                          <w:p>
                            <w:pPr>
                              <w:pStyle w:val="TextBody"/>
                              <w:spacing w:before="0" w:after="0"/>
                              <w:rPr>
                                <w:b/>
                                <w:color w:val="333333"/>
                                <w:sz w:val="20"/>
                              </w:rPr>
                            </w:pPr>
                            <w:r>
                              <w:rPr>
                                <w:b/>
                                <w:color w:val="333333"/>
                                <w:sz w:val="20"/>
                              </w:rPr>
                              <w:t>Credicorp Ltd.</w:t>
                            </w:r>
                          </w:p>
                          <w:p>
                            <w:pPr>
                              <w:pStyle w:val="TextBody"/>
                              <w:spacing w:before="126" w:after="283"/>
                              <w:rPr>
                                <w:b/>
                                <w:color w:val="333333"/>
                                <w:sz w:val="20"/>
                              </w:rPr>
                            </w:pPr>
                            <w:r>
                              <w:rPr>
                                <w:b/>
                                <w:color w:val="333333"/>
                                <w:sz w:val="20"/>
                              </w:rPr>
                              <w:t>Update</w:t>
                            </w:r>
                          </w:p>
                          <w:p>
                            <w:pPr>
                              <w:pStyle w:val="TextBody"/>
                              <w:spacing w:before="185" w:after="283"/>
                              <w:rPr>
                                <w:b/>
                                <w:color w:val="CC0033"/>
                                <w:sz w:val="20"/>
                              </w:rPr>
                            </w:pPr>
                            <w:r>
                              <w:rPr>
                                <w:b/>
                                <w:color w:val="CC0033"/>
                                <w:sz w:val="20"/>
                              </w:rPr>
                              <w:t>Key Rating Drivers</w:t>
                            </w:r>
                          </w:p>
                          <w:p>
                            <w:pPr>
                              <w:pStyle w:val="TextBody"/>
                              <w:spacing w:before="84" w:after="283"/>
                              <w:rPr>
                                <w:b/>
                                <w:color w:val="333333"/>
                                <w:sz w:val="20"/>
                              </w:rPr>
                            </w:pPr>
                            <w:r>
                              <w:rPr>
                                <w:b/>
                                <w:color w:val="333333"/>
                                <w:sz w:val="20"/>
                              </w:rPr>
                              <w:t>IDRs and Senior Debt</w:t>
                            </w:r>
                          </w:p>
                          <w:p>
                            <w:pPr>
                              <w:pStyle w:val="TextBody"/>
                              <w:spacing w:before="56" w:after="283"/>
                              <w:jc w:val="both"/>
                              <w:rPr>
                                <w:color w:val="333333"/>
                              </w:rPr>
                            </w:pPr>
                            <w:r>
                              <w:rPr>
                                <w:b/>
                                <w:color w:val="333333"/>
                                <w:sz w:val="20"/>
                              </w:rPr>
                              <w:t xml:space="preserve">IDRs Driven by Main Subsidiary's IDRs: </w:t>
                            </w:r>
                            <w:r>
                              <w:rPr>
                                <w:color w:val="333333"/>
                                <w:sz w:val="20"/>
                              </w:rPr>
                              <w:t>Credicorp's IDRs are driven primarily by the IDR of its main subsidiary, BCP, which has a strong business and financial profile. Credicorp's Foreign Currency Long-Term IDR of 'BBB' with a Negative Outlook is equalized with BCP's rating.</w:t>
                            </w:r>
                          </w:p>
                          <w:p>
                            <w:pPr>
                              <w:pStyle w:val="TextBody"/>
                              <w:spacing w:before="121" w:after="283"/>
                              <w:jc w:val="both"/>
                              <w:rPr>
                                <w:color w:val="333333"/>
                              </w:rPr>
                            </w:pPr>
                            <w:r>
                              <w:rPr>
                                <w:b/>
                                <w:color w:val="333333"/>
                                <w:sz w:val="20"/>
                              </w:rPr>
                              <w:t xml:space="preserve">Low Double Leverage: </w:t>
                            </w:r>
                            <w:r>
                              <w:rPr>
                                <w:color w:val="333333"/>
                                <w:sz w:val="20"/>
                              </w:rPr>
                              <w:t>The equalization is mainly driven by Credicorp's low double leverage and its strong liquidity management. Double leverage reached 102.1% at YE 2022. There is a long track record of significant dividend flows that provide the bulk of Credicorp's liquidity.</w:t>
                            </w:r>
                          </w:p>
                          <w:p>
                            <w:pPr>
                              <w:pStyle w:val="TextBody"/>
                              <w:spacing w:before="123" w:after="283"/>
                              <w:jc w:val="both"/>
                              <w:rPr>
                                <w:color w:val="333333"/>
                              </w:rPr>
                            </w:pPr>
                            <w:r>
                              <w:rPr>
                                <w:b/>
                                <w:color w:val="333333"/>
                                <w:sz w:val="20"/>
                              </w:rPr>
                              <w:t xml:space="preserve">Strong Corporate Strategy: </w:t>
                            </w:r>
                            <w:r>
                              <w:rPr>
                                <w:color w:val="333333"/>
                                <w:sz w:val="20"/>
                              </w:rPr>
                              <w:t>Credicorp is a non-operating holding company that maintains an integrated business platform composed of leading Peruvian and Bolivian banking, insurance, pension, and asset and wealth management companies, as well as entities in the microfinance sector in Peru and Colombia.</w:t>
                            </w:r>
                          </w:p>
                          <w:p>
                            <w:pPr>
                              <w:pStyle w:val="TextBody"/>
                              <w:spacing w:before="119" w:after="283"/>
                              <w:jc w:val="both"/>
                              <w:rPr>
                                <w:color w:val="333333"/>
                              </w:rPr>
                            </w:pPr>
                            <w:r>
                              <w:rPr>
                                <w:b/>
                                <w:color w:val="333333"/>
                                <w:sz w:val="20"/>
                              </w:rPr>
                              <w:t xml:space="preserve">Consistent Performance: </w:t>
                            </w:r>
                            <w:r>
                              <w:rPr>
                                <w:color w:val="333333"/>
                                <w:sz w:val="20"/>
                              </w:rPr>
                              <w:t>Credicorp's capital structure benefits from its subsidiaries' profitability, which allows it to maintain consistent dividend flows. Asset quality ratios on a consolidated basis were: 90-days impaired loans to total loan ratio at YE 2022 was 3.1% (YE 2021: 2.9%) and reserve coverage was 170.4% (YE 2021: 201.7%).</w:t>
                            </w:r>
                          </w:p>
                          <w:p>
                            <w:pPr>
                              <w:pStyle w:val="TextBody"/>
                              <w:spacing w:before="119" w:after="283"/>
                              <w:jc w:val="both"/>
                              <w:rPr>
                                <w:color w:val="333333"/>
                              </w:rPr>
                            </w:pPr>
                            <w:r>
                              <w:rPr>
                                <w:b/>
                                <w:color w:val="333333"/>
                                <w:sz w:val="20"/>
                              </w:rPr>
                              <w:t xml:space="preserve">Improving Profitability: </w:t>
                            </w:r>
                            <w:r>
                              <w:rPr>
                                <w:color w:val="333333"/>
                                <w:sz w:val="20"/>
                              </w:rPr>
                              <w:t>Following the profitability improvement in its main subsidiary, Credicorp's consolidated profitability is improving and close to pre-pandemic levels (ROAE and ROAA at YE22: 17.1% and 2.0%, respectively).</w:t>
                            </w:r>
                          </w:p>
                          <w:p>
                            <w:pPr>
                              <w:pStyle w:val="TextBody"/>
                              <w:spacing w:before="123" w:after="283"/>
                              <w:jc w:val="both"/>
                              <w:rPr>
                                <w:color w:val="333333"/>
                              </w:rPr>
                            </w:pPr>
                            <w:r>
                              <w:rPr>
                                <w:b/>
                                <w:color w:val="333333"/>
                                <w:sz w:val="20"/>
                              </w:rPr>
                              <w:t xml:space="preserve">Senior Debt Ratings: </w:t>
                            </w:r>
                            <w:r>
                              <w:rPr>
                                <w:color w:val="333333"/>
                                <w:sz w:val="20"/>
                              </w:rPr>
                              <w:t>The senior global debt rating is at the same level as Credicorp's Long-Term IDRs of 'BBB', as the likelihood of default of the notes is the same as that of Credicorp.</w:t>
                            </w:r>
                          </w:p>
                          <w:p>
                            <w:pPr>
                              <w:pStyle w:val="TextBody"/>
                              <w:spacing w:before="170" w:after="283"/>
                              <w:rPr>
                                <w:b/>
                                <w:color w:val="CC0033"/>
                                <w:sz w:val="20"/>
                              </w:rPr>
                            </w:pPr>
                            <w:r>
                              <w:rPr>
                                <w:b/>
                                <w:color w:val="CC0033"/>
                                <w:sz w:val="20"/>
                              </w:rPr>
                              <w:t>Rating Sensitivities</w:t>
                            </w:r>
                          </w:p>
                          <w:p>
                            <w:pPr>
                              <w:pStyle w:val="TextBody"/>
                              <w:spacing w:before="83" w:after="283"/>
                              <w:rPr>
                                <w:b/>
                                <w:color w:val="333333"/>
                                <w:sz w:val="20"/>
                              </w:rPr>
                            </w:pPr>
                            <w:r>
                              <w:rPr>
                                <w:b/>
                                <w:color w:val="333333"/>
                                <w:sz w:val="20"/>
                              </w:rPr>
                              <w:t>Factors that could, individually or collectively, lead to negative rating action/downgrade:</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jc w:val="left"/>
                                    <w:rPr/>
                                  </w:pPr>
                                  <w:r>
                                    <w:rPr/>
                                    <w:t>•</w:t>
                                  </w:r>
                                </w:p>
                              </w:tc>
                              <w:tc>
                                <w:tcPr>
                                  <w:tcW w:w="10080" w:type="dxa"/>
                                  <w:tcBorders/>
                                  <w:shd w:fill="auto" w:val="clear"/>
                                  <w:vAlign w:val="center"/>
                                </w:tcPr>
                                <w:p>
                                  <w:pPr>
                                    <w:pStyle w:val="TableContents"/>
                                    <w:spacing w:before="0" w:after="0"/>
                                    <w:jc w:val="both"/>
                                    <w:rPr>
                                      <w:color w:val="333333"/>
                                      <w:sz w:val="20"/>
                                    </w:rPr>
                                  </w:pPr>
                                  <w:r>
                                    <w:rPr>
                                      <w:color w:val="333333"/>
                                      <w:sz w:val="20"/>
                                    </w:rPr>
                                    <w:t>Credicorp's IDRs would remain at the same level as BCP's and would move in tandem with any rating actions on its main operating subsidiary. However, the relativity between these two entities' ratings could also be affected and the holding company downgraded in the event of a material and sustained increase in Credicorp's double- leverage metrics (above 1.2x) and if Fitch perceives a material weakening of the holding company's liquidity position and its management.</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jc w:val="left"/>
                                    <w:rPr/>
                                  </w:pPr>
                                  <w:r>
                                    <w:rPr/>
                                    <w:t>•</w:t>
                                  </w:r>
                                </w:p>
                              </w:tc>
                              <w:tc>
                                <w:tcPr>
                                  <w:tcW w:w="10080" w:type="dxa"/>
                                  <w:tcBorders/>
                                  <w:shd w:fill="auto" w:val="clear"/>
                                  <w:vAlign w:val="center"/>
                                </w:tcPr>
                                <w:p>
                                  <w:pPr>
                                    <w:pStyle w:val="TableContents"/>
                                    <w:spacing w:before="0" w:after="0"/>
                                    <w:jc w:val="both"/>
                                    <w:rPr>
                                      <w:color w:val="333333"/>
                                      <w:sz w:val="20"/>
                                    </w:rPr>
                                  </w:pPr>
                                  <w:r>
                                    <w:rPr>
                                      <w:color w:val="333333"/>
                                      <w:sz w:val="20"/>
                                    </w:rPr>
                                    <w:t>A change in the dividend flows from the operating companies or debt levels at the holding company that affects its debt coverage ratios could also be detrimental to Credicorp's ratings.</w:t>
                                  </w:r>
                                </w:p>
                              </w:tc>
                            </w:tr>
                          </w:tbl>
                          <w:tbl>
                            <w:tblPr>
                              <w:tblW w:w="7765" w:type="dxa"/>
                              <w:jc w:val="left"/>
                              <w:tblInd w:w="0" w:type="dxa"/>
                              <w:tblCellMar>
                                <w:top w:w="0" w:type="dxa"/>
                                <w:left w:w="0" w:type="dxa"/>
                                <w:bottom w:w="0" w:type="dxa"/>
                                <w:right w:w="0" w:type="dxa"/>
                              </w:tblCellMar>
                            </w:tblPr>
                            <w:tblGrid>
                              <w:gridCol w:w="125"/>
                              <w:gridCol w:w="7640"/>
                            </w:tblGrid>
                            <w:tr>
                              <w:trPr/>
                              <w:tc>
                                <w:tcPr>
                                  <w:tcW w:w="125" w:type="dxa"/>
                                  <w:tcBorders/>
                                  <w:shd w:fill="auto" w:val="clear"/>
                                  <w:vAlign w:val="center"/>
                                </w:tcPr>
                                <w:p>
                                  <w:pPr>
                                    <w:pStyle w:val="TableContents"/>
                                    <w:spacing w:before="0" w:after="0"/>
                                    <w:jc w:val="left"/>
                                    <w:rPr/>
                                  </w:pPr>
                                  <w:r>
                                    <w:rPr/>
                                    <w:t>•</w:t>
                                  </w:r>
                                </w:p>
                              </w:tc>
                              <w:tc>
                                <w:tcPr>
                                  <w:tcW w:w="7640" w:type="dxa"/>
                                  <w:tcBorders/>
                                  <w:shd w:fill="auto" w:val="clear"/>
                                  <w:vAlign w:val="center"/>
                                </w:tcPr>
                                <w:p>
                                  <w:pPr>
                                    <w:pStyle w:val="TableContents"/>
                                    <w:spacing w:before="0" w:after="0"/>
                                    <w:jc w:val="both"/>
                                    <w:rPr>
                                      <w:color w:val="333333"/>
                                      <w:sz w:val="20"/>
                                    </w:rPr>
                                  </w:pPr>
                                  <w:r>
                                    <w:rPr>
                                      <w:color w:val="333333"/>
                                      <w:sz w:val="20"/>
                                    </w:rPr>
                                    <w:t>The ratings for Credicorp's senior unsecured debt would move in line with its Long-Term IDR.</w:t>
                                  </w:r>
                                </w:p>
                              </w:tc>
                            </w:tr>
                          </w:tbl>
                          <w:p>
                            <w:pPr>
                              <w:pStyle w:val="TextBody"/>
                              <w:spacing w:before="134" w:after="283"/>
                              <w:rPr>
                                <w:b/>
                                <w:color w:val="333333"/>
                                <w:sz w:val="20"/>
                              </w:rPr>
                            </w:pPr>
                            <w:r>
                              <w:rPr>
                                <w:b/>
                                <w:color w:val="333333"/>
                                <w:sz w:val="20"/>
                              </w:rPr>
                              <w:t>Factors that could, individually or collectively, lead to positive rating action/upgrade:</w:t>
                            </w:r>
                          </w:p>
                          <w:tbl>
                            <w:tblPr>
                              <w:tblW w:w="9340" w:type="dxa"/>
                              <w:jc w:val="left"/>
                              <w:tblInd w:w="0" w:type="dxa"/>
                              <w:tblCellMar>
                                <w:top w:w="0" w:type="dxa"/>
                                <w:left w:w="0" w:type="dxa"/>
                                <w:bottom w:w="0" w:type="dxa"/>
                                <w:right w:w="0" w:type="dxa"/>
                              </w:tblCellMar>
                            </w:tblPr>
                            <w:tblGrid>
                              <w:gridCol w:w="125"/>
                              <w:gridCol w:w="9215"/>
                            </w:tblGrid>
                            <w:tr>
                              <w:trPr/>
                              <w:tc>
                                <w:tcPr>
                                  <w:tcW w:w="125" w:type="dxa"/>
                                  <w:tcBorders/>
                                  <w:shd w:fill="auto" w:val="clear"/>
                                  <w:vAlign w:val="center"/>
                                </w:tcPr>
                                <w:p>
                                  <w:pPr>
                                    <w:pStyle w:val="TableContents"/>
                                    <w:spacing w:before="0" w:after="0"/>
                                    <w:jc w:val="left"/>
                                    <w:rPr/>
                                  </w:pPr>
                                  <w:r>
                                    <w:rPr/>
                                    <w:t>•</w:t>
                                  </w:r>
                                </w:p>
                              </w:tc>
                              <w:tc>
                                <w:tcPr>
                                  <w:tcW w:w="9215" w:type="dxa"/>
                                  <w:tcBorders/>
                                  <w:shd w:fill="auto" w:val="clear"/>
                                  <w:vAlign w:val="center"/>
                                </w:tcPr>
                                <w:p>
                                  <w:pPr>
                                    <w:pStyle w:val="TableContents"/>
                                    <w:spacing w:before="0" w:after="0"/>
                                    <w:jc w:val="both"/>
                                    <w:rPr>
                                      <w:color w:val="333333"/>
                                      <w:sz w:val="20"/>
                                    </w:rPr>
                                  </w:pPr>
                                  <w:r>
                                    <w:rPr>
                                      <w:color w:val="333333"/>
                                      <w:sz w:val="20"/>
                                    </w:rPr>
                                    <w:t>Credicorp Ltd's ratings would move in tandem with positive rating actions on its main operating subsidiary, BCP.</w:t>
                                  </w:r>
                                </w:p>
                              </w:tc>
                            </w:tr>
                          </w:tbl>
                          <w:tbl>
                            <w:tblPr>
                              <w:tblW w:w="8485" w:type="dxa"/>
                              <w:jc w:val="left"/>
                              <w:tblInd w:w="0" w:type="dxa"/>
                              <w:tblCellMar>
                                <w:top w:w="0" w:type="dxa"/>
                                <w:left w:w="0" w:type="dxa"/>
                                <w:bottom w:w="0" w:type="dxa"/>
                                <w:right w:w="0" w:type="dxa"/>
                              </w:tblCellMar>
                            </w:tblPr>
                            <w:tblGrid>
                              <w:gridCol w:w="125"/>
                              <w:gridCol w:w="8360"/>
                            </w:tblGrid>
                            <w:tr>
                              <w:trPr/>
                              <w:tc>
                                <w:tcPr>
                                  <w:tcW w:w="125" w:type="dxa"/>
                                  <w:tcBorders/>
                                  <w:shd w:fill="auto" w:val="clear"/>
                                  <w:vAlign w:val="center"/>
                                </w:tcPr>
                                <w:p>
                                  <w:pPr>
                                    <w:pStyle w:val="TableContents"/>
                                    <w:spacing w:before="0" w:after="0"/>
                                    <w:ind w:left="136" w:right="0" w:hanging="0"/>
                                    <w:jc w:val="left"/>
                                    <w:rPr/>
                                  </w:pPr>
                                  <w:r>
                                    <w:rPr/>
                                    <w:t>•</w:t>
                                  </w:r>
                                </w:p>
                              </w:tc>
                              <w:tc>
                                <w:tcPr>
                                  <w:tcW w:w="8360" w:type="dxa"/>
                                  <w:tcBorders/>
                                  <w:shd w:fill="auto" w:val="clear"/>
                                  <w:vAlign w:val="center"/>
                                </w:tcPr>
                                <w:p>
                                  <w:pPr>
                                    <w:pStyle w:val="TableContents"/>
                                    <w:spacing w:before="0" w:after="0"/>
                                    <w:jc w:val="both"/>
                                    <w:rPr>
                                      <w:color w:val="333333"/>
                                      <w:sz w:val="20"/>
                                    </w:rPr>
                                  </w:pPr>
                                  <w:r>
                                    <w:rPr>
                                      <w:color w:val="333333"/>
                                      <w:sz w:val="20"/>
                                    </w:rPr>
                                    <w:t>The ratings for Credicorp's senior unsecured debt would move in line with Credicorp's Long-Term IDR.</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t> </w:t>
                      </w:r>
                    </w:p>
                    <w:p>
                      <w:pPr>
                        <w:pStyle w:val="TextBody"/>
                        <w:spacing w:before="0" w:after="0"/>
                        <w:rPr>
                          <w:b/>
                          <w:color w:val="333333"/>
                          <w:sz w:val="20"/>
                        </w:rPr>
                      </w:pPr>
                      <w:r>
                        <w:rPr>
                          <w:b/>
                          <w:color w:val="333333"/>
                          <w:sz w:val="20"/>
                        </w:rPr>
                        <w:t>Credicorp Ltd.</w:t>
                      </w:r>
                    </w:p>
                    <w:p>
                      <w:pPr>
                        <w:pStyle w:val="TextBody"/>
                        <w:spacing w:before="126" w:after="283"/>
                        <w:rPr>
                          <w:b/>
                          <w:color w:val="333333"/>
                          <w:sz w:val="20"/>
                        </w:rPr>
                      </w:pPr>
                      <w:r>
                        <w:rPr>
                          <w:b/>
                          <w:color w:val="333333"/>
                          <w:sz w:val="20"/>
                        </w:rPr>
                        <w:t>Update</w:t>
                      </w:r>
                    </w:p>
                    <w:p>
                      <w:pPr>
                        <w:pStyle w:val="TextBody"/>
                        <w:spacing w:before="185" w:after="283"/>
                        <w:rPr>
                          <w:b/>
                          <w:color w:val="CC0033"/>
                          <w:sz w:val="20"/>
                        </w:rPr>
                      </w:pPr>
                      <w:r>
                        <w:rPr>
                          <w:b/>
                          <w:color w:val="CC0033"/>
                          <w:sz w:val="20"/>
                        </w:rPr>
                        <w:t>Key Rating Drivers</w:t>
                      </w:r>
                    </w:p>
                    <w:p>
                      <w:pPr>
                        <w:pStyle w:val="TextBody"/>
                        <w:spacing w:before="84" w:after="283"/>
                        <w:rPr>
                          <w:b/>
                          <w:color w:val="333333"/>
                          <w:sz w:val="20"/>
                        </w:rPr>
                      </w:pPr>
                      <w:r>
                        <w:rPr>
                          <w:b/>
                          <w:color w:val="333333"/>
                          <w:sz w:val="20"/>
                        </w:rPr>
                        <w:t>IDRs and Senior Debt</w:t>
                      </w:r>
                    </w:p>
                    <w:p>
                      <w:pPr>
                        <w:pStyle w:val="TextBody"/>
                        <w:spacing w:before="56" w:after="283"/>
                        <w:jc w:val="both"/>
                        <w:rPr>
                          <w:color w:val="333333"/>
                        </w:rPr>
                      </w:pPr>
                      <w:r>
                        <w:rPr>
                          <w:b/>
                          <w:color w:val="333333"/>
                          <w:sz w:val="20"/>
                        </w:rPr>
                        <w:t xml:space="preserve">IDRs Driven by Main Subsidiary's IDRs: </w:t>
                      </w:r>
                      <w:r>
                        <w:rPr>
                          <w:color w:val="333333"/>
                          <w:sz w:val="20"/>
                        </w:rPr>
                        <w:t>Credicorp's IDRs are driven primarily by the IDR of its main subsidiary, BCP, which has a strong business and financial profile. Credicorp's Foreign Currency Long-Term IDR of 'BBB' with a Negative Outlook is equalized with BCP's rating.</w:t>
                      </w:r>
                    </w:p>
                    <w:p>
                      <w:pPr>
                        <w:pStyle w:val="TextBody"/>
                        <w:spacing w:before="121" w:after="283"/>
                        <w:jc w:val="both"/>
                        <w:rPr>
                          <w:color w:val="333333"/>
                        </w:rPr>
                      </w:pPr>
                      <w:r>
                        <w:rPr>
                          <w:b/>
                          <w:color w:val="333333"/>
                          <w:sz w:val="20"/>
                        </w:rPr>
                        <w:t xml:space="preserve">Low Double Leverage: </w:t>
                      </w:r>
                      <w:r>
                        <w:rPr>
                          <w:color w:val="333333"/>
                          <w:sz w:val="20"/>
                        </w:rPr>
                        <w:t>The equalization is mainly driven by Credicorp's low double leverage and its strong liquidity management. Double leverage reached 102.1% at YE 2022. There is a long track record of significant dividend flows that provide the bulk of Credicorp's liquidity.</w:t>
                      </w:r>
                    </w:p>
                    <w:p>
                      <w:pPr>
                        <w:pStyle w:val="TextBody"/>
                        <w:spacing w:before="123" w:after="283"/>
                        <w:jc w:val="both"/>
                        <w:rPr>
                          <w:color w:val="333333"/>
                        </w:rPr>
                      </w:pPr>
                      <w:r>
                        <w:rPr>
                          <w:b/>
                          <w:color w:val="333333"/>
                          <w:sz w:val="20"/>
                        </w:rPr>
                        <w:t xml:space="preserve">Strong Corporate Strategy: </w:t>
                      </w:r>
                      <w:r>
                        <w:rPr>
                          <w:color w:val="333333"/>
                          <w:sz w:val="20"/>
                        </w:rPr>
                        <w:t>Credicorp is a non-operating holding company that maintains an integrated business platform composed of leading Peruvian and Bolivian banking, insurance, pension, and asset and wealth management companies, as well as entities in the microfinance sector in Peru and Colombia.</w:t>
                      </w:r>
                    </w:p>
                    <w:p>
                      <w:pPr>
                        <w:pStyle w:val="TextBody"/>
                        <w:spacing w:before="119" w:after="283"/>
                        <w:jc w:val="both"/>
                        <w:rPr>
                          <w:color w:val="333333"/>
                        </w:rPr>
                      </w:pPr>
                      <w:r>
                        <w:rPr>
                          <w:b/>
                          <w:color w:val="333333"/>
                          <w:sz w:val="20"/>
                        </w:rPr>
                        <w:t xml:space="preserve">Consistent Performance: </w:t>
                      </w:r>
                      <w:r>
                        <w:rPr>
                          <w:color w:val="333333"/>
                          <w:sz w:val="20"/>
                        </w:rPr>
                        <w:t>Credicorp's capital structure benefits from its subsidiaries' profitability, which allows it to maintain consistent dividend flows. Asset quality ratios on a consolidated basis were: 90-days impaired loans to total loan ratio at YE 2022 was 3.1% (YE 2021: 2.9%) and reserve coverage was 170.4% (YE 2021: 201.7%).</w:t>
                      </w:r>
                    </w:p>
                    <w:p>
                      <w:pPr>
                        <w:pStyle w:val="TextBody"/>
                        <w:spacing w:before="119" w:after="283"/>
                        <w:jc w:val="both"/>
                        <w:rPr>
                          <w:color w:val="333333"/>
                        </w:rPr>
                      </w:pPr>
                      <w:r>
                        <w:rPr>
                          <w:b/>
                          <w:color w:val="333333"/>
                          <w:sz w:val="20"/>
                        </w:rPr>
                        <w:t xml:space="preserve">Improving Profitability: </w:t>
                      </w:r>
                      <w:r>
                        <w:rPr>
                          <w:color w:val="333333"/>
                          <w:sz w:val="20"/>
                        </w:rPr>
                        <w:t>Following the profitability improvement in its main subsidiary, Credicorp's consolidated profitability is improving and close to pre-pandemic levels (ROAE and ROAA at YE22: 17.1% and 2.0%, respectively).</w:t>
                      </w:r>
                    </w:p>
                    <w:p>
                      <w:pPr>
                        <w:pStyle w:val="TextBody"/>
                        <w:spacing w:before="123" w:after="283"/>
                        <w:jc w:val="both"/>
                        <w:rPr>
                          <w:color w:val="333333"/>
                        </w:rPr>
                      </w:pPr>
                      <w:r>
                        <w:rPr>
                          <w:b/>
                          <w:color w:val="333333"/>
                          <w:sz w:val="20"/>
                        </w:rPr>
                        <w:t xml:space="preserve">Senior Debt Ratings: </w:t>
                      </w:r>
                      <w:r>
                        <w:rPr>
                          <w:color w:val="333333"/>
                          <w:sz w:val="20"/>
                        </w:rPr>
                        <w:t>The senior global debt rating is at the same level as Credicorp's Long-Term IDRs of 'BBB', as the likelihood of default of the notes is the same as that of Credicorp.</w:t>
                      </w:r>
                    </w:p>
                    <w:p>
                      <w:pPr>
                        <w:pStyle w:val="TextBody"/>
                        <w:spacing w:before="170" w:after="283"/>
                        <w:rPr>
                          <w:b/>
                          <w:color w:val="CC0033"/>
                          <w:sz w:val="20"/>
                        </w:rPr>
                      </w:pPr>
                      <w:r>
                        <w:rPr>
                          <w:b/>
                          <w:color w:val="CC0033"/>
                          <w:sz w:val="20"/>
                        </w:rPr>
                        <w:t>Rating Sensitivities</w:t>
                      </w:r>
                    </w:p>
                    <w:p>
                      <w:pPr>
                        <w:pStyle w:val="TextBody"/>
                        <w:spacing w:before="83" w:after="283"/>
                        <w:rPr>
                          <w:b/>
                          <w:color w:val="333333"/>
                          <w:sz w:val="20"/>
                        </w:rPr>
                      </w:pPr>
                      <w:r>
                        <w:rPr>
                          <w:b/>
                          <w:color w:val="333333"/>
                          <w:sz w:val="20"/>
                        </w:rPr>
                        <w:t>Factors that could, individually or collectively, lead to negative rating action/downgrade:</w:t>
                      </w:r>
                    </w:p>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jc w:val="left"/>
                              <w:rPr/>
                            </w:pPr>
                            <w:r>
                              <w:rPr/>
                              <w:t>•</w:t>
                            </w:r>
                          </w:p>
                        </w:tc>
                        <w:tc>
                          <w:tcPr>
                            <w:tcW w:w="10080" w:type="dxa"/>
                            <w:tcBorders/>
                            <w:shd w:fill="auto" w:val="clear"/>
                            <w:vAlign w:val="center"/>
                          </w:tcPr>
                          <w:p>
                            <w:pPr>
                              <w:pStyle w:val="TableContents"/>
                              <w:spacing w:before="0" w:after="0"/>
                              <w:jc w:val="both"/>
                              <w:rPr>
                                <w:color w:val="333333"/>
                                <w:sz w:val="20"/>
                              </w:rPr>
                            </w:pPr>
                            <w:r>
                              <w:rPr>
                                <w:color w:val="333333"/>
                                <w:sz w:val="20"/>
                              </w:rPr>
                              <w:t>Credicorp's IDRs would remain at the same level as BCP's and would move in tandem with any rating actions on its main operating subsidiary. However, the relativity between these two entities' ratings could also be affected and the holding company downgraded in the event of a material and sustained increase in Credicorp's double- leverage metrics (above 1.2x) and if Fitch perceives a material weakening of the holding company's liquidity position and its management.</w:t>
                            </w:r>
                          </w:p>
                        </w:tc>
                      </w:tr>
                    </w:tbl>
                    <w:tbl>
                      <w:tblPr>
                        <w:tblW w:w="10205" w:type="dxa"/>
                        <w:jc w:val="left"/>
                        <w:tblInd w:w="0" w:type="dxa"/>
                        <w:tblCellMar>
                          <w:top w:w="0" w:type="dxa"/>
                          <w:left w:w="0" w:type="dxa"/>
                          <w:bottom w:w="0" w:type="dxa"/>
                          <w:right w:w="0" w:type="dxa"/>
                        </w:tblCellMar>
                      </w:tblPr>
                      <w:tblGrid>
                        <w:gridCol w:w="125"/>
                        <w:gridCol w:w="10080"/>
                      </w:tblGrid>
                      <w:tr>
                        <w:trPr/>
                        <w:tc>
                          <w:tcPr>
                            <w:tcW w:w="125" w:type="dxa"/>
                            <w:tcBorders/>
                            <w:shd w:fill="auto" w:val="clear"/>
                            <w:vAlign w:val="center"/>
                          </w:tcPr>
                          <w:p>
                            <w:pPr>
                              <w:pStyle w:val="TableContents"/>
                              <w:spacing w:before="0" w:after="0"/>
                              <w:jc w:val="left"/>
                              <w:rPr/>
                            </w:pPr>
                            <w:r>
                              <w:rPr/>
                              <w:t>•</w:t>
                            </w:r>
                          </w:p>
                        </w:tc>
                        <w:tc>
                          <w:tcPr>
                            <w:tcW w:w="10080" w:type="dxa"/>
                            <w:tcBorders/>
                            <w:shd w:fill="auto" w:val="clear"/>
                            <w:vAlign w:val="center"/>
                          </w:tcPr>
                          <w:p>
                            <w:pPr>
                              <w:pStyle w:val="TableContents"/>
                              <w:spacing w:before="0" w:after="0"/>
                              <w:jc w:val="both"/>
                              <w:rPr>
                                <w:color w:val="333333"/>
                                <w:sz w:val="20"/>
                              </w:rPr>
                            </w:pPr>
                            <w:r>
                              <w:rPr>
                                <w:color w:val="333333"/>
                                <w:sz w:val="20"/>
                              </w:rPr>
                              <w:t>A change in the dividend flows from the operating companies or debt levels at the holding company that affects its debt coverage ratios could also be detrimental to Credicorp's ratings.</w:t>
                            </w:r>
                          </w:p>
                        </w:tc>
                      </w:tr>
                    </w:tbl>
                    <w:tbl>
                      <w:tblPr>
                        <w:tblW w:w="7765" w:type="dxa"/>
                        <w:jc w:val="left"/>
                        <w:tblInd w:w="0" w:type="dxa"/>
                        <w:tblCellMar>
                          <w:top w:w="0" w:type="dxa"/>
                          <w:left w:w="0" w:type="dxa"/>
                          <w:bottom w:w="0" w:type="dxa"/>
                          <w:right w:w="0" w:type="dxa"/>
                        </w:tblCellMar>
                      </w:tblPr>
                      <w:tblGrid>
                        <w:gridCol w:w="125"/>
                        <w:gridCol w:w="7640"/>
                      </w:tblGrid>
                      <w:tr>
                        <w:trPr/>
                        <w:tc>
                          <w:tcPr>
                            <w:tcW w:w="125" w:type="dxa"/>
                            <w:tcBorders/>
                            <w:shd w:fill="auto" w:val="clear"/>
                            <w:vAlign w:val="center"/>
                          </w:tcPr>
                          <w:p>
                            <w:pPr>
                              <w:pStyle w:val="TableContents"/>
                              <w:spacing w:before="0" w:after="0"/>
                              <w:jc w:val="left"/>
                              <w:rPr/>
                            </w:pPr>
                            <w:r>
                              <w:rPr/>
                              <w:t>•</w:t>
                            </w:r>
                          </w:p>
                        </w:tc>
                        <w:tc>
                          <w:tcPr>
                            <w:tcW w:w="7640" w:type="dxa"/>
                            <w:tcBorders/>
                            <w:shd w:fill="auto" w:val="clear"/>
                            <w:vAlign w:val="center"/>
                          </w:tcPr>
                          <w:p>
                            <w:pPr>
                              <w:pStyle w:val="TableContents"/>
                              <w:spacing w:before="0" w:after="0"/>
                              <w:jc w:val="both"/>
                              <w:rPr>
                                <w:color w:val="333333"/>
                                <w:sz w:val="20"/>
                              </w:rPr>
                            </w:pPr>
                            <w:r>
                              <w:rPr>
                                <w:color w:val="333333"/>
                                <w:sz w:val="20"/>
                              </w:rPr>
                              <w:t>The ratings for Credicorp's senior unsecured debt would move in line with its Long-Term IDR.</w:t>
                            </w:r>
                          </w:p>
                        </w:tc>
                      </w:tr>
                    </w:tbl>
                    <w:p>
                      <w:pPr>
                        <w:pStyle w:val="TextBody"/>
                        <w:spacing w:before="134" w:after="283"/>
                        <w:rPr>
                          <w:b/>
                          <w:color w:val="333333"/>
                          <w:sz w:val="20"/>
                        </w:rPr>
                      </w:pPr>
                      <w:r>
                        <w:rPr>
                          <w:b/>
                          <w:color w:val="333333"/>
                          <w:sz w:val="20"/>
                        </w:rPr>
                        <w:t>Factors that could, individually or collectively, lead to positive rating action/upgrade:</w:t>
                      </w:r>
                    </w:p>
                    <w:tbl>
                      <w:tblPr>
                        <w:tblW w:w="9340" w:type="dxa"/>
                        <w:jc w:val="left"/>
                        <w:tblInd w:w="0" w:type="dxa"/>
                        <w:tblCellMar>
                          <w:top w:w="0" w:type="dxa"/>
                          <w:left w:w="0" w:type="dxa"/>
                          <w:bottom w:w="0" w:type="dxa"/>
                          <w:right w:w="0" w:type="dxa"/>
                        </w:tblCellMar>
                      </w:tblPr>
                      <w:tblGrid>
                        <w:gridCol w:w="125"/>
                        <w:gridCol w:w="9215"/>
                      </w:tblGrid>
                      <w:tr>
                        <w:trPr/>
                        <w:tc>
                          <w:tcPr>
                            <w:tcW w:w="125" w:type="dxa"/>
                            <w:tcBorders/>
                            <w:shd w:fill="auto" w:val="clear"/>
                            <w:vAlign w:val="center"/>
                          </w:tcPr>
                          <w:p>
                            <w:pPr>
                              <w:pStyle w:val="TableContents"/>
                              <w:spacing w:before="0" w:after="0"/>
                              <w:jc w:val="left"/>
                              <w:rPr/>
                            </w:pPr>
                            <w:r>
                              <w:rPr/>
                              <w:t>•</w:t>
                            </w:r>
                          </w:p>
                        </w:tc>
                        <w:tc>
                          <w:tcPr>
                            <w:tcW w:w="9215" w:type="dxa"/>
                            <w:tcBorders/>
                            <w:shd w:fill="auto" w:val="clear"/>
                            <w:vAlign w:val="center"/>
                          </w:tcPr>
                          <w:p>
                            <w:pPr>
                              <w:pStyle w:val="TableContents"/>
                              <w:spacing w:before="0" w:after="0"/>
                              <w:jc w:val="both"/>
                              <w:rPr>
                                <w:color w:val="333333"/>
                                <w:sz w:val="20"/>
                              </w:rPr>
                            </w:pPr>
                            <w:r>
                              <w:rPr>
                                <w:color w:val="333333"/>
                                <w:sz w:val="20"/>
                              </w:rPr>
                              <w:t>Credicorp Ltd's ratings would move in tandem with positive rating actions on its main operating subsidiary, BCP.</w:t>
                            </w:r>
                          </w:p>
                        </w:tc>
                      </w:tr>
                    </w:tbl>
                    <w:tbl>
                      <w:tblPr>
                        <w:tblW w:w="8485" w:type="dxa"/>
                        <w:jc w:val="left"/>
                        <w:tblInd w:w="0" w:type="dxa"/>
                        <w:tblCellMar>
                          <w:top w:w="0" w:type="dxa"/>
                          <w:left w:w="0" w:type="dxa"/>
                          <w:bottom w:w="0" w:type="dxa"/>
                          <w:right w:w="0" w:type="dxa"/>
                        </w:tblCellMar>
                      </w:tblPr>
                      <w:tblGrid>
                        <w:gridCol w:w="125"/>
                        <w:gridCol w:w="8360"/>
                      </w:tblGrid>
                      <w:tr>
                        <w:trPr/>
                        <w:tc>
                          <w:tcPr>
                            <w:tcW w:w="125" w:type="dxa"/>
                            <w:tcBorders/>
                            <w:shd w:fill="auto" w:val="clear"/>
                            <w:vAlign w:val="center"/>
                          </w:tcPr>
                          <w:p>
                            <w:pPr>
                              <w:pStyle w:val="TableContents"/>
                              <w:spacing w:before="0" w:after="0"/>
                              <w:ind w:left="136" w:right="0" w:hanging="0"/>
                              <w:jc w:val="left"/>
                              <w:rPr/>
                            </w:pPr>
                            <w:r>
                              <w:rPr/>
                              <w:t>•</w:t>
                            </w:r>
                          </w:p>
                        </w:tc>
                        <w:tc>
                          <w:tcPr>
                            <w:tcW w:w="8360" w:type="dxa"/>
                            <w:tcBorders/>
                            <w:shd w:fill="auto" w:val="clear"/>
                            <w:vAlign w:val="center"/>
                          </w:tcPr>
                          <w:p>
                            <w:pPr>
                              <w:pStyle w:val="TableContents"/>
                              <w:spacing w:before="0" w:after="0"/>
                              <w:jc w:val="both"/>
                              <w:rPr>
                                <w:color w:val="333333"/>
                                <w:sz w:val="20"/>
                              </w:rPr>
                            </w:pPr>
                            <w:r>
                              <w:rPr>
                                <w:color w:val="333333"/>
                                <w:sz w:val="20"/>
                              </w:rPr>
                              <w:t>The ratings for Credicorp's senior unsecured debt would move in line with Credicorp's Long-Term IDR.</w:t>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2">
                <wp:simplePos x="0" y="0"/>
                <wp:positionH relativeFrom="column">
                  <wp:align>right</wp:align>
                </wp:positionH>
                <wp:positionV relativeFrom="line">
                  <wp:posOffset>635</wp:posOffset>
                </wp:positionV>
                <wp:extent cx="3110230" cy="9972040"/>
                <wp:effectExtent l="0" t="0" r="0" b="0"/>
                <wp:wrapSquare wrapText="largest"/>
                <wp:docPr id="4" name="Frame2"/>
                <a:graphic xmlns:a="http://schemas.openxmlformats.org/drawingml/2006/main">
                  <a:graphicData uri="http://schemas.microsoft.com/office/word/2010/wordprocessingShape">
                    <wps:wsp>
                      <wps:cNvSpPr txBox="1"/>
                      <wps:spPr>
                        <a:xfrm>
                          <a:off x="0" y="0"/>
                          <a:ext cx="3110230" cy="9972040"/>
                        </a:xfrm>
                        <a:prstGeom prst="rect"/>
                      </wps:spPr>
                      <wps:txbx>
                        <w:txbxContent>
                          <w:p>
                            <w:pPr>
                              <w:pStyle w:val="TextBody"/>
                              <w:spacing w:before="0" w:after="0"/>
                              <w:rPr/>
                            </w:pPr>
                            <w:r>
                              <w:rPr/>
                              <w:t xml:space="preserve">  </w:t>
                            </w:r>
                          </w:p>
                          <w:tbl>
                            <w:tblPr>
                              <w:tblW w:w="5198" w:type="dxa"/>
                              <w:jc w:val="left"/>
                              <w:tblInd w:w="0" w:type="dxa"/>
                              <w:tblCellMar>
                                <w:top w:w="0" w:type="dxa"/>
                                <w:left w:w="0" w:type="dxa"/>
                                <w:bottom w:w="28" w:type="dxa"/>
                                <w:right w:w="0" w:type="dxa"/>
                              </w:tblCellMar>
                            </w:tblPr>
                            <w:tblGrid>
                              <w:gridCol w:w="4428"/>
                              <w:gridCol w:w="770"/>
                            </w:tblGrid>
                            <w:tr>
                              <w:trPr/>
                              <w:tc>
                                <w:tcPr>
                                  <w:tcW w:w="4428" w:type="dxa"/>
                                  <w:tcBorders>
                                    <w:bottom w:val="single" w:sz="12" w:space="0" w:color="7D878D"/>
                                  </w:tcBorders>
                                  <w:shd w:fill="EEEFF0" w:val="clear"/>
                                  <w:vAlign w:val="center"/>
                                </w:tcPr>
                                <w:p>
                                  <w:pPr>
                                    <w:pStyle w:val="TableContents"/>
                                    <w:spacing w:before="10" w:after="283"/>
                                    <w:rPr>
                                      <w:b/>
                                      <w:color w:val="333333"/>
                                      <w:sz w:val="20"/>
                                    </w:rPr>
                                  </w:pPr>
                                  <w:r>
                                    <w:rPr>
                                      <w:b/>
                                      <w:color w:val="333333"/>
                                      <w:sz w:val="20"/>
                                    </w:rPr>
                                    <w:t>Ratings</w:t>
                                  </w:r>
                                </w:p>
                              </w:tc>
                              <w:tc>
                                <w:tcPr>
                                  <w:tcW w:w="770" w:type="dxa"/>
                                  <w:tcBorders>
                                    <w:bottom w:val="single" w:sz="12" w:space="0" w:color="7D878D"/>
                                  </w:tcBorders>
                                  <w:shd w:fill="EEEFF0" w:val="clear"/>
                                  <w:vAlign w:val="center"/>
                                </w:tcPr>
                                <w:p>
                                  <w:pPr>
                                    <w:pStyle w:val="TableContents"/>
                                    <w:spacing w:before="0" w:after="283"/>
                                    <w:rPr/>
                                  </w:pPr>
                                  <w:r>
                                    <w:rPr/>
                                    <w:t> </w:t>
                                  </w:r>
                                </w:p>
                              </w:tc>
                            </w:tr>
                            <w:tr>
                              <w:trPr/>
                              <w:tc>
                                <w:tcPr>
                                  <w:tcW w:w="4428" w:type="dxa"/>
                                  <w:tcBorders>
                                    <w:top w:val="single" w:sz="12" w:space="0" w:color="7D878D"/>
                                  </w:tcBorders>
                                  <w:shd w:fill="EEEFF0" w:val="clear"/>
                                  <w:tcMar>
                                    <w:top w:w="28" w:type="dxa"/>
                                    <w:bottom w:w="0" w:type="dxa"/>
                                  </w:tcMar>
                                  <w:vAlign w:val="center"/>
                                </w:tcPr>
                                <w:p>
                                  <w:pPr>
                                    <w:pStyle w:val="TableContents"/>
                                    <w:spacing w:before="88" w:after="283"/>
                                    <w:ind w:left="28" w:right="0" w:hanging="0"/>
                                    <w:rPr>
                                      <w:b/>
                                      <w:color w:val="333333"/>
                                      <w:sz w:val="20"/>
                                    </w:rPr>
                                  </w:pPr>
                                  <w:r>
                                    <w:rPr>
                                      <w:b/>
                                      <w:color w:val="333333"/>
                                      <w:sz w:val="20"/>
                                    </w:rPr>
                                    <w:t>Foreign Currency</w:t>
                                  </w:r>
                                </w:p>
                              </w:tc>
                              <w:tc>
                                <w:tcPr>
                                  <w:tcW w:w="770" w:type="dxa"/>
                                  <w:tcBorders>
                                    <w:top w:val="single" w:sz="12" w:space="0" w:color="7D878D"/>
                                  </w:tcBorders>
                                  <w:shd w:fill="EEEFF0" w:val="clear"/>
                                  <w:tcMar>
                                    <w:top w:w="28" w:type="dxa"/>
                                    <w:bottom w:w="0" w:type="dxa"/>
                                  </w:tcMar>
                                  <w:vAlign w:val="center"/>
                                </w:tcPr>
                                <w:p>
                                  <w:pPr>
                                    <w:pStyle w:val="TableContents"/>
                                    <w:spacing w:before="0" w:after="283"/>
                                    <w:rPr/>
                                  </w:pPr>
                                  <w:r>
                                    <w:rPr/>
                                    <w:t> </w:t>
                                  </w:r>
                                </w:p>
                              </w:tc>
                            </w:tr>
                            <w:tr>
                              <w:trPr/>
                              <w:tc>
                                <w:tcPr>
                                  <w:tcW w:w="4428" w:type="dxa"/>
                                  <w:tcBorders/>
                                  <w:shd w:fill="EEEFF0" w:val="clear"/>
                                  <w:tcMar>
                                    <w:bottom w:w="0" w:type="dxa"/>
                                  </w:tcMar>
                                  <w:vAlign w:val="center"/>
                                </w:tcPr>
                                <w:p>
                                  <w:pPr>
                                    <w:pStyle w:val="TableContents"/>
                                    <w:spacing w:before="13" w:after="283"/>
                                    <w:ind w:left="28" w:right="0" w:hanging="0"/>
                                    <w:rPr>
                                      <w:color w:val="333333"/>
                                      <w:sz w:val="20"/>
                                    </w:rPr>
                                  </w:pPr>
                                  <w:r>
                                    <w:rPr>
                                      <w:color w:val="333333"/>
                                      <w:sz w:val="20"/>
                                    </w:rPr>
                                    <w:t>Long-Term IDR</w:t>
                                  </w:r>
                                </w:p>
                              </w:tc>
                              <w:tc>
                                <w:tcPr>
                                  <w:tcW w:w="770" w:type="dxa"/>
                                  <w:tcBorders/>
                                  <w:shd w:fill="EEEFF0" w:val="clear"/>
                                  <w:tcMar>
                                    <w:bottom w:w="0" w:type="dxa"/>
                                  </w:tcMar>
                                  <w:vAlign w:val="center"/>
                                </w:tcPr>
                                <w:p>
                                  <w:pPr>
                                    <w:pStyle w:val="TableContents"/>
                                    <w:spacing w:before="13" w:after="283"/>
                                    <w:ind w:left="49" w:right="0" w:hanging="0"/>
                                    <w:rPr>
                                      <w:color w:val="333333"/>
                                      <w:sz w:val="20"/>
                                    </w:rPr>
                                  </w:pPr>
                                  <w:r>
                                    <w:rPr>
                                      <w:color w:val="333333"/>
                                      <w:sz w:val="20"/>
                                    </w:rPr>
                                    <w:t>BBB</w:t>
                                  </w:r>
                                </w:p>
                              </w:tc>
                            </w:tr>
                            <w:tr>
                              <w:trPr/>
                              <w:tc>
                                <w:tcPr>
                                  <w:tcW w:w="4428" w:type="dxa"/>
                                  <w:tcBorders/>
                                  <w:shd w:fill="EEEFF0" w:val="clear"/>
                                  <w:tcMar>
                                    <w:bottom w:w="0" w:type="dxa"/>
                                  </w:tcMar>
                                  <w:vAlign w:val="center"/>
                                </w:tcPr>
                                <w:p>
                                  <w:pPr>
                                    <w:pStyle w:val="TableContents"/>
                                    <w:spacing w:before="8" w:after="283"/>
                                    <w:ind w:left="28" w:right="0" w:hanging="0"/>
                                    <w:rPr>
                                      <w:color w:val="333333"/>
                                      <w:sz w:val="20"/>
                                    </w:rPr>
                                  </w:pPr>
                                  <w:r>
                                    <w:rPr>
                                      <w:color w:val="333333"/>
                                      <w:sz w:val="20"/>
                                    </w:rPr>
                                    <w:t>Short-Term IDR</w:t>
                                  </w:r>
                                </w:p>
                              </w:tc>
                              <w:tc>
                                <w:tcPr>
                                  <w:tcW w:w="770" w:type="dxa"/>
                                  <w:tcBorders/>
                                  <w:shd w:fill="EEEFF0" w:val="clear"/>
                                  <w:tcMar>
                                    <w:bottom w:w="0" w:type="dxa"/>
                                  </w:tcMar>
                                  <w:vAlign w:val="center"/>
                                </w:tcPr>
                                <w:p>
                                  <w:pPr>
                                    <w:pStyle w:val="TableContents"/>
                                    <w:spacing w:before="8" w:after="283"/>
                                    <w:ind w:left="49" w:right="0" w:hanging="0"/>
                                    <w:rPr>
                                      <w:color w:val="333333"/>
                                      <w:sz w:val="20"/>
                                    </w:rPr>
                                  </w:pPr>
                                  <w:r>
                                    <w:rPr>
                                      <w:color w:val="333333"/>
                                      <w:sz w:val="20"/>
                                    </w:rPr>
                                    <w:t>F2</w:t>
                                  </w:r>
                                </w:p>
                              </w:tc>
                            </w:tr>
                            <w:tr>
                              <w:trPr/>
                              <w:tc>
                                <w:tcPr>
                                  <w:tcW w:w="4428" w:type="dxa"/>
                                  <w:tcBorders/>
                                  <w:shd w:fill="EEEFF0" w:val="clear"/>
                                  <w:tcMar>
                                    <w:bottom w:w="0" w:type="dxa"/>
                                  </w:tcMar>
                                  <w:vAlign w:val="center"/>
                                </w:tcPr>
                                <w:p>
                                  <w:pPr>
                                    <w:pStyle w:val="TableContents"/>
                                    <w:spacing w:before="128" w:after="283"/>
                                    <w:ind w:left="28" w:right="0" w:hanging="0"/>
                                    <w:rPr>
                                      <w:b/>
                                      <w:color w:val="333333"/>
                                      <w:sz w:val="20"/>
                                    </w:rPr>
                                  </w:pPr>
                                  <w:r>
                                    <w:rPr>
                                      <w:b/>
                                      <w:color w:val="333333"/>
                                      <w:sz w:val="20"/>
                                    </w:rPr>
                                    <w:t>Sovereign Risk (Peru)</w:t>
                                  </w:r>
                                </w:p>
                              </w:tc>
                              <w:tc>
                                <w:tcPr>
                                  <w:tcW w:w="770" w:type="dxa"/>
                                  <w:tcBorders/>
                                  <w:shd w:fill="EEEFF0" w:val="clear"/>
                                  <w:tcMar>
                                    <w:bottom w:w="0" w:type="dxa"/>
                                  </w:tcMar>
                                  <w:vAlign w:val="center"/>
                                </w:tcPr>
                                <w:p>
                                  <w:pPr>
                                    <w:pStyle w:val="TableContents"/>
                                    <w:spacing w:before="0" w:after="283"/>
                                    <w:rPr/>
                                  </w:pPr>
                                  <w:r>
                                    <w:rPr/>
                                  </w:r>
                                </w:p>
                              </w:tc>
                            </w:tr>
                            <w:tr>
                              <w:trPr/>
                              <w:tc>
                                <w:tcPr>
                                  <w:tcW w:w="4428" w:type="dxa"/>
                                  <w:tcBorders/>
                                  <w:shd w:fill="EEEFF0" w:val="clear"/>
                                  <w:tcMar>
                                    <w:bottom w:w="0" w:type="dxa"/>
                                  </w:tcMar>
                                  <w:vAlign w:val="center"/>
                                </w:tcPr>
                                <w:p>
                                  <w:pPr>
                                    <w:pStyle w:val="TableContents"/>
                                    <w:spacing w:before="8" w:after="283"/>
                                    <w:ind w:left="28" w:right="0" w:hanging="0"/>
                                    <w:rPr>
                                      <w:color w:val="333333"/>
                                      <w:sz w:val="20"/>
                                    </w:rPr>
                                  </w:pPr>
                                  <w:r>
                                    <w:rPr>
                                      <w:color w:val="333333"/>
                                      <w:sz w:val="20"/>
                                    </w:rPr>
                                    <w:t>Long-Term Foreign-Currency IDR</w:t>
                                  </w:r>
                                </w:p>
                              </w:tc>
                              <w:tc>
                                <w:tcPr>
                                  <w:tcW w:w="770" w:type="dxa"/>
                                  <w:tcBorders/>
                                  <w:shd w:fill="EEEFF0" w:val="clear"/>
                                  <w:tcMar>
                                    <w:bottom w:w="0" w:type="dxa"/>
                                  </w:tcMar>
                                  <w:vAlign w:val="center"/>
                                </w:tcPr>
                                <w:p>
                                  <w:pPr>
                                    <w:pStyle w:val="TableContents"/>
                                    <w:spacing w:before="8" w:after="283"/>
                                    <w:ind w:left="49" w:right="0" w:hanging="0"/>
                                    <w:rPr>
                                      <w:color w:val="333333"/>
                                      <w:sz w:val="20"/>
                                    </w:rPr>
                                  </w:pPr>
                                  <w:r>
                                    <w:rPr>
                                      <w:color w:val="333333"/>
                                      <w:sz w:val="20"/>
                                    </w:rPr>
                                    <w:t>BBB</w:t>
                                  </w:r>
                                </w:p>
                              </w:tc>
                            </w:tr>
                            <w:tr>
                              <w:trPr/>
                              <w:tc>
                                <w:tcPr>
                                  <w:tcW w:w="4428" w:type="dxa"/>
                                  <w:tcBorders/>
                                  <w:shd w:fill="EEEFF0" w:val="clear"/>
                                  <w:tcMar>
                                    <w:bottom w:w="0" w:type="dxa"/>
                                  </w:tcMar>
                                  <w:vAlign w:val="center"/>
                                </w:tcPr>
                                <w:p>
                                  <w:pPr>
                                    <w:pStyle w:val="TableContents"/>
                                    <w:spacing w:before="8" w:after="283"/>
                                    <w:ind w:left="28" w:right="0" w:hanging="0"/>
                                    <w:rPr>
                                      <w:color w:val="333333"/>
                                      <w:sz w:val="20"/>
                                    </w:rPr>
                                  </w:pPr>
                                  <w:r>
                                    <w:rPr>
                                      <w:color w:val="333333"/>
                                      <w:sz w:val="20"/>
                                    </w:rPr>
                                    <w:t>Long-Term Local-Currency IDR</w:t>
                                  </w:r>
                                </w:p>
                              </w:tc>
                              <w:tc>
                                <w:tcPr>
                                  <w:tcW w:w="770" w:type="dxa"/>
                                  <w:tcBorders/>
                                  <w:shd w:fill="EEEFF0" w:val="clear"/>
                                  <w:tcMar>
                                    <w:bottom w:w="0" w:type="dxa"/>
                                  </w:tcMar>
                                  <w:vAlign w:val="center"/>
                                </w:tcPr>
                                <w:p>
                                  <w:pPr>
                                    <w:pStyle w:val="TableContents"/>
                                    <w:spacing w:before="8" w:after="283"/>
                                    <w:ind w:left="49" w:right="0" w:hanging="0"/>
                                    <w:rPr>
                                      <w:color w:val="333333"/>
                                      <w:sz w:val="20"/>
                                    </w:rPr>
                                  </w:pPr>
                                  <w:r>
                                    <w:rPr>
                                      <w:color w:val="333333"/>
                                      <w:sz w:val="20"/>
                                    </w:rPr>
                                    <w:t>BBB</w:t>
                                  </w:r>
                                </w:p>
                              </w:tc>
                            </w:tr>
                            <w:tr>
                              <w:trPr/>
                              <w:tc>
                                <w:tcPr>
                                  <w:tcW w:w="4428" w:type="dxa"/>
                                  <w:tcBorders/>
                                  <w:shd w:fill="EEEFF0" w:val="clear"/>
                                  <w:tcMar>
                                    <w:bottom w:w="0" w:type="dxa"/>
                                  </w:tcMar>
                                  <w:vAlign w:val="center"/>
                                </w:tcPr>
                                <w:p>
                                  <w:pPr>
                                    <w:pStyle w:val="TableContents"/>
                                    <w:spacing w:before="8" w:after="283"/>
                                    <w:ind w:left="28" w:right="0" w:hanging="0"/>
                                    <w:rPr>
                                      <w:color w:val="333333"/>
                                      <w:sz w:val="20"/>
                                    </w:rPr>
                                  </w:pPr>
                                  <w:r>
                                    <w:rPr>
                                      <w:color w:val="333333"/>
                                      <w:sz w:val="20"/>
                                    </w:rPr>
                                    <w:t>Country Ceiling</w:t>
                                  </w:r>
                                </w:p>
                              </w:tc>
                              <w:tc>
                                <w:tcPr>
                                  <w:tcW w:w="770" w:type="dxa"/>
                                  <w:tcBorders/>
                                  <w:shd w:fill="EEEFF0" w:val="clear"/>
                                  <w:tcMar>
                                    <w:bottom w:w="0" w:type="dxa"/>
                                  </w:tcMar>
                                  <w:vAlign w:val="center"/>
                                </w:tcPr>
                                <w:p>
                                  <w:pPr>
                                    <w:pStyle w:val="TableContents"/>
                                    <w:spacing w:before="8" w:after="283"/>
                                    <w:ind w:left="49" w:right="0" w:hanging="0"/>
                                    <w:rPr>
                                      <w:color w:val="333333"/>
                                      <w:sz w:val="20"/>
                                    </w:rPr>
                                  </w:pPr>
                                  <w:r>
                                    <w:rPr>
                                      <w:color w:val="333333"/>
                                      <w:sz w:val="20"/>
                                    </w:rPr>
                                    <w:t>BBB+</w:t>
                                  </w:r>
                                </w:p>
                              </w:tc>
                            </w:tr>
                            <w:tr>
                              <w:trPr/>
                              <w:tc>
                                <w:tcPr>
                                  <w:tcW w:w="4428" w:type="dxa"/>
                                  <w:tcBorders/>
                                  <w:shd w:fill="EEEFF0" w:val="clear"/>
                                  <w:tcMar>
                                    <w:bottom w:w="0" w:type="dxa"/>
                                  </w:tcMar>
                                  <w:vAlign w:val="center"/>
                                </w:tcPr>
                                <w:p>
                                  <w:pPr>
                                    <w:pStyle w:val="TableContents"/>
                                    <w:spacing w:before="150" w:after="283"/>
                                    <w:rPr>
                                      <w:b/>
                                      <w:color w:val="333333"/>
                                      <w:sz w:val="20"/>
                                    </w:rPr>
                                  </w:pPr>
                                  <w:r>
                                    <w:rPr>
                                      <w:b/>
                                      <w:color w:val="333333"/>
                                      <w:sz w:val="20"/>
                                    </w:rPr>
                                    <w:t>Outlooks</w:t>
                                  </w:r>
                                </w:p>
                              </w:tc>
                              <w:tc>
                                <w:tcPr>
                                  <w:tcW w:w="770" w:type="dxa"/>
                                  <w:tcBorders/>
                                  <w:shd w:fill="EEEFF0" w:val="clear"/>
                                  <w:tcMar>
                                    <w:bottom w:w="0" w:type="dxa"/>
                                  </w:tcMar>
                                  <w:vAlign w:val="center"/>
                                </w:tcPr>
                                <w:p>
                                  <w:pPr>
                                    <w:pStyle w:val="TableContents"/>
                                    <w:spacing w:before="0" w:after="283"/>
                                    <w:rPr/>
                                  </w:pPr>
                                  <w:r>
                                    <w:rPr/>
                                    <w:t> </w:t>
                                  </w:r>
                                </w:p>
                              </w:tc>
                            </w:tr>
                            <w:tr>
                              <w:trPr/>
                              <w:tc>
                                <w:tcPr>
                                  <w:tcW w:w="4428" w:type="dxa"/>
                                  <w:tcBorders/>
                                  <w:shd w:fill="EEEFF0" w:val="clear"/>
                                  <w:tcMar>
                                    <w:bottom w:w="0" w:type="dxa"/>
                                  </w:tcMar>
                                  <w:vAlign w:val="center"/>
                                </w:tcPr>
                                <w:p>
                                  <w:pPr>
                                    <w:pStyle w:val="TableContents"/>
                                    <w:spacing w:before="24" w:after="283"/>
                                    <w:ind w:left="28" w:right="0" w:hanging="0"/>
                                    <w:rPr>
                                      <w:color w:val="333333"/>
                                      <w:sz w:val="20"/>
                                    </w:rPr>
                                  </w:pPr>
                                  <w:r>
                                    <w:rPr>
                                      <w:color w:val="333333"/>
                                      <w:sz w:val="20"/>
                                    </w:rPr>
                                    <w:t>Long-Term Foreign-Currency IDR</w:t>
                                  </w:r>
                                </w:p>
                              </w:tc>
                              <w:tc>
                                <w:tcPr>
                                  <w:tcW w:w="770" w:type="dxa"/>
                                  <w:tcBorders/>
                                  <w:shd w:fill="EEEFF0" w:val="clear"/>
                                  <w:tcMar>
                                    <w:bottom w:w="0" w:type="dxa"/>
                                  </w:tcMar>
                                  <w:vAlign w:val="center"/>
                                </w:tcPr>
                                <w:p>
                                  <w:pPr>
                                    <w:pStyle w:val="TableContents"/>
                                    <w:spacing w:before="24" w:after="283"/>
                                    <w:ind w:left="49" w:right="0" w:hanging="0"/>
                                    <w:rPr>
                                      <w:color w:val="333333"/>
                                      <w:sz w:val="20"/>
                                    </w:rPr>
                                  </w:pPr>
                                  <w:r>
                                    <w:rPr>
                                      <w:color w:val="333333"/>
                                      <w:sz w:val="20"/>
                                    </w:rPr>
                                    <w:t>Negative</w:t>
                                  </w:r>
                                </w:p>
                              </w:tc>
                            </w:tr>
                            <w:tr>
                              <w:trPr/>
                              <w:tc>
                                <w:tcPr>
                                  <w:tcW w:w="4428" w:type="dxa"/>
                                  <w:tcBorders/>
                                  <w:shd w:fill="EEEFF0" w:val="clear"/>
                                  <w:tcMar>
                                    <w:bottom w:w="0" w:type="dxa"/>
                                  </w:tcMar>
                                  <w:vAlign w:val="center"/>
                                </w:tcPr>
                                <w:p>
                                  <w:pPr>
                                    <w:pStyle w:val="TableContents"/>
                                    <w:spacing w:before="14" w:after="283"/>
                                    <w:ind w:left="28" w:right="748" w:hanging="0"/>
                                    <w:rPr>
                                      <w:color w:val="333333"/>
                                      <w:sz w:val="20"/>
                                    </w:rPr>
                                  </w:pPr>
                                  <w:r>
                                    <w:rPr>
                                      <w:color w:val="333333"/>
                                      <w:sz w:val="20"/>
                                    </w:rPr>
                                    <w:t>Sovereign Long-Term Foreign-Currency IDR</w:t>
                                  </w:r>
                                </w:p>
                              </w:tc>
                              <w:tc>
                                <w:tcPr>
                                  <w:tcW w:w="770" w:type="dxa"/>
                                  <w:tcBorders/>
                                  <w:shd w:fill="EEEFF0" w:val="clear"/>
                                  <w:tcMar>
                                    <w:bottom w:w="0" w:type="dxa"/>
                                  </w:tcMar>
                                  <w:vAlign w:val="center"/>
                                </w:tcPr>
                                <w:p>
                                  <w:pPr>
                                    <w:pStyle w:val="TableContents"/>
                                    <w:spacing w:before="0" w:after="0"/>
                                    <w:ind w:left="49" w:right="0" w:hanging="0"/>
                                    <w:rPr>
                                      <w:color w:val="333333"/>
                                      <w:sz w:val="20"/>
                                    </w:rPr>
                                  </w:pPr>
                                  <w:r>
                                    <w:rPr>
                                      <w:color w:val="333333"/>
                                      <w:sz w:val="20"/>
                                    </w:rPr>
                                    <w:t>Negative</w:t>
                                  </w:r>
                                </w:p>
                              </w:tc>
                            </w:tr>
                            <w:tr>
                              <w:trPr/>
                              <w:tc>
                                <w:tcPr>
                                  <w:tcW w:w="4428" w:type="dxa"/>
                                  <w:tcBorders/>
                                  <w:shd w:fill="EEEFF0" w:val="clear"/>
                                  <w:tcMar>
                                    <w:bottom w:w="0" w:type="dxa"/>
                                  </w:tcMar>
                                  <w:vAlign w:val="center"/>
                                </w:tcPr>
                                <w:p>
                                  <w:pPr>
                                    <w:pStyle w:val="TableContents"/>
                                    <w:spacing w:before="8" w:after="283"/>
                                    <w:ind w:left="28" w:right="749" w:hanging="0"/>
                                    <w:rPr>
                                      <w:color w:val="333333"/>
                                      <w:sz w:val="20"/>
                                    </w:rPr>
                                  </w:pPr>
                                  <w:r>
                                    <w:rPr>
                                      <w:color w:val="333333"/>
                                      <w:sz w:val="20"/>
                                    </w:rPr>
                                    <w:t>Sovereign Long-Term Local-Currency IDR</w:t>
                                  </w:r>
                                </w:p>
                              </w:tc>
                              <w:tc>
                                <w:tcPr>
                                  <w:tcW w:w="770" w:type="dxa"/>
                                  <w:tcBorders/>
                                  <w:shd w:fill="EEEFF0" w:val="clear"/>
                                  <w:tcMar>
                                    <w:bottom w:w="0" w:type="dxa"/>
                                  </w:tcMar>
                                  <w:vAlign w:val="center"/>
                                </w:tcPr>
                                <w:p>
                                  <w:pPr>
                                    <w:pStyle w:val="TableContents"/>
                                    <w:spacing w:before="0" w:after="0"/>
                                    <w:ind w:left="49" w:right="0" w:hanging="0"/>
                                    <w:rPr>
                                      <w:color w:val="333333"/>
                                      <w:sz w:val="20"/>
                                    </w:rPr>
                                  </w:pPr>
                                  <w:r>
                                    <w:rPr>
                                      <w:color w:val="333333"/>
                                      <w:sz w:val="20"/>
                                    </w:rPr>
                                    <w:t>Negative</w:t>
                                  </w:r>
                                </w:p>
                              </w:tc>
                            </w:tr>
                            <w:tr>
                              <w:trPr/>
                              <w:tc>
                                <w:tcPr>
                                  <w:tcW w:w="4428" w:type="dxa"/>
                                  <w:tcBorders/>
                                  <w:shd w:fill="EEEFF0" w:val="clear"/>
                                  <w:tcMar>
                                    <w:bottom w:w="0" w:type="dxa"/>
                                  </w:tcMar>
                                  <w:vAlign w:val="center"/>
                                </w:tcPr>
                                <w:p>
                                  <w:pPr>
                                    <w:pStyle w:val="TableContents"/>
                                    <w:spacing w:before="0" w:after="283"/>
                                    <w:rPr/>
                                  </w:pPr>
                                  <w:r>
                                    <w:rPr/>
                                    <w:t> </w:t>
                                  </w:r>
                                </w:p>
                              </w:tc>
                              <w:tc>
                                <w:tcPr>
                                  <w:tcW w:w="770" w:type="dxa"/>
                                  <w:tcBorders/>
                                  <w:shd w:fill="EEEFF0" w:val="clear"/>
                                  <w:tcMar>
                                    <w:bottom w:w="0" w:type="dxa"/>
                                  </w:tcMar>
                                  <w:vAlign w:val="center"/>
                                </w:tcPr>
                                <w:p>
                                  <w:pPr>
                                    <w:pStyle w:val="TableContents"/>
                                    <w:spacing w:before="0" w:after="283"/>
                                    <w:rPr/>
                                  </w:pPr>
                                  <w:r>
                                    <w:rPr/>
                                    <w:t> </w:t>
                                  </w:r>
                                </w:p>
                              </w:tc>
                            </w:tr>
                            <w:tr>
                              <w:trPr/>
                              <w:tc>
                                <w:tcPr>
                                  <w:tcW w:w="5198" w:type="dxa"/>
                                  <w:gridSpan w:val="2"/>
                                  <w:tcBorders/>
                                  <w:shd w:fill="EEEFF0" w:val="clear"/>
                                  <w:tcMar>
                                    <w:bottom w:w="0" w:type="dxa"/>
                                  </w:tcMar>
                                  <w:vAlign w:val="center"/>
                                </w:tcPr>
                                <w:p>
                                  <w:pPr>
                                    <w:pStyle w:val="TableContents"/>
                                    <w:spacing w:before="0" w:after="0"/>
                                    <w:rPr>
                                      <w:b/>
                                      <w:color w:val="333333"/>
                                      <w:sz w:val="20"/>
                                    </w:rPr>
                                  </w:pPr>
                                  <w:r>
                                    <w:rPr>
                                      <w:b/>
                                      <w:color w:val="333333"/>
                                      <w:sz w:val="20"/>
                                    </w:rPr>
                                    <w:t>Applicable Criteria</w:t>
                                  </w:r>
                                </w:p>
                                <w:p>
                                  <w:pPr>
                                    <w:pStyle w:val="TableContents"/>
                                    <w:spacing w:before="0" w:after="0"/>
                                    <w:rPr/>
                                  </w:pPr>
                                  <w:r>
                                    <w:rPr/>
                                    <w:t xml:space="preserve">  </w:t>
                                  </w:r>
                                </w:p>
                                <w:p>
                                  <w:pPr>
                                    <w:pStyle w:val="TableContents"/>
                                    <w:spacing w:before="69" w:after="283"/>
                                    <w:rPr>
                                      <w:color w:val="1A6BB4"/>
                                      <w:sz w:val="20"/>
                                    </w:rPr>
                                  </w:pPr>
                                  <w:r>
                                    <w:rPr>
                                      <w:color w:val="1A6BB4"/>
                                      <w:sz w:val="20"/>
                                    </w:rPr>
                                    <w:t>Bank Rating Criteria (September 2022)</w:t>
                                  </w:r>
                                </w:p>
                              </w:tc>
                            </w:tr>
                          </w:tbl>
                          <w:p>
                            <w:pPr>
                              <w:pStyle w:val="TextBody"/>
                              <w:spacing w:before="0" w:after="0"/>
                              <w:rPr>
                                <w:sz w:val="20"/>
                              </w:rPr>
                            </w:pPr>
                            <w:r>
                              <w:rPr>
                                <w:sz w:val="20"/>
                              </w:rPr>
                            </w:r>
                          </w:p>
                          <w:tbl>
                            <w:tblPr>
                              <w:tblW w:w="4096" w:type="dxa"/>
                              <w:jc w:val="left"/>
                              <w:tblInd w:w="0" w:type="dxa"/>
                              <w:tblCellMar>
                                <w:top w:w="0" w:type="dxa"/>
                                <w:left w:w="0" w:type="dxa"/>
                                <w:bottom w:w="0" w:type="dxa"/>
                                <w:right w:w="0" w:type="dxa"/>
                              </w:tblCellMar>
                            </w:tblPr>
                            <w:tblGrid>
                              <w:gridCol w:w="2255"/>
                              <w:gridCol w:w="954"/>
                              <w:gridCol w:w="887"/>
                            </w:tblGrid>
                            <w:tr>
                              <w:trPr/>
                              <w:tc>
                                <w:tcPr>
                                  <w:tcW w:w="4096" w:type="dxa"/>
                                  <w:gridSpan w:val="3"/>
                                  <w:tcBorders/>
                                  <w:shd w:fill="EEEFF0" w:val="clear"/>
                                  <w:vAlign w:val="center"/>
                                </w:tcPr>
                                <w:p>
                                  <w:pPr>
                                    <w:pStyle w:val="TableContents"/>
                                    <w:spacing w:before="10" w:after="283"/>
                                    <w:ind w:left="36" w:right="0" w:hanging="0"/>
                                    <w:rPr>
                                      <w:b/>
                                      <w:color w:val="333333"/>
                                      <w:sz w:val="20"/>
                                    </w:rPr>
                                  </w:pPr>
                                  <w:r>
                                    <w:rPr>
                                      <w:b/>
                                      <w:color w:val="333333"/>
                                      <w:sz w:val="20"/>
                                    </w:rPr>
                                    <w:t>Financial Data</w:t>
                                  </w:r>
                                </w:p>
                              </w:tc>
                            </w:tr>
                            <w:tr>
                              <w:trPr/>
                              <w:tc>
                                <w:tcPr>
                                  <w:tcW w:w="2255" w:type="dxa"/>
                                  <w:tcBorders>
                                    <w:bottom w:val="single" w:sz="12" w:space="0" w:color="7D878D"/>
                                  </w:tcBorders>
                                  <w:shd w:fill="EEEFF0" w:val="clear"/>
                                  <w:tcMar>
                                    <w:bottom w:w="28" w:type="dxa"/>
                                  </w:tcMar>
                                  <w:vAlign w:val="center"/>
                                </w:tcPr>
                                <w:p>
                                  <w:pPr>
                                    <w:pStyle w:val="TableContents"/>
                                    <w:spacing w:before="49" w:after="283"/>
                                    <w:ind w:left="36" w:right="0" w:hanging="0"/>
                                    <w:rPr>
                                      <w:b/>
                                      <w:color w:val="333333"/>
                                      <w:sz w:val="20"/>
                                    </w:rPr>
                                  </w:pPr>
                                  <w:r>
                                    <w:rPr>
                                      <w:b/>
                                      <w:color w:val="333333"/>
                                      <w:sz w:val="20"/>
                                    </w:rPr>
                                    <w:t>Credicorp Ltd.</w:t>
                                  </w:r>
                                </w:p>
                              </w:tc>
                              <w:tc>
                                <w:tcPr>
                                  <w:tcW w:w="954" w:type="dxa"/>
                                  <w:tcBorders>
                                    <w:bottom w:val="single" w:sz="12" w:space="0" w:color="7D878D"/>
                                  </w:tcBorders>
                                  <w:shd w:fill="EEEFF0" w:val="clear"/>
                                  <w:tcMar>
                                    <w:bottom w:w="28" w:type="dxa"/>
                                  </w:tcMar>
                                  <w:vAlign w:val="center"/>
                                </w:tcPr>
                                <w:p>
                                  <w:pPr>
                                    <w:pStyle w:val="TableContents"/>
                                    <w:spacing w:before="0" w:after="283"/>
                                    <w:rPr/>
                                  </w:pPr>
                                  <w:r>
                                    <w:rPr/>
                                    <w:t> </w:t>
                                  </w:r>
                                </w:p>
                              </w:tc>
                              <w:tc>
                                <w:tcPr>
                                  <w:tcW w:w="887" w:type="dxa"/>
                                  <w:tcBorders>
                                    <w:bottom w:val="single" w:sz="12" w:space="0" w:color="7D878D"/>
                                  </w:tcBorders>
                                  <w:shd w:fill="EEEFF0" w:val="clear"/>
                                  <w:tcMar>
                                    <w:bottom w:w="28" w:type="dxa"/>
                                  </w:tcMar>
                                  <w:vAlign w:val="center"/>
                                </w:tcPr>
                                <w:p>
                                  <w:pPr>
                                    <w:pStyle w:val="TableContents"/>
                                    <w:spacing w:before="0" w:after="283"/>
                                    <w:rPr/>
                                  </w:pPr>
                                  <w:r>
                                    <w:rPr/>
                                    <w:t> </w:t>
                                  </w:r>
                                </w:p>
                              </w:tc>
                            </w:tr>
                            <w:tr>
                              <w:trPr/>
                              <w:tc>
                                <w:tcPr>
                                  <w:tcW w:w="2255" w:type="dxa"/>
                                  <w:tcBorders>
                                    <w:top w:val="single" w:sz="12" w:space="0" w:color="7D878D"/>
                                    <w:bottom w:val="single" w:sz="12" w:space="0" w:color="7D878D"/>
                                  </w:tcBorders>
                                  <w:shd w:fill="EEEFF0" w:val="clear"/>
                                  <w:tcMar>
                                    <w:top w:w="28" w:type="dxa"/>
                                    <w:bottom w:w="28" w:type="dxa"/>
                                  </w:tcMar>
                                  <w:vAlign w:val="center"/>
                                </w:tcPr>
                                <w:p>
                                  <w:pPr>
                                    <w:pStyle w:val="TableContents"/>
                                    <w:spacing w:before="0" w:after="283"/>
                                    <w:rPr>
                                      <w:sz w:val="20"/>
                                    </w:rPr>
                                  </w:pPr>
                                  <w:r>
                                    <w:rPr>
                                      <w:sz w:val="20"/>
                                    </w:rPr>
                                  </w:r>
                                </w:p>
                              </w:tc>
                              <w:tc>
                                <w:tcPr>
                                  <w:tcW w:w="954" w:type="dxa"/>
                                  <w:tcBorders>
                                    <w:top w:val="single" w:sz="12" w:space="0" w:color="7D878D"/>
                                    <w:bottom w:val="single" w:sz="12" w:space="0" w:color="7D878D"/>
                                  </w:tcBorders>
                                  <w:shd w:fill="EEEFF0" w:val="clear"/>
                                  <w:tcMar>
                                    <w:top w:w="28" w:type="dxa"/>
                                    <w:bottom w:w="28" w:type="dxa"/>
                                  </w:tcMar>
                                  <w:vAlign w:val="center"/>
                                </w:tcPr>
                                <w:p>
                                  <w:pPr>
                                    <w:pStyle w:val="TableContents"/>
                                    <w:spacing w:before="37" w:after="283"/>
                                    <w:ind w:left="0" w:right="109" w:hanging="0"/>
                                    <w:jc w:val="right"/>
                                    <w:rPr>
                                      <w:b/>
                                      <w:color w:val="333333"/>
                                      <w:sz w:val="20"/>
                                    </w:rPr>
                                  </w:pPr>
                                  <w:r>
                                    <w:rPr>
                                      <w:b/>
                                      <w:color w:val="333333"/>
                                      <w:sz w:val="20"/>
                                    </w:rPr>
                                    <w:t>12/31/22</w:t>
                                  </w:r>
                                </w:p>
                              </w:tc>
                              <w:tc>
                                <w:tcPr>
                                  <w:tcW w:w="887" w:type="dxa"/>
                                  <w:tcBorders>
                                    <w:top w:val="single" w:sz="12" w:space="0" w:color="7D878D"/>
                                    <w:bottom w:val="single" w:sz="12" w:space="0" w:color="7D878D"/>
                                  </w:tcBorders>
                                  <w:shd w:fill="EEEFF0" w:val="clear"/>
                                  <w:tcMar>
                                    <w:top w:w="28" w:type="dxa"/>
                                    <w:bottom w:w="28" w:type="dxa"/>
                                  </w:tcMar>
                                  <w:vAlign w:val="center"/>
                                </w:tcPr>
                                <w:p>
                                  <w:pPr>
                                    <w:pStyle w:val="TableContents"/>
                                    <w:spacing w:before="37" w:after="283"/>
                                    <w:ind w:left="0" w:right="28" w:hanging="0"/>
                                    <w:jc w:val="right"/>
                                    <w:rPr>
                                      <w:b/>
                                      <w:color w:val="333333"/>
                                      <w:sz w:val="20"/>
                                    </w:rPr>
                                  </w:pPr>
                                  <w:r>
                                    <w:rPr>
                                      <w:b/>
                                      <w:color w:val="333333"/>
                                      <w:sz w:val="20"/>
                                    </w:rPr>
                                    <w:t>12/31/21</w:t>
                                  </w:r>
                                </w:p>
                              </w:tc>
                            </w:tr>
                            <w:tr>
                              <w:trPr/>
                              <w:tc>
                                <w:tcPr>
                                  <w:tcW w:w="2255" w:type="dxa"/>
                                  <w:tcBorders>
                                    <w:top w:val="single" w:sz="12" w:space="0" w:color="7D878D"/>
                                    <w:bottom w:val="single" w:sz="12" w:space="0" w:color="7D878D"/>
                                  </w:tcBorders>
                                  <w:shd w:fill="EEEFF0" w:val="clear"/>
                                  <w:tcMar>
                                    <w:top w:w="28" w:type="dxa"/>
                                    <w:bottom w:w="28" w:type="dxa"/>
                                  </w:tcMar>
                                  <w:vAlign w:val="center"/>
                                </w:tcPr>
                                <w:p>
                                  <w:pPr>
                                    <w:pStyle w:val="TableContents"/>
                                    <w:spacing w:before="27" w:after="283"/>
                                    <w:ind w:left="36" w:right="261" w:hanging="0"/>
                                    <w:rPr>
                                      <w:color w:val="333333"/>
                                      <w:sz w:val="20"/>
                                    </w:rPr>
                                  </w:pPr>
                                  <w:r>
                                    <w:rPr>
                                      <w:color w:val="333333"/>
                                      <w:sz w:val="20"/>
                                    </w:rPr>
                                    <w:t>Total Assets (USD Mil.)</w:t>
                                  </w:r>
                                </w:p>
                              </w:tc>
                              <w:tc>
                                <w:tcPr>
                                  <w:tcW w:w="954" w:type="dxa"/>
                                  <w:tcBorders>
                                    <w:top w:val="single" w:sz="12" w:space="0" w:color="7D878D"/>
                                    <w:bottom w:val="single" w:sz="12" w:space="0" w:color="7D878D"/>
                                  </w:tcBorders>
                                  <w:shd w:fill="EEEFF0" w:val="clear"/>
                                  <w:tcMar>
                                    <w:top w:w="28" w:type="dxa"/>
                                    <w:bottom w:w="28" w:type="dxa"/>
                                  </w:tcMar>
                                  <w:vAlign w:val="center"/>
                                </w:tcPr>
                                <w:p>
                                  <w:pPr>
                                    <w:pStyle w:val="TableContents"/>
                                    <w:spacing w:before="0" w:after="0"/>
                                    <w:ind w:left="0" w:right="109" w:hanging="0"/>
                                    <w:jc w:val="right"/>
                                    <w:rPr>
                                      <w:color w:val="333333"/>
                                      <w:sz w:val="20"/>
                                    </w:rPr>
                                  </w:pPr>
                                  <w:r>
                                    <w:rPr>
                                      <w:color w:val="333333"/>
                                      <w:sz w:val="20"/>
                                    </w:rPr>
                                    <w:t>62,156.4</w:t>
                                  </w:r>
                                </w:p>
                              </w:tc>
                              <w:tc>
                                <w:tcPr>
                                  <w:tcW w:w="887" w:type="dxa"/>
                                  <w:tcBorders>
                                    <w:top w:val="single" w:sz="12" w:space="0" w:color="7D878D"/>
                                    <w:bottom w:val="single" w:sz="12" w:space="0" w:color="7D878D"/>
                                  </w:tcBorders>
                                  <w:shd w:fill="EEEFF0" w:val="clear"/>
                                  <w:tcMar>
                                    <w:top w:w="28" w:type="dxa"/>
                                    <w:bottom w:w="28" w:type="dxa"/>
                                  </w:tcMar>
                                  <w:vAlign w:val="center"/>
                                </w:tcPr>
                                <w:p>
                                  <w:pPr>
                                    <w:pStyle w:val="TableContents"/>
                                    <w:spacing w:before="0" w:after="0"/>
                                    <w:ind w:left="0" w:right="27" w:hanging="0"/>
                                    <w:jc w:val="right"/>
                                    <w:rPr>
                                      <w:color w:val="333333"/>
                                      <w:sz w:val="20"/>
                                    </w:rPr>
                                  </w:pPr>
                                  <w:r>
                                    <w:rPr>
                                      <w:color w:val="333333"/>
                                      <w:sz w:val="20"/>
                                    </w:rPr>
                                    <w:t>61,443.6</w:t>
                                  </w:r>
                                </w:p>
                              </w:tc>
                            </w:tr>
                            <w:tr>
                              <w:trPr/>
                              <w:tc>
                                <w:tcPr>
                                  <w:tcW w:w="2255" w:type="dxa"/>
                                  <w:tcBorders>
                                    <w:top w:val="single" w:sz="12" w:space="0" w:color="7D878D"/>
                                    <w:bottom w:val="single" w:sz="12" w:space="0" w:color="7D878D"/>
                                  </w:tcBorders>
                                  <w:shd w:fill="EEEFF0" w:val="clear"/>
                                  <w:tcMar>
                                    <w:top w:w="28" w:type="dxa"/>
                                    <w:bottom w:w="28" w:type="dxa"/>
                                  </w:tcMar>
                                  <w:vAlign w:val="center"/>
                                </w:tcPr>
                                <w:p>
                                  <w:pPr>
                                    <w:pStyle w:val="TableContents"/>
                                    <w:spacing w:before="27" w:after="283"/>
                                    <w:ind w:left="36" w:right="261" w:hanging="0"/>
                                    <w:rPr>
                                      <w:color w:val="333333"/>
                                      <w:sz w:val="20"/>
                                    </w:rPr>
                                  </w:pPr>
                                  <w:r>
                                    <w:rPr>
                                      <w:color w:val="333333"/>
                                      <w:sz w:val="20"/>
                                    </w:rPr>
                                    <w:t>Total Assets (PEN Mil.)</w:t>
                                  </w:r>
                                </w:p>
                              </w:tc>
                              <w:tc>
                                <w:tcPr>
                                  <w:tcW w:w="954" w:type="dxa"/>
                                  <w:tcBorders>
                                    <w:top w:val="single" w:sz="12" w:space="0" w:color="7D878D"/>
                                    <w:bottom w:val="single" w:sz="12" w:space="0" w:color="7D878D"/>
                                  </w:tcBorders>
                                  <w:shd w:fill="EEEFF0" w:val="clear"/>
                                  <w:tcMar>
                                    <w:top w:w="28" w:type="dxa"/>
                                    <w:bottom w:w="28" w:type="dxa"/>
                                  </w:tcMar>
                                  <w:vAlign w:val="center"/>
                                </w:tcPr>
                                <w:p>
                                  <w:pPr>
                                    <w:pStyle w:val="TableContents"/>
                                    <w:spacing w:before="0" w:after="0"/>
                                    <w:ind w:left="0" w:right="109" w:hanging="0"/>
                                    <w:jc w:val="right"/>
                                    <w:rPr>
                                      <w:color w:val="333333"/>
                                      <w:sz w:val="20"/>
                                    </w:rPr>
                                  </w:pPr>
                                  <w:r>
                                    <w:rPr>
                                      <w:color w:val="333333"/>
                                      <w:sz w:val="20"/>
                                    </w:rPr>
                                    <w:t>236,753.6</w:t>
                                  </w:r>
                                </w:p>
                              </w:tc>
                              <w:tc>
                                <w:tcPr>
                                  <w:tcW w:w="887" w:type="dxa"/>
                                  <w:tcBorders>
                                    <w:top w:val="single" w:sz="12" w:space="0" w:color="7D878D"/>
                                    <w:bottom w:val="single" w:sz="12" w:space="0" w:color="7D878D"/>
                                  </w:tcBorders>
                                  <w:shd w:fill="EEEFF0" w:val="clear"/>
                                  <w:tcMar>
                                    <w:top w:w="28" w:type="dxa"/>
                                    <w:bottom w:w="28" w:type="dxa"/>
                                  </w:tcMar>
                                  <w:vAlign w:val="center"/>
                                </w:tcPr>
                                <w:p>
                                  <w:pPr>
                                    <w:pStyle w:val="TableContents"/>
                                    <w:spacing w:before="0" w:after="0"/>
                                    <w:ind w:left="0" w:right="27" w:hanging="0"/>
                                    <w:jc w:val="right"/>
                                    <w:rPr>
                                      <w:color w:val="333333"/>
                                      <w:sz w:val="20"/>
                                    </w:rPr>
                                  </w:pPr>
                                  <w:r>
                                    <w:rPr>
                                      <w:color w:val="333333"/>
                                      <w:sz w:val="20"/>
                                    </w:rPr>
                                    <w:t>244,846.7</w:t>
                                  </w:r>
                                </w:p>
                              </w:tc>
                            </w:tr>
                            <w:tr>
                              <w:trPr/>
                              <w:tc>
                                <w:tcPr>
                                  <w:tcW w:w="2255" w:type="dxa"/>
                                  <w:tcBorders>
                                    <w:top w:val="single" w:sz="12" w:space="0" w:color="7D878D"/>
                                    <w:bottom w:val="single" w:sz="12" w:space="0" w:color="7D878D"/>
                                  </w:tcBorders>
                                  <w:shd w:fill="EEEFF0" w:val="clear"/>
                                  <w:tcMar>
                                    <w:top w:w="28" w:type="dxa"/>
                                    <w:bottom w:w="28" w:type="dxa"/>
                                  </w:tcMar>
                                  <w:vAlign w:val="center"/>
                                </w:tcPr>
                                <w:p>
                                  <w:pPr>
                                    <w:pStyle w:val="TableContents"/>
                                    <w:spacing w:before="27" w:after="283"/>
                                    <w:ind w:left="36" w:right="270" w:hanging="0"/>
                                    <w:rPr>
                                      <w:color w:val="333333"/>
                                      <w:sz w:val="20"/>
                                    </w:rPr>
                                  </w:pPr>
                                  <w:r>
                                    <w:rPr>
                                      <w:color w:val="333333"/>
                                      <w:sz w:val="20"/>
                                    </w:rPr>
                                    <w:t>Total Equity (PEN Mil.)</w:t>
                                  </w:r>
                                </w:p>
                              </w:tc>
                              <w:tc>
                                <w:tcPr>
                                  <w:tcW w:w="954" w:type="dxa"/>
                                  <w:tcBorders>
                                    <w:top w:val="single" w:sz="12" w:space="0" w:color="7D878D"/>
                                    <w:bottom w:val="single" w:sz="12" w:space="0" w:color="7D878D"/>
                                  </w:tcBorders>
                                  <w:shd w:fill="EEEFF0" w:val="clear"/>
                                  <w:tcMar>
                                    <w:top w:w="28" w:type="dxa"/>
                                    <w:bottom w:w="28" w:type="dxa"/>
                                  </w:tcMar>
                                  <w:vAlign w:val="center"/>
                                </w:tcPr>
                                <w:p>
                                  <w:pPr>
                                    <w:pStyle w:val="TableContents"/>
                                    <w:spacing w:before="0" w:after="0"/>
                                    <w:ind w:left="0" w:right="109" w:hanging="0"/>
                                    <w:jc w:val="right"/>
                                    <w:rPr>
                                      <w:color w:val="333333"/>
                                      <w:sz w:val="20"/>
                                    </w:rPr>
                                  </w:pPr>
                                  <w:r>
                                    <w:rPr>
                                      <w:color w:val="333333"/>
                                      <w:sz w:val="20"/>
                                    </w:rPr>
                                    <w:t>29,579.7</w:t>
                                  </w:r>
                                </w:p>
                              </w:tc>
                              <w:tc>
                                <w:tcPr>
                                  <w:tcW w:w="887" w:type="dxa"/>
                                  <w:tcBorders>
                                    <w:top w:val="single" w:sz="12" w:space="0" w:color="7D878D"/>
                                    <w:bottom w:val="single" w:sz="12" w:space="0" w:color="7D878D"/>
                                  </w:tcBorders>
                                  <w:shd w:fill="EEEFF0" w:val="clear"/>
                                  <w:tcMar>
                                    <w:top w:w="28" w:type="dxa"/>
                                    <w:bottom w:w="28" w:type="dxa"/>
                                  </w:tcMar>
                                  <w:vAlign w:val="center"/>
                                </w:tcPr>
                                <w:p>
                                  <w:pPr>
                                    <w:pStyle w:val="TableContents"/>
                                    <w:spacing w:before="0" w:after="0"/>
                                    <w:ind w:left="0" w:right="28" w:hanging="0"/>
                                    <w:jc w:val="right"/>
                                    <w:rPr>
                                      <w:color w:val="333333"/>
                                      <w:sz w:val="20"/>
                                    </w:rPr>
                                  </w:pPr>
                                  <w:r>
                                    <w:rPr>
                                      <w:color w:val="333333"/>
                                      <w:sz w:val="20"/>
                                    </w:rPr>
                                    <w:t>27,037.4</w:t>
                                  </w:r>
                                </w:p>
                              </w:tc>
                            </w:tr>
                          </w:tbl>
                          <w:p>
                            <w:pPr>
                              <w:pStyle w:val="TextBody"/>
                              <w:spacing w:before="0" w:after="0"/>
                              <w:rPr>
                                <w:sz w:val="20"/>
                              </w:rPr>
                            </w:pPr>
                            <w:r>
                              <w:rPr>
                                <w:sz w:val="20"/>
                              </w:rPr>
                            </w:r>
                          </w:p>
                          <w:tbl>
                            <w:tblPr>
                              <w:tblW w:w="4070" w:type="dxa"/>
                              <w:jc w:val="left"/>
                              <w:tblInd w:w="0" w:type="dxa"/>
                              <w:tblCellMar>
                                <w:top w:w="0" w:type="dxa"/>
                                <w:left w:w="0" w:type="dxa"/>
                                <w:bottom w:w="0" w:type="dxa"/>
                                <w:right w:w="0" w:type="dxa"/>
                              </w:tblCellMar>
                            </w:tblPr>
                            <w:tblGrid>
                              <w:gridCol w:w="75"/>
                              <w:gridCol w:w="3995"/>
                            </w:tblGrid>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10" w:after="283"/>
                                    <w:rPr/>
                                  </w:pPr>
                                  <w:r>
                                    <w:rPr>
                                      <w:b/>
                                      <w:color w:val="333333"/>
                                      <w:sz w:val="20"/>
                                      <w:u w:val="single"/>
                                    </w:rPr>
                                    <w:t>Analysts</w:t>
                                  </w:r>
                                  <w:r>
                                    <w:rPr/>
                                    <w:t>                                                      </w:t>
                                  </w:r>
                                </w:p>
                              </w:tc>
                            </w:tr>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30" w:after="283"/>
                                    <w:rPr>
                                      <w:color w:val="333333"/>
                                      <w:sz w:val="20"/>
                                    </w:rPr>
                                  </w:pPr>
                                  <w:r>
                                    <w:rPr>
                                      <w:color w:val="333333"/>
                                      <w:sz w:val="20"/>
                                    </w:rPr>
                                    <w:t>Robert Stoll</w:t>
                                  </w:r>
                                </w:p>
                              </w:tc>
                            </w:tr>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29" w:after="283"/>
                                    <w:rPr>
                                      <w:color w:val="333333"/>
                                      <w:sz w:val="20"/>
                                    </w:rPr>
                                  </w:pPr>
                                  <w:r>
                                    <w:rPr>
                                      <w:color w:val="333333"/>
                                      <w:sz w:val="20"/>
                                    </w:rPr>
                                    <w:t>+1 212 908 9155</w:t>
                                  </w:r>
                                </w:p>
                              </w:tc>
                            </w:tr>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29" w:after="283"/>
                                    <w:rPr>
                                      <w:color w:val="275B9B"/>
                                      <w:sz w:val="20"/>
                                    </w:rPr>
                                  </w:pPr>
                                  <w:r>
                                    <w:rPr>
                                      <w:color w:val="275B9B"/>
                                      <w:sz w:val="20"/>
                                    </w:rPr>
                                    <w:t>robert.stoll@fitchratings.com</w:t>
                                  </w:r>
                                </w:p>
                              </w:tc>
                            </w:tr>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0" w:after="283"/>
                                    <w:rPr/>
                                  </w:pPr>
                                  <w:r>
                                    <w:rPr/>
                                    <w:t> </w:t>
                                  </w:r>
                                </w:p>
                              </w:tc>
                            </w:tr>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0" w:after="0"/>
                                    <w:rPr>
                                      <w:color w:val="333333"/>
                                      <w:sz w:val="20"/>
                                    </w:rPr>
                                  </w:pPr>
                                  <w:r>
                                    <w:rPr>
                                      <w:color w:val="333333"/>
                                      <w:sz w:val="20"/>
                                    </w:rPr>
                                    <w:t>Andres Marquez</w:t>
                                  </w:r>
                                </w:p>
                              </w:tc>
                            </w:tr>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29" w:after="283"/>
                                    <w:rPr>
                                      <w:color w:val="333333"/>
                                      <w:sz w:val="20"/>
                                    </w:rPr>
                                  </w:pPr>
                                  <w:r>
                                    <w:rPr>
                                      <w:color w:val="333333"/>
                                      <w:sz w:val="20"/>
                                    </w:rPr>
                                    <w:t>+57 601 241 3254</w:t>
                                  </w:r>
                                </w:p>
                              </w:tc>
                            </w:tr>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29" w:after="283"/>
                                    <w:rPr>
                                      <w:color w:val="275B9B"/>
                                      <w:sz w:val="20"/>
                                    </w:rPr>
                                  </w:pPr>
                                  <w:r>
                                    <w:rPr>
                                      <w:color w:val="275B9B"/>
                                      <w:sz w:val="20"/>
                                    </w:rPr>
                                    <w:t>andres.marquez@fitchratings.com</w:t>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265.35pt;mso-position-horizontal:right;mso-position-horizontal-relative:text">
                <v:textbox>
                  <w:txbxContent>
                    <w:p>
                      <w:pPr>
                        <w:pStyle w:val="TextBody"/>
                        <w:spacing w:before="0" w:after="0"/>
                        <w:rPr/>
                      </w:pPr>
                      <w:r>
                        <w:rPr/>
                        <w:t xml:space="preserve">  </w:t>
                      </w:r>
                    </w:p>
                    <w:tbl>
                      <w:tblPr>
                        <w:tblW w:w="5198" w:type="dxa"/>
                        <w:jc w:val="left"/>
                        <w:tblInd w:w="0" w:type="dxa"/>
                        <w:tblCellMar>
                          <w:top w:w="0" w:type="dxa"/>
                          <w:left w:w="0" w:type="dxa"/>
                          <w:bottom w:w="28" w:type="dxa"/>
                          <w:right w:w="0" w:type="dxa"/>
                        </w:tblCellMar>
                      </w:tblPr>
                      <w:tblGrid>
                        <w:gridCol w:w="4428"/>
                        <w:gridCol w:w="770"/>
                      </w:tblGrid>
                      <w:tr>
                        <w:trPr/>
                        <w:tc>
                          <w:tcPr>
                            <w:tcW w:w="4428" w:type="dxa"/>
                            <w:tcBorders>
                              <w:bottom w:val="single" w:sz="12" w:space="0" w:color="7D878D"/>
                            </w:tcBorders>
                            <w:shd w:fill="EEEFF0" w:val="clear"/>
                            <w:vAlign w:val="center"/>
                          </w:tcPr>
                          <w:p>
                            <w:pPr>
                              <w:pStyle w:val="TableContents"/>
                              <w:spacing w:before="10" w:after="283"/>
                              <w:rPr>
                                <w:b/>
                                <w:color w:val="333333"/>
                                <w:sz w:val="20"/>
                              </w:rPr>
                            </w:pPr>
                            <w:r>
                              <w:rPr>
                                <w:b/>
                                <w:color w:val="333333"/>
                                <w:sz w:val="20"/>
                              </w:rPr>
                              <w:t>Ratings</w:t>
                            </w:r>
                          </w:p>
                        </w:tc>
                        <w:tc>
                          <w:tcPr>
                            <w:tcW w:w="770" w:type="dxa"/>
                            <w:tcBorders>
                              <w:bottom w:val="single" w:sz="12" w:space="0" w:color="7D878D"/>
                            </w:tcBorders>
                            <w:shd w:fill="EEEFF0" w:val="clear"/>
                            <w:vAlign w:val="center"/>
                          </w:tcPr>
                          <w:p>
                            <w:pPr>
                              <w:pStyle w:val="TableContents"/>
                              <w:spacing w:before="0" w:after="283"/>
                              <w:rPr/>
                            </w:pPr>
                            <w:r>
                              <w:rPr/>
                              <w:t> </w:t>
                            </w:r>
                          </w:p>
                        </w:tc>
                      </w:tr>
                      <w:tr>
                        <w:trPr/>
                        <w:tc>
                          <w:tcPr>
                            <w:tcW w:w="4428" w:type="dxa"/>
                            <w:tcBorders>
                              <w:top w:val="single" w:sz="12" w:space="0" w:color="7D878D"/>
                            </w:tcBorders>
                            <w:shd w:fill="EEEFF0" w:val="clear"/>
                            <w:tcMar>
                              <w:top w:w="28" w:type="dxa"/>
                              <w:bottom w:w="0" w:type="dxa"/>
                            </w:tcMar>
                            <w:vAlign w:val="center"/>
                          </w:tcPr>
                          <w:p>
                            <w:pPr>
                              <w:pStyle w:val="TableContents"/>
                              <w:spacing w:before="88" w:after="283"/>
                              <w:ind w:left="28" w:right="0" w:hanging="0"/>
                              <w:rPr>
                                <w:b/>
                                <w:color w:val="333333"/>
                                <w:sz w:val="20"/>
                              </w:rPr>
                            </w:pPr>
                            <w:r>
                              <w:rPr>
                                <w:b/>
                                <w:color w:val="333333"/>
                                <w:sz w:val="20"/>
                              </w:rPr>
                              <w:t>Foreign Currency</w:t>
                            </w:r>
                          </w:p>
                        </w:tc>
                        <w:tc>
                          <w:tcPr>
                            <w:tcW w:w="770" w:type="dxa"/>
                            <w:tcBorders>
                              <w:top w:val="single" w:sz="12" w:space="0" w:color="7D878D"/>
                            </w:tcBorders>
                            <w:shd w:fill="EEEFF0" w:val="clear"/>
                            <w:tcMar>
                              <w:top w:w="28" w:type="dxa"/>
                              <w:bottom w:w="0" w:type="dxa"/>
                            </w:tcMar>
                            <w:vAlign w:val="center"/>
                          </w:tcPr>
                          <w:p>
                            <w:pPr>
                              <w:pStyle w:val="TableContents"/>
                              <w:spacing w:before="0" w:after="283"/>
                              <w:rPr/>
                            </w:pPr>
                            <w:r>
                              <w:rPr/>
                              <w:t> </w:t>
                            </w:r>
                          </w:p>
                        </w:tc>
                      </w:tr>
                      <w:tr>
                        <w:trPr/>
                        <w:tc>
                          <w:tcPr>
                            <w:tcW w:w="4428" w:type="dxa"/>
                            <w:tcBorders/>
                            <w:shd w:fill="EEEFF0" w:val="clear"/>
                            <w:tcMar>
                              <w:bottom w:w="0" w:type="dxa"/>
                            </w:tcMar>
                            <w:vAlign w:val="center"/>
                          </w:tcPr>
                          <w:p>
                            <w:pPr>
                              <w:pStyle w:val="TableContents"/>
                              <w:spacing w:before="13" w:after="283"/>
                              <w:ind w:left="28" w:right="0" w:hanging="0"/>
                              <w:rPr>
                                <w:color w:val="333333"/>
                                <w:sz w:val="20"/>
                              </w:rPr>
                            </w:pPr>
                            <w:r>
                              <w:rPr>
                                <w:color w:val="333333"/>
                                <w:sz w:val="20"/>
                              </w:rPr>
                              <w:t>Long-Term IDR</w:t>
                            </w:r>
                          </w:p>
                        </w:tc>
                        <w:tc>
                          <w:tcPr>
                            <w:tcW w:w="770" w:type="dxa"/>
                            <w:tcBorders/>
                            <w:shd w:fill="EEEFF0" w:val="clear"/>
                            <w:tcMar>
                              <w:bottom w:w="0" w:type="dxa"/>
                            </w:tcMar>
                            <w:vAlign w:val="center"/>
                          </w:tcPr>
                          <w:p>
                            <w:pPr>
                              <w:pStyle w:val="TableContents"/>
                              <w:spacing w:before="13" w:after="283"/>
                              <w:ind w:left="49" w:right="0" w:hanging="0"/>
                              <w:rPr>
                                <w:color w:val="333333"/>
                                <w:sz w:val="20"/>
                              </w:rPr>
                            </w:pPr>
                            <w:r>
                              <w:rPr>
                                <w:color w:val="333333"/>
                                <w:sz w:val="20"/>
                              </w:rPr>
                              <w:t>BBB</w:t>
                            </w:r>
                          </w:p>
                        </w:tc>
                      </w:tr>
                      <w:tr>
                        <w:trPr/>
                        <w:tc>
                          <w:tcPr>
                            <w:tcW w:w="4428" w:type="dxa"/>
                            <w:tcBorders/>
                            <w:shd w:fill="EEEFF0" w:val="clear"/>
                            <w:tcMar>
                              <w:bottom w:w="0" w:type="dxa"/>
                            </w:tcMar>
                            <w:vAlign w:val="center"/>
                          </w:tcPr>
                          <w:p>
                            <w:pPr>
                              <w:pStyle w:val="TableContents"/>
                              <w:spacing w:before="8" w:after="283"/>
                              <w:ind w:left="28" w:right="0" w:hanging="0"/>
                              <w:rPr>
                                <w:color w:val="333333"/>
                                <w:sz w:val="20"/>
                              </w:rPr>
                            </w:pPr>
                            <w:r>
                              <w:rPr>
                                <w:color w:val="333333"/>
                                <w:sz w:val="20"/>
                              </w:rPr>
                              <w:t>Short-Term IDR</w:t>
                            </w:r>
                          </w:p>
                        </w:tc>
                        <w:tc>
                          <w:tcPr>
                            <w:tcW w:w="770" w:type="dxa"/>
                            <w:tcBorders/>
                            <w:shd w:fill="EEEFF0" w:val="clear"/>
                            <w:tcMar>
                              <w:bottom w:w="0" w:type="dxa"/>
                            </w:tcMar>
                            <w:vAlign w:val="center"/>
                          </w:tcPr>
                          <w:p>
                            <w:pPr>
                              <w:pStyle w:val="TableContents"/>
                              <w:spacing w:before="8" w:after="283"/>
                              <w:ind w:left="49" w:right="0" w:hanging="0"/>
                              <w:rPr>
                                <w:color w:val="333333"/>
                                <w:sz w:val="20"/>
                              </w:rPr>
                            </w:pPr>
                            <w:r>
                              <w:rPr>
                                <w:color w:val="333333"/>
                                <w:sz w:val="20"/>
                              </w:rPr>
                              <w:t>F2</w:t>
                            </w:r>
                          </w:p>
                        </w:tc>
                      </w:tr>
                      <w:tr>
                        <w:trPr/>
                        <w:tc>
                          <w:tcPr>
                            <w:tcW w:w="4428" w:type="dxa"/>
                            <w:tcBorders/>
                            <w:shd w:fill="EEEFF0" w:val="clear"/>
                            <w:tcMar>
                              <w:bottom w:w="0" w:type="dxa"/>
                            </w:tcMar>
                            <w:vAlign w:val="center"/>
                          </w:tcPr>
                          <w:p>
                            <w:pPr>
                              <w:pStyle w:val="TableContents"/>
                              <w:spacing w:before="128" w:after="283"/>
                              <w:ind w:left="28" w:right="0" w:hanging="0"/>
                              <w:rPr>
                                <w:b/>
                                <w:color w:val="333333"/>
                                <w:sz w:val="20"/>
                              </w:rPr>
                            </w:pPr>
                            <w:r>
                              <w:rPr>
                                <w:b/>
                                <w:color w:val="333333"/>
                                <w:sz w:val="20"/>
                              </w:rPr>
                              <w:t>Sovereign Risk (Peru)</w:t>
                            </w:r>
                          </w:p>
                        </w:tc>
                        <w:tc>
                          <w:tcPr>
                            <w:tcW w:w="770" w:type="dxa"/>
                            <w:tcBorders/>
                            <w:shd w:fill="EEEFF0" w:val="clear"/>
                            <w:tcMar>
                              <w:bottom w:w="0" w:type="dxa"/>
                            </w:tcMar>
                            <w:vAlign w:val="center"/>
                          </w:tcPr>
                          <w:p>
                            <w:pPr>
                              <w:pStyle w:val="TableContents"/>
                              <w:spacing w:before="0" w:after="283"/>
                              <w:rPr/>
                            </w:pPr>
                            <w:r>
                              <w:rPr/>
                            </w:r>
                          </w:p>
                        </w:tc>
                      </w:tr>
                      <w:tr>
                        <w:trPr/>
                        <w:tc>
                          <w:tcPr>
                            <w:tcW w:w="4428" w:type="dxa"/>
                            <w:tcBorders/>
                            <w:shd w:fill="EEEFF0" w:val="clear"/>
                            <w:tcMar>
                              <w:bottom w:w="0" w:type="dxa"/>
                            </w:tcMar>
                            <w:vAlign w:val="center"/>
                          </w:tcPr>
                          <w:p>
                            <w:pPr>
                              <w:pStyle w:val="TableContents"/>
                              <w:spacing w:before="8" w:after="283"/>
                              <w:ind w:left="28" w:right="0" w:hanging="0"/>
                              <w:rPr>
                                <w:color w:val="333333"/>
                                <w:sz w:val="20"/>
                              </w:rPr>
                            </w:pPr>
                            <w:r>
                              <w:rPr>
                                <w:color w:val="333333"/>
                                <w:sz w:val="20"/>
                              </w:rPr>
                              <w:t>Long-Term Foreign-Currency IDR</w:t>
                            </w:r>
                          </w:p>
                        </w:tc>
                        <w:tc>
                          <w:tcPr>
                            <w:tcW w:w="770" w:type="dxa"/>
                            <w:tcBorders/>
                            <w:shd w:fill="EEEFF0" w:val="clear"/>
                            <w:tcMar>
                              <w:bottom w:w="0" w:type="dxa"/>
                            </w:tcMar>
                            <w:vAlign w:val="center"/>
                          </w:tcPr>
                          <w:p>
                            <w:pPr>
                              <w:pStyle w:val="TableContents"/>
                              <w:spacing w:before="8" w:after="283"/>
                              <w:ind w:left="49" w:right="0" w:hanging="0"/>
                              <w:rPr>
                                <w:color w:val="333333"/>
                                <w:sz w:val="20"/>
                              </w:rPr>
                            </w:pPr>
                            <w:r>
                              <w:rPr>
                                <w:color w:val="333333"/>
                                <w:sz w:val="20"/>
                              </w:rPr>
                              <w:t>BBB</w:t>
                            </w:r>
                          </w:p>
                        </w:tc>
                      </w:tr>
                      <w:tr>
                        <w:trPr/>
                        <w:tc>
                          <w:tcPr>
                            <w:tcW w:w="4428" w:type="dxa"/>
                            <w:tcBorders/>
                            <w:shd w:fill="EEEFF0" w:val="clear"/>
                            <w:tcMar>
                              <w:bottom w:w="0" w:type="dxa"/>
                            </w:tcMar>
                            <w:vAlign w:val="center"/>
                          </w:tcPr>
                          <w:p>
                            <w:pPr>
                              <w:pStyle w:val="TableContents"/>
                              <w:spacing w:before="8" w:after="283"/>
                              <w:ind w:left="28" w:right="0" w:hanging="0"/>
                              <w:rPr>
                                <w:color w:val="333333"/>
                                <w:sz w:val="20"/>
                              </w:rPr>
                            </w:pPr>
                            <w:r>
                              <w:rPr>
                                <w:color w:val="333333"/>
                                <w:sz w:val="20"/>
                              </w:rPr>
                              <w:t>Long-Term Local-Currency IDR</w:t>
                            </w:r>
                          </w:p>
                        </w:tc>
                        <w:tc>
                          <w:tcPr>
                            <w:tcW w:w="770" w:type="dxa"/>
                            <w:tcBorders/>
                            <w:shd w:fill="EEEFF0" w:val="clear"/>
                            <w:tcMar>
                              <w:bottom w:w="0" w:type="dxa"/>
                            </w:tcMar>
                            <w:vAlign w:val="center"/>
                          </w:tcPr>
                          <w:p>
                            <w:pPr>
                              <w:pStyle w:val="TableContents"/>
                              <w:spacing w:before="8" w:after="283"/>
                              <w:ind w:left="49" w:right="0" w:hanging="0"/>
                              <w:rPr>
                                <w:color w:val="333333"/>
                                <w:sz w:val="20"/>
                              </w:rPr>
                            </w:pPr>
                            <w:r>
                              <w:rPr>
                                <w:color w:val="333333"/>
                                <w:sz w:val="20"/>
                              </w:rPr>
                              <w:t>BBB</w:t>
                            </w:r>
                          </w:p>
                        </w:tc>
                      </w:tr>
                      <w:tr>
                        <w:trPr/>
                        <w:tc>
                          <w:tcPr>
                            <w:tcW w:w="4428" w:type="dxa"/>
                            <w:tcBorders/>
                            <w:shd w:fill="EEEFF0" w:val="clear"/>
                            <w:tcMar>
                              <w:bottom w:w="0" w:type="dxa"/>
                            </w:tcMar>
                            <w:vAlign w:val="center"/>
                          </w:tcPr>
                          <w:p>
                            <w:pPr>
                              <w:pStyle w:val="TableContents"/>
                              <w:spacing w:before="8" w:after="283"/>
                              <w:ind w:left="28" w:right="0" w:hanging="0"/>
                              <w:rPr>
                                <w:color w:val="333333"/>
                                <w:sz w:val="20"/>
                              </w:rPr>
                            </w:pPr>
                            <w:r>
                              <w:rPr>
                                <w:color w:val="333333"/>
                                <w:sz w:val="20"/>
                              </w:rPr>
                              <w:t>Country Ceiling</w:t>
                            </w:r>
                          </w:p>
                        </w:tc>
                        <w:tc>
                          <w:tcPr>
                            <w:tcW w:w="770" w:type="dxa"/>
                            <w:tcBorders/>
                            <w:shd w:fill="EEEFF0" w:val="clear"/>
                            <w:tcMar>
                              <w:bottom w:w="0" w:type="dxa"/>
                            </w:tcMar>
                            <w:vAlign w:val="center"/>
                          </w:tcPr>
                          <w:p>
                            <w:pPr>
                              <w:pStyle w:val="TableContents"/>
                              <w:spacing w:before="8" w:after="283"/>
                              <w:ind w:left="49" w:right="0" w:hanging="0"/>
                              <w:rPr>
                                <w:color w:val="333333"/>
                                <w:sz w:val="20"/>
                              </w:rPr>
                            </w:pPr>
                            <w:r>
                              <w:rPr>
                                <w:color w:val="333333"/>
                                <w:sz w:val="20"/>
                              </w:rPr>
                              <w:t>BBB+</w:t>
                            </w:r>
                          </w:p>
                        </w:tc>
                      </w:tr>
                      <w:tr>
                        <w:trPr/>
                        <w:tc>
                          <w:tcPr>
                            <w:tcW w:w="4428" w:type="dxa"/>
                            <w:tcBorders/>
                            <w:shd w:fill="EEEFF0" w:val="clear"/>
                            <w:tcMar>
                              <w:bottom w:w="0" w:type="dxa"/>
                            </w:tcMar>
                            <w:vAlign w:val="center"/>
                          </w:tcPr>
                          <w:p>
                            <w:pPr>
                              <w:pStyle w:val="TableContents"/>
                              <w:spacing w:before="150" w:after="283"/>
                              <w:rPr>
                                <w:b/>
                                <w:color w:val="333333"/>
                                <w:sz w:val="20"/>
                              </w:rPr>
                            </w:pPr>
                            <w:r>
                              <w:rPr>
                                <w:b/>
                                <w:color w:val="333333"/>
                                <w:sz w:val="20"/>
                              </w:rPr>
                              <w:t>Outlooks</w:t>
                            </w:r>
                          </w:p>
                        </w:tc>
                        <w:tc>
                          <w:tcPr>
                            <w:tcW w:w="770" w:type="dxa"/>
                            <w:tcBorders/>
                            <w:shd w:fill="EEEFF0" w:val="clear"/>
                            <w:tcMar>
                              <w:bottom w:w="0" w:type="dxa"/>
                            </w:tcMar>
                            <w:vAlign w:val="center"/>
                          </w:tcPr>
                          <w:p>
                            <w:pPr>
                              <w:pStyle w:val="TableContents"/>
                              <w:spacing w:before="0" w:after="283"/>
                              <w:rPr/>
                            </w:pPr>
                            <w:r>
                              <w:rPr/>
                              <w:t> </w:t>
                            </w:r>
                          </w:p>
                        </w:tc>
                      </w:tr>
                      <w:tr>
                        <w:trPr/>
                        <w:tc>
                          <w:tcPr>
                            <w:tcW w:w="4428" w:type="dxa"/>
                            <w:tcBorders/>
                            <w:shd w:fill="EEEFF0" w:val="clear"/>
                            <w:tcMar>
                              <w:bottom w:w="0" w:type="dxa"/>
                            </w:tcMar>
                            <w:vAlign w:val="center"/>
                          </w:tcPr>
                          <w:p>
                            <w:pPr>
                              <w:pStyle w:val="TableContents"/>
                              <w:spacing w:before="24" w:after="283"/>
                              <w:ind w:left="28" w:right="0" w:hanging="0"/>
                              <w:rPr>
                                <w:color w:val="333333"/>
                                <w:sz w:val="20"/>
                              </w:rPr>
                            </w:pPr>
                            <w:r>
                              <w:rPr>
                                <w:color w:val="333333"/>
                                <w:sz w:val="20"/>
                              </w:rPr>
                              <w:t>Long-Term Foreign-Currency IDR</w:t>
                            </w:r>
                          </w:p>
                        </w:tc>
                        <w:tc>
                          <w:tcPr>
                            <w:tcW w:w="770" w:type="dxa"/>
                            <w:tcBorders/>
                            <w:shd w:fill="EEEFF0" w:val="clear"/>
                            <w:tcMar>
                              <w:bottom w:w="0" w:type="dxa"/>
                            </w:tcMar>
                            <w:vAlign w:val="center"/>
                          </w:tcPr>
                          <w:p>
                            <w:pPr>
                              <w:pStyle w:val="TableContents"/>
                              <w:spacing w:before="24" w:after="283"/>
                              <w:ind w:left="49" w:right="0" w:hanging="0"/>
                              <w:rPr>
                                <w:color w:val="333333"/>
                                <w:sz w:val="20"/>
                              </w:rPr>
                            </w:pPr>
                            <w:r>
                              <w:rPr>
                                <w:color w:val="333333"/>
                                <w:sz w:val="20"/>
                              </w:rPr>
                              <w:t>Negative</w:t>
                            </w:r>
                          </w:p>
                        </w:tc>
                      </w:tr>
                      <w:tr>
                        <w:trPr/>
                        <w:tc>
                          <w:tcPr>
                            <w:tcW w:w="4428" w:type="dxa"/>
                            <w:tcBorders/>
                            <w:shd w:fill="EEEFF0" w:val="clear"/>
                            <w:tcMar>
                              <w:bottom w:w="0" w:type="dxa"/>
                            </w:tcMar>
                            <w:vAlign w:val="center"/>
                          </w:tcPr>
                          <w:p>
                            <w:pPr>
                              <w:pStyle w:val="TableContents"/>
                              <w:spacing w:before="14" w:after="283"/>
                              <w:ind w:left="28" w:right="748" w:hanging="0"/>
                              <w:rPr>
                                <w:color w:val="333333"/>
                                <w:sz w:val="20"/>
                              </w:rPr>
                            </w:pPr>
                            <w:r>
                              <w:rPr>
                                <w:color w:val="333333"/>
                                <w:sz w:val="20"/>
                              </w:rPr>
                              <w:t>Sovereign Long-Term Foreign-Currency IDR</w:t>
                            </w:r>
                          </w:p>
                        </w:tc>
                        <w:tc>
                          <w:tcPr>
                            <w:tcW w:w="770" w:type="dxa"/>
                            <w:tcBorders/>
                            <w:shd w:fill="EEEFF0" w:val="clear"/>
                            <w:tcMar>
                              <w:bottom w:w="0" w:type="dxa"/>
                            </w:tcMar>
                            <w:vAlign w:val="center"/>
                          </w:tcPr>
                          <w:p>
                            <w:pPr>
                              <w:pStyle w:val="TableContents"/>
                              <w:spacing w:before="0" w:after="0"/>
                              <w:ind w:left="49" w:right="0" w:hanging="0"/>
                              <w:rPr>
                                <w:color w:val="333333"/>
                                <w:sz w:val="20"/>
                              </w:rPr>
                            </w:pPr>
                            <w:r>
                              <w:rPr>
                                <w:color w:val="333333"/>
                                <w:sz w:val="20"/>
                              </w:rPr>
                              <w:t>Negative</w:t>
                            </w:r>
                          </w:p>
                        </w:tc>
                      </w:tr>
                      <w:tr>
                        <w:trPr/>
                        <w:tc>
                          <w:tcPr>
                            <w:tcW w:w="4428" w:type="dxa"/>
                            <w:tcBorders/>
                            <w:shd w:fill="EEEFF0" w:val="clear"/>
                            <w:tcMar>
                              <w:bottom w:w="0" w:type="dxa"/>
                            </w:tcMar>
                            <w:vAlign w:val="center"/>
                          </w:tcPr>
                          <w:p>
                            <w:pPr>
                              <w:pStyle w:val="TableContents"/>
                              <w:spacing w:before="8" w:after="283"/>
                              <w:ind w:left="28" w:right="749" w:hanging="0"/>
                              <w:rPr>
                                <w:color w:val="333333"/>
                                <w:sz w:val="20"/>
                              </w:rPr>
                            </w:pPr>
                            <w:r>
                              <w:rPr>
                                <w:color w:val="333333"/>
                                <w:sz w:val="20"/>
                              </w:rPr>
                              <w:t>Sovereign Long-Term Local-Currency IDR</w:t>
                            </w:r>
                          </w:p>
                        </w:tc>
                        <w:tc>
                          <w:tcPr>
                            <w:tcW w:w="770" w:type="dxa"/>
                            <w:tcBorders/>
                            <w:shd w:fill="EEEFF0" w:val="clear"/>
                            <w:tcMar>
                              <w:bottom w:w="0" w:type="dxa"/>
                            </w:tcMar>
                            <w:vAlign w:val="center"/>
                          </w:tcPr>
                          <w:p>
                            <w:pPr>
                              <w:pStyle w:val="TableContents"/>
                              <w:spacing w:before="0" w:after="0"/>
                              <w:ind w:left="49" w:right="0" w:hanging="0"/>
                              <w:rPr>
                                <w:color w:val="333333"/>
                                <w:sz w:val="20"/>
                              </w:rPr>
                            </w:pPr>
                            <w:r>
                              <w:rPr>
                                <w:color w:val="333333"/>
                                <w:sz w:val="20"/>
                              </w:rPr>
                              <w:t>Negative</w:t>
                            </w:r>
                          </w:p>
                        </w:tc>
                      </w:tr>
                      <w:tr>
                        <w:trPr/>
                        <w:tc>
                          <w:tcPr>
                            <w:tcW w:w="4428" w:type="dxa"/>
                            <w:tcBorders/>
                            <w:shd w:fill="EEEFF0" w:val="clear"/>
                            <w:tcMar>
                              <w:bottom w:w="0" w:type="dxa"/>
                            </w:tcMar>
                            <w:vAlign w:val="center"/>
                          </w:tcPr>
                          <w:p>
                            <w:pPr>
                              <w:pStyle w:val="TableContents"/>
                              <w:spacing w:before="0" w:after="283"/>
                              <w:rPr/>
                            </w:pPr>
                            <w:r>
                              <w:rPr/>
                              <w:t> </w:t>
                            </w:r>
                          </w:p>
                        </w:tc>
                        <w:tc>
                          <w:tcPr>
                            <w:tcW w:w="770" w:type="dxa"/>
                            <w:tcBorders/>
                            <w:shd w:fill="EEEFF0" w:val="clear"/>
                            <w:tcMar>
                              <w:bottom w:w="0" w:type="dxa"/>
                            </w:tcMar>
                            <w:vAlign w:val="center"/>
                          </w:tcPr>
                          <w:p>
                            <w:pPr>
                              <w:pStyle w:val="TableContents"/>
                              <w:spacing w:before="0" w:after="283"/>
                              <w:rPr/>
                            </w:pPr>
                            <w:r>
                              <w:rPr/>
                              <w:t> </w:t>
                            </w:r>
                          </w:p>
                        </w:tc>
                      </w:tr>
                      <w:tr>
                        <w:trPr/>
                        <w:tc>
                          <w:tcPr>
                            <w:tcW w:w="5198" w:type="dxa"/>
                            <w:gridSpan w:val="2"/>
                            <w:tcBorders/>
                            <w:shd w:fill="EEEFF0" w:val="clear"/>
                            <w:tcMar>
                              <w:bottom w:w="0" w:type="dxa"/>
                            </w:tcMar>
                            <w:vAlign w:val="center"/>
                          </w:tcPr>
                          <w:p>
                            <w:pPr>
                              <w:pStyle w:val="TableContents"/>
                              <w:spacing w:before="0" w:after="0"/>
                              <w:rPr>
                                <w:b/>
                                <w:color w:val="333333"/>
                                <w:sz w:val="20"/>
                              </w:rPr>
                            </w:pPr>
                            <w:r>
                              <w:rPr>
                                <w:b/>
                                <w:color w:val="333333"/>
                                <w:sz w:val="20"/>
                              </w:rPr>
                              <w:t>Applicable Criteria</w:t>
                            </w:r>
                          </w:p>
                          <w:p>
                            <w:pPr>
                              <w:pStyle w:val="TableContents"/>
                              <w:spacing w:before="0" w:after="0"/>
                              <w:rPr/>
                            </w:pPr>
                            <w:r>
                              <w:rPr/>
                              <w:t xml:space="preserve">  </w:t>
                            </w:r>
                          </w:p>
                          <w:p>
                            <w:pPr>
                              <w:pStyle w:val="TableContents"/>
                              <w:spacing w:before="69" w:after="283"/>
                              <w:rPr>
                                <w:color w:val="1A6BB4"/>
                                <w:sz w:val="20"/>
                              </w:rPr>
                            </w:pPr>
                            <w:r>
                              <w:rPr>
                                <w:color w:val="1A6BB4"/>
                                <w:sz w:val="20"/>
                              </w:rPr>
                              <w:t>Bank Rating Criteria (September 2022)</w:t>
                            </w:r>
                          </w:p>
                        </w:tc>
                      </w:tr>
                    </w:tbl>
                    <w:p>
                      <w:pPr>
                        <w:pStyle w:val="TextBody"/>
                        <w:spacing w:before="0" w:after="0"/>
                        <w:rPr>
                          <w:sz w:val="20"/>
                        </w:rPr>
                      </w:pPr>
                      <w:r>
                        <w:rPr>
                          <w:sz w:val="20"/>
                        </w:rPr>
                      </w:r>
                    </w:p>
                    <w:tbl>
                      <w:tblPr>
                        <w:tblW w:w="4096" w:type="dxa"/>
                        <w:jc w:val="left"/>
                        <w:tblInd w:w="0" w:type="dxa"/>
                        <w:tblCellMar>
                          <w:top w:w="0" w:type="dxa"/>
                          <w:left w:w="0" w:type="dxa"/>
                          <w:bottom w:w="0" w:type="dxa"/>
                          <w:right w:w="0" w:type="dxa"/>
                        </w:tblCellMar>
                      </w:tblPr>
                      <w:tblGrid>
                        <w:gridCol w:w="2255"/>
                        <w:gridCol w:w="954"/>
                        <w:gridCol w:w="887"/>
                      </w:tblGrid>
                      <w:tr>
                        <w:trPr/>
                        <w:tc>
                          <w:tcPr>
                            <w:tcW w:w="4096" w:type="dxa"/>
                            <w:gridSpan w:val="3"/>
                            <w:tcBorders/>
                            <w:shd w:fill="EEEFF0" w:val="clear"/>
                            <w:vAlign w:val="center"/>
                          </w:tcPr>
                          <w:p>
                            <w:pPr>
                              <w:pStyle w:val="TableContents"/>
                              <w:spacing w:before="10" w:after="283"/>
                              <w:ind w:left="36" w:right="0" w:hanging="0"/>
                              <w:rPr>
                                <w:b/>
                                <w:color w:val="333333"/>
                                <w:sz w:val="20"/>
                              </w:rPr>
                            </w:pPr>
                            <w:r>
                              <w:rPr>
                                <w:b/>
                                <w:color w:val="333333"/>
                                <w:sz w:val="20"/>
                              </w:rPr>
                              <w:t>Financial Data</w:t>
                            </w:r>
                          </w:p>
                        </w:tc>
                      </w:tr>
                      <w:tr>
                        <w:trPr/>
                        <w:tc>
                          <w:tcPr>
                            <w:tcW w:w="2255" w:type="dxa"/>
                            <w:tcBorders>
                              <w:bottom w:val="single" w:sz="12" w:space="0" w:color="7D878D"/>
                            </w:tcBorders>
                            <w:shd w:fill="EEEFF0" w:val="clear"/>
                            <w:tcMar>
                              <w:bottom w:w="28" w:type="dxa"/>
                            </w:tcMar>
                            <w:vAlign w:val="center"/>
                          </w:tcPr>
                          <w:p>
                            <w:pPr>
                              <w:pStyle w:val="TableContents"/>
                              <w:spacing w:before="49" w:after="283"/>
                              <w:ind w:left="36" w:right="0" w:hanging="0"/>
                              <w:rPr>
                                <w:b/>
                                <w:color w:val="333333"/>
                                <w:sz w:val="20"/>
                              </w:rPr>
                            </w:pPr>
                            <w:r>
                              <w:rPr>
                                <w:b/>
                                <w:color w:val="333333"/>
                                <w:sz w:val="20"/>
                              </w:rPr>
                              <w:t>Credicorp Ltd.</w:t>
                            </w:r>
                          </w:p>
                        </w:tc>
                        <w:tc>
                          <w:tcPr>
                            <w:tcW w:w="954" w:type="dxa"/>
                            <w:tcBorders>
                              <w:bottom w:val="single" w:sz="12" w:space="0" w:color="7D878D"/>
                            </w:tcBorders>
                            <w:shd w:fill="EEEFF0" w:val="clear"/>
                            <w:tcMar>
                              <w:bottom w:w="28" w:type="dxa"/>
                            </w:tcMar>
                            <w:vAlign w:val="center"/>
                          </w:tcPr>
                          <w:p>
                            <w:pPr>
                              <w:pStyle w:val="TableContents"/>
                              <w:spacing w:before="0" w:after="283"/>
                              <w:rPr/>
                            </w:pPr>
                            <w:r>
                              <w:rPr/>
                              <w:t> </w:t>
                            </w:r>
                          </w:p>
                        </w:tc>
                        <w:tc>
                          <w:tcPr>
                            <w:tcW w:w="887" w:type="dxa"/>
                            <w:tcBorders>
                              <w:bottom w:val="single" w:sz="12" w:space="0" w:color="7D878D"/>
                            </w:tcBorders>
                            <w:shd w:fill="EEEFF0" w:val="clear"/>
                            <w:tcMar>
                              <w:bottom w:w="28" w:type="dxa"/>
                            </w:tcMar>
                            <w:vAlign w:val="center"/>
                          </w:tcPr>
                          <w:p>
                            <w:pPr>
                              <w:pStyle w:val="TableContents"/>
                              <w:spacing w:before="0" w:after="283"/>
                              <w:rPr/>
                            </w:pPr>
                            <w:r>
                              <w:rPr/>
                              <w:t> </w:t>
                            </w:r>
                          </w:p>
                        </w:tc>
                      </w:tr>
                      <w:tr>
                        <w:trPr/>
                        <w:tc>
                          <w:tcPr>
                            <w:tcW w:w="2255" w:type="dxa"/>
                            <w:tcBorders>
                              <w:top w:val="single" w:sz="12" w:space="0" w:color="7D878D"/>
                              <w:bottom w:val="single" w:sz="12" w:space="0" w:color="7D878D"/>
                            </w:tcBorders>
                            <w:shd w:fill="EEEFF0" w:val="clear"/>
                            <w:tcMar>
                              <w:top w:w="28" w:type="dxa"/>
                              <w:bottom w:w="28" w:type="dxa"/>
                            </w:tcMar>
                            <w:vAlign w:val="center"/>
                          </w:tcPr>
                          <w:p>
                            <w:pPr>
                              <w:pStyle w:val="TableContents"/>
                              <w:spacing w:before="0" w:after="283"/>
                              <w:rPr>
                                <w:sz w:val="20"/>
                              </w:rPr>
                            </w:pPr>
                            <w:r>
                              <w:rPr>
                                <w:sz w:val="20"/>
                              </w:rPr>
                            </w:r>
                          </w:p>
                        </w:tc>
                        <w:tc>
                          <w:tcPr>
                            <w:tcW w:w="954" w:type="dxa"/>
                            <w:tcBorders>
                              <w:top w:val="single" w:sz="12" w:space="0" w:color="7D878D"/>
                              <w:bottom w:val="single" w:sz="12" w:space="0" w:color="7D878D"/>
                            </w:tcBorders>
                            <w:shd w:fill="EEEFF0" w:val="clear"/>
                            <w:tcMar>
                              <w:top w:w="28" w:type="dxa"/>
                              <w:bottom w:w="28" w:type="dxa"/>
                            </w:tcMar>
                            <w:vAlign w:val="center"/>
                          </w:tcPr>
                          <w:p>
                            <w:pPr>
                              <w:pStyle w:val="TableContents"/>
                              <w:spacing w:before="37" w:after="283"/>
                              <w:ind w:left="0" w:right="109" w:hanging="0"/>
                              <w:jc w:val="right"/>
                              <w:rPr>
                                <w:b/>
                                <w:color w:val="333333"/>
                                <w:sz w:val="20"/>
                              </w:rPr>
                            </w:pPr>
                            <w:r>
                              <w:rPr>
                                <w:b/>
                                <w:color w:val="333333"/>
                                <w:sz w:val="20"/>
                              </w:rPr>
                              <w:t>12/31/22</w:t>
                            </w:r>
                          </w:p>
                        </w:tc>
                        <w:tc>
                          <w:tcPr>
                            <w:tcW w:w="887" w:type="dxa"/>
                            <w:tcBorders>
                              <w:top w:val="single" w:sz="12" w:space="0" w:color="7D878D"/>
                              <w:bottom w:val="single" w:sz="12" w:space="0" w:color="7D878D"/>
                            </w:tcBorders>
                            <w:shd w:fill="EEEFF0" w:val="clear"/>
                            <w:tcMar>
                              <w:top w:w="28" w:type="dxa"/>
                              <w:bottom w:w="28" w:type="dxa"/>
                            </w:tcMar>
                            <w:vAlign w:val="center"/>
                          </w:tcPr>
                          <w:p>
                            <w:pPr>
                              <w:pStyle w:val="TableContents"/>
                              <w:spacing w:before="37" w:after="283"/>
                              <w:ind w:left="0" w:right="28" w:hanging="0"/>
                              <w:jc w:val="right"/>
                              <w:rPr>
                                <w:b/>
                                <w:color w:val="333333"/>
                                <w:sz w:val="20"/>
                              </w:rPr>
                            </w:pPr>
                            <w:r>
                              <w:rPr>
                                <w:b/>
                                <w:color w:val="333333"/>
                                <w:sz w:val="20"/>
                              </w:rPr>
                              <w:t>12/31/21</w:t>
                            </w:r>
                          </w:p>
                        </w:tc>
                      </w:tr>
                      <w:tr>
                        <w:trPr/>
                        <w:tc>
                          <w:tcPr>
                            <w:tcW w:w="2255" w:type="dxa"/>
                            <w:tcBorders>
                              <w:top w:val="single" w:sz="12" w:space="0" w:color="7D878D"/>
                              <w:bottom w:val="single" w:sz="12" w:space="0" w:color="7D878D"/>
                            </w:tcBorders>
                            <w:shd w:fill="EEEFF0" w:val="clear"/>
                            <w:tcMar>
                              <w:top w:w="28" w:type="dxa"/>
                              <w:bottom w:w="28" w:type="dxa"/>
                            </w:tcMar>
                            <w:vAlign w:val="center"/>
                          </w:tcPr>
                          <w:p>
                            <w:pPr>
                              <w:pStyle w:val="TableContents"/>
                              <w:spacing w:before="27" w:after="283"/>
                              <w:ind w:left="36" w:right="261" w:hanging="0"/>
                              <w:rPr>
                                <w:color w:val="333333"/>
                                <w:sz w:val="20"/>
                              </w:rPr>
                            </w:pPr>
                            <w:r>
                              <w:rPr>
                                <w:color w:val="333333"/>
                                <w:sz w:val="20"/>
                              </w:rPr>
                              <w:t>Total Assets (USD Mil.)</w:t>
                            </w:r>
                          </w:p>
                        </w:tc>
                        <w:tc>
                          <w:tcPr>
                            <w:tcW w:w="954" w:type="dxa"/>
                            <w:tcBorders>
                              <w:top w:val="single" w:sz="12" w:space="0" w:color="7D878D"/>
                              <w:bottom w:val="single" w:sz="12" w:space="0" w:color="7D878D"/>
                            </w:tcBorders>
                            <w:shd w:fill="EEEFF0" w:val="clear"/>
                            <w:tcMar>
                              <w:top w:w="28" w:type="dxa"/>
                              <w:bottom w:w="28" w:type="dxa"/>
                            </w:tcMar>
                            <w:vAlign w:val="center"/>
                          </w:tcPr>
                          <w:p>
                            <w:pPr>
                              <w:pStyle w:val="TableContents"/>
                              <w:spacing w:before="0" w:after="0"/>
                              <w:ind w:left="0" w:right="109" w:hanging="0"/>
                              <w:jc w:val="right"/>
                              <w:rPr>
                                <w:color w:val="333333"/>
                                <w:sz w:val="20"/>
                              </w:rPr>
                            </w:pPr>
                            <w:r>
                              <w:rPr>
                                <w:color w:val="333333"/>
                                <w:sz w:val="20"/>
                              </w:rPr>
                              <w:t>62,156.4</w:t>
                            </w:r>
                          </w:p>
                        </w:tc>
                        <w:tc>
                          <w:tcPr>
                            <w:tcW w:w="887" w:type="dxa"/>
                            <w:tcBorders>
                              <w:top w:val="single" w:sz="12" w:space="0" w:color="7D878D"/>
                              <w:bottom w:val="single" w:sz="12" w:space="0" w:color="7D878D"/>
                            </w:tcBorders>
                            <w:shd w:fill="EEEFF0" w:val="clear"/>
                            <w:tcMar>
                              <w:top w:w="28" w:type="dxa"/>
                              <w:bottom w:w="28" w:type="dxa"/>
                            </w:tcMar>
                            <w:vAlign w:val="center"/>
                          </w:tcPr>
                          <w:p>
                            <w:pPr>
                              <w:pStyle w:val="TableContents"/>
                              <w:spacing w:before="0" w:after="0"/>
                              <w:ind w:left="0" w:right="27" w:hanging="0"/>
                              <w:jc w:val="right"/>
                              <w:rPr>
                                <w:color w:val="333333"/>
                                <w:sz w:val="20"/>
                              </w:rPr>
                            </w:pPr>
                            <w:r>
                              <w:rPr>
                                <w:color w:val="333333"/>
                                <w:sz w:val="20"/>
                              </w:rPr>
                              <w:t>61,443.6</w:t>
                            </w:r>
                          </w:p>
                        </w:tc>
                      </w:tr>
                      <w:tr>
                        <w:trPr/>
                        <w:tc>
                          <w:tcPr>
                            <w:tcW w:w="2255" w:type="dxa"/>
                            <w:tcBorders>
                              <w:top w:val="single" w:sz="12" w:space="0" w:color="7D878D"/>
                              <w:bottom w:val="single" w:sz="12" w:space="0" w:color="7D878D"/>
                            </w:tcBorders>
                            <w:shd w:fill="EEEFF0" w:val="clear"/>
                            <w:tcMar>
                              <w:top w:w="28" w:type="dxa"/>
                              <w:bottom w:w="28" w:type="dxa"/>
                            </w:tcMar>
                            <w:vAlign w:val="center"/>
                          </w:tcPr>
                          <w:p>
                            <w:pPr>
                              <w:pStyle w:val="TableContents"/>
                              <w:spacing w:before="27" w:after="283"/>
                              <w:ind w:left="36" w:right="261" w:hanging="0"/>
                              <w:rPr>
                                <w:color w:val="333333"/>
                                <w:sz w:val="20"/>
                              </w:rPr>
                            </w:pPr>
                            <w:r>
                              <w:rPr>
                                <w:color w:val="333333"/>
                                <w:sz w:val="20"/>
                              </w:rPr>
                              <w:t>Total Assets (PEN Mil.)</w:t>
                            </w:r>
                          </w:p>
                        </w:tc>
                        <w:tc>
                          <w:tcPr>
                            <w:tcW w:w="954" w:type="dxa"/>
                            <w:tcBorders>
                              <w:top w:val="single" w:sz="12" w:space="0" w:color="7D878D"/>
                              <w:bottom w:val="single" w:sz="12" w:space="0" w:color="7D878D"/>
                            </w:tcBorders>
                            <w:shd w:fill="EEEFF0" w:val="clear"/>
                            <w:tcMar>
                              <w:top w:w="28" w:type="dxa"/>
                              <w:bottom w:w="28" w:type="dxa"/>
                            </w:tcMar>
                            <w:vAlign w:val="center"/>
                          </w:tcPr>
                          <w:p>
                            <w:pPr>
                              <w:pStyle w:val="TableContents"/>
                              <w:spacing w:before="0" w:after="0"/>
                              <w:ind w:left="0" w:right="109" w:hanging="0"/>
                              <w:jc w:val="right"/>
                              <w:rPr>
                                <w:color w:val="333333"/>
                                <w:sz w:val="20"/>
                              </w:rPr>
                            </w:pPr>
                            <w:r>
                              <w:rPr>
                                <w:color w:val="333333"/>
                                <w:sz w:val="20"/>
                              </w:rPr>
                              <w:t>236,753.6</w:t>
                            </w:r>
                          </w:p>
                        </w:tc>
                        <w:tc>
                          <w:tcPr>
                            <w:tcW w:w="887" w:type="dxa"/>
                            <w:tcBorders>
                              <w:top w:val="single" w:sz="12" w:space="0" w:color="7D878D"/>
                              <w:bottom w:val="single" w:sz="12" w:space="0" w:color="7D878D"/>
                            </w:tcBorders>
                            <w:shd w:fill="EEEFF0" w:val="clear"/>
                            <w:tcMar>
                              <w:top w:w="28" w:type="dxa"/>
                              <w:bottom w:w="28" w:type="dxa"/>
                            </w:tcMar>
                            <w:vAlign w:val="center"/>
                          </w:tcPr>
                          <w:p>
                            <w:pPr>
                              <w:pStyle w:val="TableContents"/>
                              <w:spacing w:before="0" w:after="0"/>
                              <w:ind w:left="0" w:right="27" w:hanging="0"/>
                              <w:jc w:val="right"/>
                              <w:rPr>
                                <w:color w:val="333333"/>
                                <w:sz w:val="20"/>
                              </w:rPr>
                            </w:pPr>
                            <w:r>
                              <w:rPr>
                                <w:color w:val="333333"/>
                                <w:sz w:val="20"/>
                              </w:rPr>
                              <w:t>244,846.7</w:t>
                            </w:r>
                          </w:p>
                        </w:tc>
                      </w:tr>
                      <w:tr>
                        <w:trPr/>
                        <w:tc>
                          <w:tcPr>
                            <w:tcW w:w="2255" w:type="dxa"/>
                            <w:tcBorders>
                              <w:top w:val="single" w:sz="12" w:space="0" w:color="7D878D"/>
                              <w:bottom w:val="single" w:sz="12" w:space="0" w:color="7D878D"/>
                            </w:tcBorders>
                            <w:shd w:fill="EEEFF0" w:val="clear"/>
                            <w:tcMar>
                              <w:top w:w="28" w:type="dxa"/>
                              <w:bottom w:w="28" w:type="dxa"/>
                            </w:tcMar>
                            <w:vAlign w:val="center"/>
                          </w:tcPr>
                          <w:p>
                            <w:pPr>
                              <w:pStyle w:val="TableContents"/>
                              <w:spacing w:before="27" w:after="283"/>
                              <w:ind w:left="36" w:right="270" w:hanging="0"/>
                              <w:rPr>
                                <w:color w:val="333333"/>
                                <w:sz w:val="20"/>
                              </w:rPr>
                            </w:pPr>
                            <w:r>
                              <w:rPr>
                                <w:color w:val="333333"/>
                                <w:sz w:val="20"/>
                              </w:rPr>
                              <w:t>Total Equity (PEN Mil.)</w:t>
                            </w:r>
                          </w:p>
                        </w:tc>
                        <w:tc>
                          <w:tcPr>
                            <w:tcW w:w="954" w:type="dxa"/>
                            <w:tcBorders>
                              <w:top w:val="single" w:sz="12" w:space="0" w:color="7D878D"/>
                              <w:bottom w:val="single" w:sz="12" w:space="0" w:color="7D878D"/>
                            </w:tcBorders>
                            <w:shd w:fill="EEEFF0" w:val="clear"/>
                            <w:tcMar>
                              <w:top w:w="28" w:type="dxa"/>
                              <w:bottom w:w="28" w:type="dxa"/>
                            </w:tcMar>
                            <w:vAlign w:val="center"/>
                          </w:tcPr>
                          <w:p>
                            <w:pPr>
                              <w:pStyle w:val="TableContents"/>
                              <w:spacing w:before="0" w:after="0"/>
                              <w:ind w:left="0" w:right="109" w:hanging="0"/>
                              <w:jc w:val="right"/>
                              <w:rPr>
                                <w:color w:val="333333"/>
                                <w:sz w:val="20"/>
                              </w:rPr>
                            </w:pPr>
                            <w:r>
                              <w:rPr>
                                <w:color w:val="333333"/>
                                <w:sz w:val="20"/>
                              </w:rPr>
                              <w:t>29,579.7</w:t>
                            </w:r>
                          </w:p>
                        </w:tc>
                        <w:tc>
                          <w:tcPr>
                            <w:tcW w:w="887" w:type="dxa"/>
                            <w:tcBorders>
                              <w:top w:val="single" w:sz="12" w:space="0" w:color="7D878D"/>
                              <w:bottom w:val="single" w:sz="12" w:space="0" w:color="7D878D"/>
                            </w:tcBorders>
                            <w:shd w:fill="EEEFF0" w:val="clear"/>
                            <w:tcMar>
                              <w:top w:w="28" w:type="dxa"/>
                              <w:bottom w:w="28" w:type="dxa"/>
                            </w:tcMar>
                            <w:vAlign w:val="center"/>
                          </w:tcPr>
                          <w:p>
                            <w:pPr>
                              <w:pStyle w:val="TableContents"/>
                              <w:spacing w:before="0" w:after="0"/>
                              <w:ind w:left="0" w:right="28" w:hanging="0"/>
                              <w:jc w:val="right"/>
                              <w:rPr>
                                <w:color w:val="333333"/>
                                <w:sz w:val="20"/>
                              </w:rPr>
                            </w:pPr>
                            <w:r>
                              <w:rPr>
                                <w:color w:val="333333"/>
                                <w:sz w:val="20"/>
                              </w:rPr>
                              <w:t>27,037.4</w:t>
                            </w:r>
                          </w:p>
                        </w:tc>
                      </w:tr>
                    </w:tbl>
                    <w:p>
                      <w:pPr>
                        <w:pStyle w:val="TextBody"/>
                        <w:spacing w:before="0" w:after="0"/>
                        <w:rPr>
                          <w:sz w:val="20"/>
                        </w:rPr>
                      </w:pPr>
                      <w:r>
                        <w:rPr>
                          <w:sz w:val="20"/>
                        </w:rPr>
                      </w:r>
                    </w:p>
                    <w:tbl>
                      <w:tblPr>
                        <w:tblW w:w="4070" w:type="dxa"/>
                        <w:jc w:val="left"/>
                        <w:tblInd w:w="0" w:type="dxa"/>
                        <w:tblCellMar>
                          <w:top w:w="0" w:type="dxa"/>
                          <w:left w:w="0" w:type="dxa"/>
                          <w:bottom w:w="0" w:type="dxa"/>
                          <w:right w:w="0" w:type="dxa"/>
                        </w:tblCellMar>
                      </w:tblPr>
                      <w:tblGrid>
                        <w:gridCol w:w="75"/>
                        <w:gridCol w:w="3995"/>
                      </w:tblGrid>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10" w:after="283"/>
                              <w:rPr/>
                            </w:pPr>
                            <w:r>
                              <w:rPr>
                                <w:b/>
                                <w:color w:val="333333"/>
                                <w:sz w:val="20"/>
                                <w:u w:val="single"/>
                              </w:rPr>
                              <w:t>Analysts</w:t>
                            </w:r>
                            <w:r>
                              <w:rPr/>
                              <w:t>                                                      </w:t>
                            </w:r>
                          </w:p>
                        </w:tc>
                      </w:tr>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30" w:after="283"/>
                              <w:rPr>
                                <w:color w:val="333333"/>
                                <w:sz w:val="20"/>
                              </w:rPr>
                            </w:pPr>
                            <w:r>
                              <w:rPr>
                                <w:color w:val="333333"/>
                                <w:sz w:val="20"/>
                              </w:rPr>
                              <w:t>Robert Stoll</w:t>
                            </w:r>
                          </w:p>
                        </w:tc>
                      </w:tr>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29" w:after="283"/>
                              <w:rPr>
                                <w:color w:val="333333"/>
                                <w:sz w:val="20"/>
                              </w:rPr>
                            </w:pPr>
                            <w:r>
                              <w:rPr>
                                <w:color w:val="333333"/>
                                <w:sz w:val="20"/>
                              </w:rPr>
                              <w:t>+1 212 908 9155</w:t>
                            </w:r>
                          </w:p>
                        </w:tc>
                      </w:tr>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29" w:after="283"/>
                              <w:rPr>
                                <w:color w:val="275B9B"/>
                                <w:sz w:val="20"/>
                              </w:rPr>
                            </w:pPr>
                            <w:r>
                              <w:rPr>
                                <w:color w:val="275B9B"/>
                                <w:sz w:val="20"/>
                              </w:rPr>
                              <w:t>robert.stoll@fitchratings.com</w:t>
                            </w:r>
                          </w:p>
                        </w:tc>
                      </w:tr>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0" w:after="283"/>
                              <w:rPr/>
                            </w:pPr>
                            <w:r>
                              <w:rPr/>
                              <w:t> </w:t>
                            </w:r>
                          </w:p>
                        </w:tc>
                      </w:tr>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0" w:after="0"/>
                              <w:rPr>
                                <w:color w:val="333333"/>
                                <w:sz w:val="20"/>
                              </w:rPr>
                            </w:pPr>
                            <w:r>
                              <w:rPr>
                                <w:color w:val="333333"/>
                                <w:sz w:val="20"/>
                              </w:rPr>
                              <w:t>Andres Marquez</w:t>
                            </w:r>
                          </w:p>
                        </w:tc>
                      </w:tr>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29" w:after="283"/>
                              <w:rPr>
                                <w:color w:val="333333"/>
                                <w:sz w:val="20"/>
                              </w:rPr>
                            </w:pPr>
                            <w:r>
                              <w:rPr>
                                <w:color w:val="333333"/>
                                <w:sz w:val="20"/>
                              </w:rPr>
                              <w:t>+57 601 241 3254</w:t>
                            </w:r>
                          </w:p>
                        </w:tc>
                      </w:tr>
                      <w:tr>
                        <w:trPr/>
                        <w:tc>
                          <w:tcPr>
                            <w:tcW w:w="75" w:type="dxa"/>
                            <w:tcBorders/>
                            <w:shd w:fill="EEEFF0" w:val="clear"/>
                            <w:vAlign w:val="center"/>
                          </w:tcPr>
                          <w:p>
                            <w:pPr>
                              <w:pStyle w:val="TableContents"/>
                              <w:spacing w:before="0" w:after="283"/>
                              <w:rPr/>
                            </w:pPr>
                            <w:r>
                              <w:rPr/>
                              <w:t> </w:t>
                            </w:r>
                          </w:p>
                        </w:tc>
                        <w:tc>
                          <w:tcPr>
                            <w:tcW w:w="3995" w:type="dxa"/>
                            <w:tcBorders/>
                            <w:shd w:fill="EEEFF0" w:val="clear"/>
                            <w:vAlign w:val="center"/>
                          </w:tcPr>
                          <w:p>
                            <w:pPr>
                              <w:pStyle w:val="TableContents"/>
                              <w:spacing w:before="29" w:after="283"/>
                              <w:rPr>
                                <w:color w:val="275B9B"/>
                                <w:sz w:val="20"/>
                              </w:rPr>
                            </w:pPr>
                            <w:r>
                              <w:rPr>
                                <w:color w:val="275B9B"/>
                                <w:sz w:val="20"/>
                              </w:rPr>
                              <w:t>andres.marquez@fitchratings.com</w:t>
                            </w:r>
                          </w:p>
                        </w:tc>
                      </w:tr>
                    </w:tbl>
                    <w:p>
                      <w:pPr>
                        <w:pStyle w:val="TextBody"/>
                        <w:spacing w:before="0" w:after="283"/>
                        <w:rPr/>
                      </w:pPr>
                      <w:r>
                        <w:rPr/>
                      </w:r>
                    </w:p>
                  </w:txbxContent>
                </v:textbox>
                <w10:wrap type="square" side="left"/>
              </v:rect>
            </w:pict>
          </mc:Fallback>
        </mc:AlternateContent>
      </w:r>
    </w:p>
    <w:tbl>
      <w:tblPr>
        <w:tblW w:w="60" w:type="dxa"/>
        <w:jc w:val="left"/>
        <w:tblInd w:w="0" w:type="dxa"/>
        <w:tblCellMar>
          <w:top w:w="0" w:type="dxa"/>
          <w:left w:w="0" w:type="dxa"/>
          <w:bottom w:w="0" w:type="dxa"/>
          <w:right w:w="0" w:type="dxa"/>
        </w:tblCellMar>
      </w:tblPr>
      <w:tblGrid>
        <w:gridCol w:w="60"/>
      </w:tblGrid>
      <w:tr>
        <w:trPr/>
        <w:tc>
          <w:tcPr>
            <w:tcW w:w="60" w:type="dxa"/>
            <w:tcBorders/>
            <w:shd w:fill="auto" w:val="clear"/>
            <w:vAlign w:val="center"/>
          </w:tcPr>
          <w:p>
            <w:pPr>
              <w:pStyle w:val="TableContents"/>
              <w:spacing w:before="0" w:after="0"/>
              <w:rPr/>
            </w:pPr>
            <w:r>
              <w:rPr/>
              <w:t> </w:t>
            </w:r>
          </w:p>
        </w:tc>
      </w:tr>
    </w:tbl>
    <w:p>
      <w:pPr>
        <w:pStyle w:val="TextBody"/>
        <w:spacing w:before="0" w:after="0"/>
        <w:rPr>
          <w:sz w:val="20"/>
        </w:rPr>
      </w:pPr>
      <w:r>
        <w:rPr>
          <w:sz w:val="20"/>
        </w:rPr>
      </w:r>
    </w:p>
    <w:tbl>
      <w:tblPr>
        <w:tblW w:w="4510" w:type="dxa"/>
        <w:jc w:val="left"/>
        <w:tblInd w:w="0" w:type="dxa"/>
        <w:tblCellMar>
          <w:top w:w="28" w:type="dxa"/>
          <w:left w:w="0" w:type="dxa"/>
          <w:bottom w:w="0" w:type="dxa"/>
          <w:right w:w="0" w:type="dxa"/>
        </w:tblCellMar>
      </w:tblPr>
      <w:tblGrid>
        <w:gridCol w:w="2015"/>
        <w:gridCol w:w="2495"/>
      </w:tblGrid>
      <w:tr>
        <w:trPr/>
        <w:tc>
          <w:tcPr>
            <w:tcW w:w="2015" w:type="dxa"/>
            <w:tcBorders>
              <w:top w:val="single" w:sz="2" w:space="0" w:color="000000"/>
            </w:tcBorders>
            <w:shd w:fill="auto" w:val="clear"/>
            <w:vAlign w:val="center"/>
          </w:tcPr>
          <w:p>
            <w:pPr>
              <w:pStyle w:val="TableContents"/>
              <w:spacing w:before="0" w:after="0"/>
              <w:jc w:val="left"/>
              <w:rPr>
                <w:color w:val="333333"/>
                <w:sz w:val="20"/>
              </w:rPr>
            </w:pPr>
            <w:r>
              <w:rPr>
                <w:color w:val="333333"/>
                <w:sz w:val="20"/>
              </w:rPr>
              <w:t>Update │ April 21, 2023</w:t>
            </w:r>
          </w:p>
        </w:tc>
        <w:tc>
          <w:tcPr>
            <w:tcW w:w="2495" w:type="dxa"/>
            <w:tcBorders>
              <w:top w:val="single" w:sz="2" w:space="0" w:color="000000"/>
            </w:tcBorders>
            <w:shd w:fill="auto" w:val="clear"/>
            <w:vAlign w:val="center"/>
          </w:tcPr>
          <w:p>
            <w:pPr>
              <w:pStyle w:val="TableContents"/>
              <w:spacing w:before="0" w:after="0"/>
              <w:ind w:left="0" w:right="0" w:hanging="0"/>
              <w:jc w:val="right"/>
              <w:rPr/>
            </w:pPr>
            <w:r>
              <w:rPr>
                <w:color w:val="333333"/>
                <w:sz w:val="20"/>
              </w:rPr>
              <w:t>fitchratings.com</w:t>
            </w:r>
            <w:r>
              <w:rPr/>
              <w:t xml:space="preserve">                </w:t>
            </w:r>
            <w:r>
              <w:rPr>
                <w:sz w:val="20"/>
              </w:rPr>
              <w:t xml:space="preserve">1  </w:t>
            </w:r>
          </w:p>
        </w:tc>
      </w:tr>
    </w:tbl>
    <w:p>
      <w:pPr>
        <w:pStyle w:val="HorizontalLine"/>
        <w:pBdr>
          <w:bottom w:val="single" w:sz="20" w:space="0" w:color="808080"/>
        </w:pBdr>
        <w:spacing w:before="180" w:after="180"/>
        <w:rPr/>
      </w:pPr>
      <w:r>
        <w:rPr/>
      </w:r>
    </w:p>
    <w:p>
      <w:pPr>
        <w:pStyle w:val="TextBody"/>
        <w:spacing w:before="0" w:after="0"/>
        <w:jc w:val="center"/>
        <w:rPr/>
      </w:pPr>
      <w:r>
        <w:rPr/>
        <w:drawing>
          <wp:inline distT="0" distB="0" distL="0" distR="0">
            <wp:extent cx="7743825" cy="9620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7743825" cy="962025"/>
                    </a:xfrm>
                    <a:prstGeom prst="rect">
                      <a:avLst/>
                    </a:prstGeom>
                  </pic:spPr>
                </pic:pic>
              </a:graphicData>
            </a:graphic>
          </wp:inline>
        </w:drawing>
      </w:r>
    </w:p>
    <w:p>
      <w:pPr>
        <w:pStyle w:val="TextBody"/>
        <w:spacing w:before="0" w:after="0"/>
        <w:rPr>
          <w:sz w:val="20"/>
        </w:rPr>
      </w:pPr>
      <w:r>
        <w:rPr>
          <w:sz w:val="20"/>
        </w:rPr>
      </w:r>
    </w:p>
    <w:p>
      <w:pPr>
        <w:pStyle w:val="TextBody"/>
        <w:spacing w:before="0" w:after="0"/>
        <w:rPr/>
      </w:pPr>
      <w:r>
        <w:rPr>
          <w:color w:val="000000"/>
        </w:rPr>
        <w:t> </w:t>
      </w:r>
      <w:r>
        <w:rPr/>
        <w:t xml:space="preserve"> </w:t>
      </w:r>
    </w:p>
    <w:p>
      <w:pPr>
        <w:pStyle w:val="HorizontalLine"/>
        <w:pBdr>
          <w:bottom w:val="single" w:sz="20" w:space="0" w:color="808080"/>
        </w:pBdr>
        <w:rPr/>
      </w:pPr>
      <w:r>
        <w:rPr/>
      </w:r>
    </w:p>
    <w:p>
      <w:pPr>
        <w:pStyle w:val="Normal"/>
        <w:spacing w:before="0" w:after="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3110230" cy="9946005"/>
                <wp:effectExtent l="0" t="0" r="0" b="0"/>
                <wp:wrapSquare wrapText="largest"/>
                <wp:docPr id="6" name="Frame3"/>
                <a:graphic xmlns:a="http://schemas.openxmlformats.org/drawingml/2006/main">
                  <a:graphicData uri="http://schemas.microsoft.com/office/word/2010/wordprocessingShape">
                    <wps:wsp>
                      <wps:cNvSpPr txBox="1"/>
                      <wps:spPr>
                        <a:xfrm>
                          <a:off x="0" y="0"/>
                          <a:ext cx="3110230" cy="9946005"/>
                        </a:xfrm>
                        <a:prstGeom prst="rect"/>
                      </wps:spPr>
                      <wps:txbx>
                        <w:txbxContent>
                          <w:p>
                            <w:pPr>
                              <w:pStyle w:val="TextBody"/>
                              <w:spacing w:before="0" w:after="0"/>
                              <w:rPr/>
                            </w:pPr>
                            <w:r>
                              <w:rPr/>
                              <w:t> </w:t>
                            </w:r>
                          </w:p>
                          <w:tbl>
                            <w:tblPr>
                              <w:tblW w:w="4054" w:type="dxa"/>
                              <w:jc w:val="left"/>
                              <w:tblInd w:w="0" w:type="dxa"/>
                              <w:tblCellMar>
                                <w:top w:w="0" w:type="dxa"/>
                                <w:left w:w="0" w:type="dxa"/>
                                <w:bottom w:w="28" w:type="dxa"/>
                                <w:right w:w="0" w:type="dxa"/>
                              </w:tblCellMar>
                            </w:tblPr>
                            <w:tblGrid>
                              <w:gridCol w:w="3182"/>
                              <w:gridCol w:w="872"/>
                            </w:tblGrid>
                            <w:tr>
                              <w:trPr/>
                              <w:tc>
                                <w:tcPr>
                                  <w:tcW w:w="4054" w:type="dxa"/>
                                  <w:gridSpan w:val="2"/>
                                  <w:tcBorders>
                                    <w:bottom w:val="single" w:sz="12" w:space="0" w:color="7D878D"/>
                                  </w:tcBorders>
                                  <w:shd w:fill="auto" w:val="clear"/>
                                  <w:vAlign w:val="center"/>
                                </w:tcPr>
                                <w:p>
                                  <w:pPr>
                                    <w:pStyle w:val="TableContents"/>
                                    <w:spacing w:before="13" w:after="283"/>
                                    <w:ind w:left="7" w:right="0" w:hanging="0"/>
                                    <w:rPr>
                                      <w:b/>
                                      <w:color w:val="333333"/>
                                      <w:sz w:val="20"/>
                                    </w:rPr>
                                  </w:pPr>
                                  <w:r>
                                    <w:rPr>
                                      <w:b/>
                                      <w:color w:val="333333"/>
                                      <w:sz w:val="20"/>
                                    </w:rPr>
                                    <w:t>Issuer Ratings (Including Main Issuing Entities)</w:t>
                                  </w:r>
                                </w:p>
                              </w:tc>
                            </w:tr>
                            <w:tr>
                              <w:trPr/>
                              <w:tc>
                                <w:tcPr>
                                  <w:tcW w:w="3182" w:type="dxa"/>
                                  <w:tcBorders>
                                    <w:top w:val="single" w:sz="12" w:space="0" w:color="7D878D"/>
                                    <w:bottom w:val="single" w:sz="12" w:space="0" w:color="7D878D"/>
                                  </w:tcBorders>
                                  <w:shd w:fill="auto" w:val="clear"/>
                                  <w:tcMar>
                                    <w:top w:w="28" w:type="dxa"/>
                                  </w:tcMar>
                                  <w:vAlign w:val="center"/>
                                </w:tcPr>
                                <w:p>
                                  <w:pPr>
                                    <w:pStyle w:val="TableContents"/>
                                    <w:spacing w:before="36" w:after="283"/>
                                    <w:ind w:left="36" w:right="0" w:hanging="0"/>
                                    <w:rPr>
                                      <w:b/>
                                      <w:color w:val="333333"/>
                                      <w:sz w:val="20"/>
                                    </w:rPr>
                                  </w:pPr>
                                  <w:r>
                                    <w:rPr>
                                      <w:b/>
                                      <w:color w:val="333333"/>
                                      <w:sz w:val="20"/>
                                    </w:rPr>
                                    <w:t>Rating Level</w:t>
                                  </w:r>
                                </w:p>
                              </w:tc>
                              <w:tc>
                                <w:tcPr>
                                  <w:tcW w:w="872" w:type="dxa"/>
                                  <w:tcBorders>
                                    <w:top w:val="single" w:sz="12" w:space="0" w:color="7D878D"/>
                                    <w:bottom w:val="single" w:sz="12" w:space="0" w:color="7D878D"/>
                                  </w:tcBorders>
                                  <w:shd w:fill="auto" w:val="clear"/>
                                  <w:tcMar>
                                    <w:top w:w="28" w:type="dxa"/>
                                  </w:tcMar>
                                  <w:vAlign w:val="center"/>
                                </w:tcPr>
                                <w:p>
                                  <w:pPr>
                                    <w:pStyle w:val="TableContents"/>
                                    <w:spacing w:before="36" w:after="283"/>
                                    <w:ind w:left="640" w:right="0" w:hanging="0"/>
                                    <w:rPr>
                                      <w:b/>
                                      <w:color w:val="333333"/>
                                      <w:sz w:val="20"/>
                                    </w:rPr>
                                  </w:pPr>
                                  <w:r>
                                    <w:rPr>
                                      <w:b/>
                                      <w:color w:val="333333"/>
                                      <w:sz w:val="20"/>
                                    </w:rPr>
                                    <w:t>Rating</w:t>
                                  </w:r>
                                </w:p>
                              </w:tc>
                            </w:tr>
                            <w:tr>
                              <w:trPr/>
                              <w:tc>
                                <w:tcPr>
                                  <w:tcW w:w="3182" w:type="dxa"/>
                                  <w:tcBorders>
                                    <w:top w:val="single" w:sz="12" w:space="0" w:color="7D878D"/>
                                    <w:bottom w:val="single" w:sz="12" w:space="0" w:color="7D878D"/>
                                  </w:tcBorders>
                                  <w:shd w:fill="auto" w:val="clear"/>
                                  <w:tcMar>
                                    <w:top w:w="28" w:type="dxa"/>
                                  </w:tcMar>
                                  <w:vAlign w:val="center"/>
                                </w:tcPr>
                                <w:p>
                                  <w:pPr>
                                    <w:pStyle w:val="TableContents"/>
                                    <w:spacing w:before="27" w:after="283"/>
                                    <w:ind w:left="36" w:right="0" w:hanging="0"/>
                                    <w:rPr>
                                      <w:color w:val="333333"/>
                                      <w:sz w:val="20"/>
                                    </w:rPr>
                                  </w:pPr>
                                  <w:r>
                                    <w:rPr>
                                      <w:color w:val="333333"/>
                                      <w:sz w:val="20"/>
                                    </w:rPr>
                                    <w:t>Long-Term Foreign-Currency IDR</w:t>
                                  </w:r>
                                </w:p>
                              </w:tc>
                              <w:tc>
                                <w:tcPr>
                                  <w:tcW w:w="872" w:type="dxa"/>
                                  <w:tcBorders>
                                    <w:top w:val="single" w:sz="12" w:space="0" w:color="7D878D"/>
                                    <w:bottom w:val="single" w:sz="12" w:space="0" w:color="7D878D"/>
                                  </w:tcBorders>
                                  <w:shd w:fill="auto" w:val="clear"/>
                                  <w:tcMar>
                                    <w:top w:w="28" w:type="dxa"/>
                                  </w:tcMar>
                                  <w:vAlign w:val="center"/>
                                </w:tcPr>
                                <w:p>
                                  <w:pPr>
                                    <w:pStyle w:val="TableContents"/>
                                    <w:spacing w:before="27" w:after="283"/>
                                    <w:ind w:left="640" w:right="0" w:hanging="0"/>
                                    <w:rPr>
                                      <w:color w:val="333333"/>
                                      <w:sz w:val="20"/>
                                    </w:rPr>
                                  </w:pPr>
                                  <w:r>
                                    <w:rPr>
                                      <w:color w:val="333333"/>
                                      <w:sz w:val="20"/>
                                    </w:rPr>
                                    <w:t>BBB</w:t>
                                  </w:r>
                                </w:p>
                              </w:tc>
                            </w:tr>
                            <w:tr>
                              <w:trPr/>
                              <w:tc>
                                <w:tcPr>
                                  <w:tcW w:w="3182" w:type="dxa"/>
                                  <w:tcBorders>
                                    <w:top w:val="single" w:sz="12" w:space="0" w:color="7D878D"/>
                                    <w:bottom w:val="single" w:sz="12" w:space="0" w:color="7D878D"/>
                                  </w:tcBorders>
                                  <w:shd w:fill="auto" w:val="clear"/>
                                  <w:tcMar>
                                    <w:top w:w="28" w:type="dxa"/>
                                  </w:tcMar>
                                  <w:vAlign w:val="center"/>
                                </w:tcPr>
                                <w:p>
                                  <w:pPr>
                                    <w:pStyle w:val="TableContents"/>
                                    <w:spacing w:before="27" w:after="283"/>
                                    <w:ind w:left="36" w:right="0" w:hanging="0"/>
                                    <w:rPr>
                                      <w:color w:val="333333"/>
                                      <w:sz w:val="20"/>
                                    </w:rPr>
                                  </w:pPr>
                                  <w:r>
                                    <w:rPr>
                                      <w:color w:val="333333"/>
                                      <w:sz w:val="20"/>
                                    </w:rPr>
                                    <w:t>Short-Term Foreign-Currency IDR</w:t>
                                  </w:r>
                                </w:p>
                              </w:tc>
                              <w:tc>
                                <w:tcPr>
                                  <w:tcW w:w="872" w:type="dxa"/>
                                  <w:tcBorders>
                                    <w:top w:val="single" w:sz="12" w:space="0" w:color="7D878D"/>
                                    <w:bottom w:val="single" w:sz="12" w:space="0" w:color="7D878D"/>
                                  </w:tcBorders>
                                  <w:shd w:fill="auto" w:val="clear"/>
                                  <w:tcMar>
                                    <w:top w:w="28" w:type="dxa"/>
                                  </w:tcMar>
                                  <w:vAlign w:val="center"/>
                                </w:tcPr>
                                <w:p>
                                  <w:pPr>
                                    <w:pStyle w:val="TableContents"/>
                                    <w:spacing w:before="27" w:after="283"/>
                                    <w:ind w:left="640" w:right="0" w:hanging="0"/>
                                    <w:rPr>
                                      <w:color w:val="333333"/>
                                      <w:sz w:val="20"/>
                                    </w:rPr>
                                  </w:pPr>
                                  <w:r>
                                    <w:rPr>
                                      <w:color w:val="333333"/>
                                      <w:sz w:val="20"/>
                                    </w:rPr>
                                    <w:t>F2</w:t>
                                  </w:r>
                                </w:p>
                              </w:tc>
                            </w:tr>
                            <w:tr>
                              <w:trPr/>
                              <w:tc>
                                <w:tcPr>
                                  <w:tcW w:w="3182" w:type="dxa"/>
                                  <w:tcBorders>
                                    <w:top w:val="single" w:sz="12" w:space="0" w:color="7D878D"/>
                                    <w:bottom w:val="single" w:sz="12" w:space="0" w:color="7D878D"/>
                                  </w:tcBorders>
                                  <w:shd w:fill="auto" w:val="clear"/>
                                  <w:tcMar>
                                    <w:top w:w="28" w:type="dxa"/>
                                  </w:tcMar>
                                  <w:vAlign w:val="center"/>
                                </w:tcPr>
                                <w:p>
                                  <w:pPr>
                                    <w:pStyle w:val="TableContents"/>
                                    <w:spacing w:before="27" w:after="283"/>
                                    <w:ind w:left="36" w:right="0" w:hanging="0"/>
                                    <w:rPr>
                                      <w:color w:val="333333"/>
                                      <w:sz w:val="20"/>
                                    </w:rPr>
                                  </w:pPr>
                                  <w:r>
                                    <w:rPr>
                                      <w:color w:val="333333"/>
                                      <w:sz w:val="20"/>
                                    </w:rPr>
                                    <w:t>Outlook/Watch</w:t>
                                  </w:r>
                                </w:p>
                              </w:tc>
                              <w:tc>
                                <w:tcPr>
                                  <w:tcW w:w="872" w:type="dxa"/>
                                  <w:tcBorders>
                                    <w:top w:val="single" w:sz="12" w:space="0" w:color="7D878D"/>
                                    <w:bottom w:val="single" w:sz="12" w:space="0" w:color="7D878D"/>
                                  </w:tcBorders>
                                  <w:shd w:fill="auto" w:val="clear"/>
                                  <w:tcMar>
                                    <w:top w:w="28" w:type="dxa"/>
                                  </w:tcMar>
                                  <w:vAlign w:val="center"/>
                                </w:tcPr>
                                <w:p>
                                  <w:pPr>
                                    <w:pStyle w:val="TableContents"/>
                                    <w:spacing w:before="27" w:after="283"/>
                                    <w:ind w:left="640" w:right="0" w:hanging="0"/>
                                    <w:rPr>
                                      <w:color w:val="333333"/>
                                      <w:sz w:val="20"/>
                                    </w:rPr>
                                  </w:pPr>
                                  <w:r>
                                    <w:rPr>
                                      <w:color w:val="333333"/>
                                      <w:sz w:val="20"/>
                                    </w:rPr>
                                    <w:t>Negative</w:t>
                                  </w:r>
                                </w:p>
                              </w:tc>
                            </w:tr>
                            <w:tr>
                              <w:trPr/>
                              <w:tc>
                                <w:tcPr>
                                  <w:tcW w:w="3182" w:type="dxa"/>
                                  <w:tcBorders>
                                    <w:top w:val="single" w:sz="12" w:space="0" w:color="7D878D"/>
                                    <w:bottom w:val="single" w:sz="12" w:space="0" w:color="7D878D"/>
                                  </w:tcBorders>
                                  <w:shd w:fill="auto" w:val="clear"/>
                                  <w:tcMar>
                                    <w:top w:w="28" w:type="dxa"/>
                                  </w:tcMar>
                                  <w:vAlign w:val="center"/>
                                </w:tcPr>
                                <w:p>
                                  <w:pPr>
                                    <w:pStyle w:val="TableContents"/>
                                    <w:spacing w:before="87" w:after="283"/>
                                    <w:ind w:left="36" w:right="0" w:hanging="0"/>
                                    <w:rPr>
                                      <w:color w:val="333333"/>
                                      <w:sz w:val="20"/>
                                    </w:rPr>
                                  </w:pPr>
                                  <w:r>
                                    <w:rPr>
                                      <w:color w:val="333333"/>
                                      <w:sz w:val="20"/>
                                    </w:rPr>
                                    <w:t>Source: Fitch Ratings</w:t>
                                  </w:r>
                                </w:p>
                              </w:tc>
                              <w:tc>
                                <w:tcPr>
                                  <w:tcW w:w="872" w:type="dxa"/>
                                  <w:tcBorders>
                                    <w:top w:val="single" w:sz="12" w:space="0" w:color="7D878D"/>
                                    <w:bottom w:val="single" w:sz="12" w:space="0" w:color="7D878D"/>
                                  </w:tcBorders>
                                  <w:shd w:fill="auto" w:val="clear"/>
                                  <w:tcMar>
                                    <w:top w:w="28" w:type="dxa"/>
                                  </w:tcMar>
                                  <w:vAlign w:val="center"/>
                                </w:tcPr>
                                <w:p>
                                  <w:pPr>
                                    <w:pStyle w:val="TableContents"/>
                                    <w:spacing w:before="0" w:after="283"/>
                                    <w:rPr>
                                      <w:sz w:val="20"/>
                                    </w:rPr>
                                  </w:pPr>
                                  <w:r>
                                    <w:rPr>
                                      <w:sz w:val="20"/>
                                    </w:rPr>
                                  </w:r>
                                </w:p>
                              </w:tc>
                            </w:tr>
                          </w:tbl>
                          <w:p>
                            <w:pPr>
                              <w:pStyle w:val="TextBody"/>
                              <w:spacing w:before="6" w:after="283"/>
                              <w:rPr>
                                <w:sz w:val="20"/>
                              </w:rPr>
                            </w:pPr>
                            <w:r>
                              <w:rPr>
                                <w:sz w:val="20"/>
                              </w:rPr>
                            </w:r>
                          </w:p>
                          <w:tbl>
                            <w:tblPr>
                              <w:tblW w:w="3055" w:type="dxa"/>
                              <w:jc w:val="left"/>
                              <w:tblInd w:w="0" w:type="dxa"/>
                              <w:tblCellMar>
                                <w:top w:w="0" w:type="dxa"/>
                                <w:left w:w="0" w:type="dxa"/>
                                <w:bottom w:w="28" w:type="dxa"/>
                                <w:right w:w="0" w:type="dxa"/>
                              </w:tblCellMar>
                            </w:tblPr>
                            <w:tblGrid>
                              <w:gridCol w:w="2450"/>
                              <w:gridCol w:w="605"/>
                            </w:tblGrid>
                            <w:tr>
                              <w:trPr/>
                              <w:tc>
                                <w:tcPr>
                                  <w:tcW w:w="2450" w:type="dxa"/>
                                  <w:tcBorders>
                                    <w:bottom w:val="single" w:sz="12" w:space="0" w:color="7D878D"/>
                                  </w:tcBorders>
                                  <w:shd w:fill="auto" w:val="clear"/>
                                  <w:vAlign w:val="center"/>
                                </w:tcPr>
                                <w:p>
                                  <w:pPr>
                                    <w:pStyle w:val="TableContents"/>
                                    <w:spacing w:before="13" w:after="283"/>
                                    <w:ind w:left="8" w:right="0" w:hanging="0"/>
                                    <w:rPr>
                                      <w:b/>
                                      <w:color w:val="333333"/>
                                      <w:sz w:val="20"/>
                                    </w:rPr>
                                  </w:pPr>
                                  <w:r>
                                    <w:rPr>
                                      <w:b/>
                                      <w:color w:val="333333"/>
                                      <w:sz w:val="20"/>
                                    </w:rPr>
                                    <w:t>Debt Rating Classes</w:t>
                                  </w:r>
                                </w:p>
                              </w:tc>
                              <w:tc>
                                <w:tcPr>
                                  <w:tcW w:w="605" w:type="dxa"/>
                                  <w:tcBorders>
                                    <w:bottom w:val="single" w:sz="12" w:space="0" w:color="7D878D"/>
                                  </w:tcBorders>
                                  <w:shd w:fill="auto" w:val="clear"/>
                                  <w:vAlign w:val="center"/>
                                </w:tcPr>
                                <w:p>
                                  <w:pPr>
                                    <w:pStyle w:val="TableContents"/>
                                    <w:spacing w:before="0" w:after="283"/>
                                    <w:rPr>
                                      <w:sz w:val="20"/>
                                    </w:rPr>
                                  </w:pPr>
                                  <w:r>
                                    <w:rPr>
                                      <w:sz w:val="20"/>
                                    </w:rPr>
                                  </w:r>
                                </w:p>
                              </w:tc>
                            </w:tr>
                            <w:tr>
                              <w:trPr/>
                              <w:tc>
                                <w:tcPr>
                                  <w:tcW w:w="2450" w:type="dxa"/>
                                  <w:tcBorders>
                                    <w:top w:val="single" w:sz="12" w:space="0" w:color="7D878D"/>
                                    <w:bottom w:val="single" w:sz="12" w:space="0" w:color="7D878D"/>
                                  </w:tcBorders>
                                  <w:shd w:fill="auto" w:val="clear"/>
                                  <w:tcMar>
                                    <w:top w:w="28" w:type="dxa"/>
                                  </w:tcMar>
                                  <w:vAlign w:val="center"/>
                                </w:tcPr>
                                <w:p>
                                  <w:pPr>
                                    <w:pStyle w:val="TableContents"/>
                                    <w:spacing w:before="38" w:after="283"/>
                                    <w:ind w:left="36" w:right="0" w:hanging="0"/>
                                    <w:rPr>
                                      <w:b/>
                                      <w:color w:val="333333"/>
                                      <w:sz w:val="20"/>
                                    </w:rPr>
                                  </w:pPr>
                                  <w:r>
                                    <w:rPr>
                                      <w:b/>
                                      <w:color w:val="333333"/>
                                      <w:sz w:val="20"/>
                                    </w:rPr>
                                    <w:t>Rating Level</w:t>
                                  </w:r>
                                </w:p>
                              </w:tc>
                              <w:tc>
                                <w:tcPr>
                                  <w:tcW w:w="605" w:type="dxa"/>
                                  <w:tcBorders>
                                    <w:top w:val="single" w:sz="12" w:space="0" w:color="7D878D"/>
                                    <w:bottom w:val="single" w:sz="12" w:space="0" w:color="7D878D"/>
                                  </w:tcBorders>
                                  <w:shd w:fill="auto" w:val="clear"/>
                                  <w:tcMar>
                                    <w:top w:w="28" w:type="dxa"/>
                                  </w:tcMar>
                                  <w:vAlign w:val="center"/>
                                </w:tcPr>
                                <w:p>
                                  <w:pPr>
                                    <w:pStyle w:val="TableContents"/>
                                    <w:spacing w:before="38" w:after="283"/>
                                    <w:ind w:left="811" w:right="0" w:hanging="0"/>
                                    <w:rPr>
                                      <w:b/>
                                      <w:color w:val="333333"/>
                                      <w:sz w:val="20"/>
                                    </w:rPr>
                                  </w:pPr>
                                  <w:r>
                                    <w:rPr>
                                      <w:b/>
                                      <w:color w:val="333333"/>
                                      <w:sz w:val="20"/>
                                    </w:rPr>
                                    <w:t>Rating</w:t>
                                  </w:r>
                                </w:p>
                              </w:tc>
                            </w:tr>
                            <w:tr>
                              <w:trPr/>
                              <w:tc>
                                <w:tcPr>
                                  <w:tcW w:w="2450" w:type="dxa"/>
                                  <w:tcBorders>
                                    <w:top w:val="single" w:sz="12" w:space="0" w:color="7D878D"/>
                                    <w:bottom w:val="single" w:sz="12" w:space="0" w:color="7D878D"/>
                                  </w:tcBorders>
                                  <w:shd w:fill="auto" w:val="clear"/>
                                  <w:tcMar>
                                    <w:top w:w="28" w:type="dxa"/>
                                  </w:tcMar>
                                  <w:vAlign w:val="center"/>
                                </w:tcPr>
                                <w:p>
                                  <w:pPr>
                                    <w:pStyle w:val="TableContents"/>
                                    <w:spacing w:before="24" w:after="283"/>
                                    <w:ind w:left="36" w:right="0" w:hanging="0"/>
                                    <w:rPr>
                                      <w:color w:val="333333"/>
                                      <w:sz w:val="20"/>
                                    </w:rPr>
                                  </w:pPr>
                                  <w:r>
                                    <w:rPr>
                                      <w:color w:val="333333"/>
                                      <w:sz w:val="20"/>
                                    </w:rPr>
                                    <w:t>Senior unsecured: Long-Term</w:t>
                                  </w:r>
                                </w:p>
                              </w:tc>
                              <w:tc>
                                <w:tcPr>
                                  <w:tcW w:w="605" w:type="dxa"/>
                                  <w:tcBorders>
                                    <w:top w:val="single" w:sz="12" w:space="0" w:color="7D878D"/>
                                    <w:bottom w:val="single" w:sz="12" w:space="0" w:color="7D878D"/>
                                  </w:tcBorders>
                                  <w:shd w:fill="auto" w:val="clear"/>
                                  <w:tcMar>
                                    <w:top w:w="28" w:type="dxa"/>
                                  </w:tcMar>
                                  <w:vAlign w:val="center"/>
                                </w:tcPr>
                                <w:p>
                                  <w:pPr>
                                    <w:pStyle w:val="TableContents"/>
                                    <w:spacing w:before="24" w:after="283"/>
                                    <w:ind w:left="811" w:right="0" w:hanging="0"/>
                                    <w:rPr>
                                      <w:color w:val="333333"/>
                                      <w:sz w:val="20"/>
                                    </w:rPr>
                                  </w:pPr>
                                  <w:r>
                                    <w:rPr>
                                      <w:color w:val="333333"/>
                                      <w:sz w:val="20"/>
                                    </w:rPr>
                                    <w:t>BBB</w:t>
                                  </w:r>
                                </w:p>
                              </w:tc>
                            </w:tr>
                            <w:tr>
                              <w:trPr/>
                              <w:tc>
                                <w:tcPr>
                                  <w:tcW w:w="2450" w:type="dxa"/>
                                  <w:tcBorders>
                                    <w:top w:val="single" w:sz="12" w:space="0" w:color="7D878D"/>
                                    <w:bottom w:val="single" w:sz="12" w:space="0" w:color="7D878D"/>
                                  </w:tcBorders>
                                  <w:shd w:fill="auto" w:val="clear"/>
                                  <w:tcMar>
                                    <w:top w:w="28" w:type="dxa"/>
                                  </w:tcMar>
                                  <w:vAlign w:val="center"/>
                                </w:tcPr>
                                <w:p>
                                  <w:pPr>
                                    <w:pStyle w:val="TableContents"/>
                                    <w:spacing w:before="88" w:after="283"/>
                                    <w:ind w:left="36" w:right="0" w:hanging="0"/>
                                    <w:rPr>
                                      <w:color w:val="333333"/>
                                      <w:sz w:val="20"/>
                                    </w:rPr>
                                  </w:pPr>
                                  <w:r>
                                    <w:rPr>
                                      <w:color w:val="333333"/>
                                      <w:sz w:val="20"/>
                                    </w:rPr>
                                    <w:t>Source: Fitch Ratings</w:t>
                                  </w:r>
                                </w:p>
                              </w:tc>
                              <w:tc>
                                <w:tcPr>
                                  <w:tcW w:w="605" w:type="dxa"/>
                                  <w:tcBorders>
                                    <w:top w:val="single" w:sz="12" w:space="0" w:color="7D878D"/>
                                    <w:bottom w:val="single" w:sz="12" w:space="0" w:color="7D878D"/>
                                  </w:tcBorders>
                                  <w:shd w:fill="auto" w:val="clear"/>
                                  <w:tcMar>
                                    <w:top w:w="28" w:type="dxa"/>
                                  </w:tcMar>
                                  <w:vAlign w:val="center"/>
                                </w:tcPr>
                                <w:p>
                                  <w:pPr>
                                    <w:pStyle w:val="TableContents"/>
                                    <w:spacing w:before="0" w:after="283"/>
                                    <w:rPr>
                                      <w:sz w:val="20"/>
                                    </w:rPr>
                                  </w:pPr>
                                  <w:r>
                                    <w:rPr>
                                      <w:sz w:val="20"/>
                                    </w:rPr>
                                  </w:r>
                                </w:p>
                              </w:tc>
                            </w:tr>
                          </w:tbl>
                          <w:p>
                            <w:pPr>
                              <w:pStyle w:val="TextBody"/>
                              <w:spacing w:before="3" w:after="283"/>
                              <w:rPr>
                                <w:sz w:val="20"/>
                              </w:rPr>
                            </w:pPr>
                            <w:r>
                              <w:rPr>
                                <w:sz w:val="20"/>
                              </w:rPr>
                            </w:r>
                          </w:p>
                          <w:p>
                            <w:pPr>
                              <w:pStyle w:val="TextBody"/>
                              <w:spacing w:before="114" w:after="283"/>
                              <w:jc w:val="both"/>
                              <w:rPr>
                                <w:b/>
                                <w:color w:val="CC0033"/>
                                <w:sz w:val="20"/>
                              </w:rPr>
                            </w:pPr>
                            <w:r>
                              <w:rPr>
                                <w:b/>
                                <w:color w:val="CC0033"/>
                                <w:sz w:val="20"/>
                              </w:rPr>
                              <w:t>Significant Changes</w:t>
                            </w:r>
                          </w:p>
                          <w:p>
                            <w:pPr>
                              <w:pStyle w:val="TextBody"/>
                              <w:spacing w:before="70" w:after="283"/>
                              <w:jc w:val="both"/>
                              <w:rPr>
                                <w:color w:val="333333"/>
                                <w:sz w:val="20"/>
                              </w:rPr>
                            </w:pPr>
                            <w:r>
                              <w:rPr>
                                <w:color w:val="333333"/>
                                <w:sz w:val="20"/>
                              </w:rPr>
                              <w:t>On October 2022, Fitch revised the Rating Outlook on the sovereign’s Long-Term (LT) Issuer Default Ratings (IDR) to Negative as a deterioration in political stability and government effectiveness has increased downside risks to Peru's ratings. In the agency’s view, weaker governance poses greater downside risks to investment and economic growth.</w:t>
                            </w:r>
                          </w:p>
                          <w:p>
                            <w:pPr>
                              <w:pStyle w:val="TextBody"/>
                              <w:spacing w:before="115" w:after="283"/>
                              <w:jc w:val="both"/>
                              <w:rPr>
                                <w:color w:val="333333"/>
                                <w:sz w:val="20"/>
                              </w:rPr>
                            </w:pPr>
                            <w:r>
                              <w:rPr>
                                <w:color w:val="333333"/>
                                <w:sz w:val="20"/>
                              </w:rPr>
                              <w:t>Fitch believes Credicorp's and its main subsidiary's credit profiles are sensitive to a material deterioration in the local operating environment or a negative sovereign rating action. In consequence, the Outlook on the OE score remains negative as a slowdown in economic and loan growth, an increase in borrowing costs and persistent political uncertainty are detracting from Peruvian banking sector activity. However, sustained capitalization, improving profitability and lower loan impairment charges provide sufficient resilience to face stress from political uncertainty and external shocks.</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3.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t> </w:t>
                      </w:r>
                    </w:p>
                    <w:tbl>
                      <w:tblPr>
                        <w:tblW w:w="4054" w:type="dxa"/>
                        <w:jc w:val="left"/>
                        <w:tblInd w:w="0" w:type="dxa"/>
                        <w:tblCellMar>
                          <w:top w:w="0" w:type="dxa"/>
                          <w:left w:w="0" w:type="dxa"/>
                          <w:bottom w:w="28" w:type="dxa"/>
                          <w:right w:w="0" w:type="dxa"/>
                        </w:tblCellMar>
                      </w:tblPr>
                      <w:tblGrid>
                        <w:gridCol w:w="3182"/>
                        <w:gridCol w:w="872"/>
                      </w:tblGrid>
                      <w:tr>
                        <w:trPr/>
                        <w:tc>
                          <w:tcPr>
                            <w:tcW w:w="4054" w:type="dxa"/>
                            <w:gridSpan w:val="2"/>
                            <w:tcBorders>
                              <w:bottom w:val="single" w:sz="12" w:space="0" w:color="7D878D"/>
                            </w:tcBorders>
                            <w:shd w:fill="auto" w:val="clear"/>
                            <w:vAlign w:val="center"/>
                          </w:tcPr>
                          <w:p>
                            <w:pPr>
                              <w:pStyle w:val="TableContents"/>
                              <w:spacing w:before="13" w:after="283"/>
                              <w:ind w:left="7" w:right="0" w:hanging="0"/>
                              <w:rPr>
                                <w:b/>
                                <w:color w:val="333333"/>
                                <w:sz w:val="20"/>
                              </w:rPr>
                            </w:pPr>
                            <w:r>
                              <w:rPr>
                                <w:b/>
                                <w:color w:val="333333"/>
                                <w:sz w:val="20"/>
                              </w:rPr>
                              <w:t>Issuer Ratings (Including Main Issuing Entities)</w:t>
                            </w:r>
                          </w:p>
                        </w:tc>
                      </w:tr>
                      <w:tr>
                        <w:trPr/>
                        <w:tc>
                          <w:tcPr>
                            <w:tcW w:w="3182" w:type="dxa"/>
                            <w:tcBorders>
                              <w:top w:val="single" w:sz="12" w:space="0" w:color="7D878D"/>
                              <w:bottom w:val="single" w:sz="12" w:space="0" w:color="7D878D"/>
                            </w:tcBorders>
                            <w:shd w:fill="auto" w:val="clear"/>
                            <w:tcMar>
                              <w:top w:w="28" w:type="dxa"/>
                            </w:tcMar>
                            <w:vAlign w:val="center"/>
                          </w:tcPr>
                          <w:p>
                            <w:pPr>
                              <w:pStyle w:val="TableContents"/>
                              <w:spacing w:before="36" w:after="283"/>
                              <w:ind w:left="36" w:right="0" w:hanging="0"/>
                              <w:rPr>
                                <w:b/>
                                <w:color w:val="333333"/>
                                <w:sz w:val="20"/>
                              </w:rPr>
                            </w:pPr>
                            <w:r>
                              <w:rPr>
                                <w:b/>
                                <w:color w:val="333333"/>
                                <w:sz w:val="20"/>
                              </w:rPr>
                              <w:t>Rating Level</w:t>
                            </w:r>
                          </w:p>
                        </w:tc>
                        <w:tc>
                          <w:tcPr>
                            <w:tcW w:w="872" w:type="dxa"/>
                            <w:tcBorders>
                              <w:top w:val="single" w:sz="12" w:space="0" w:color="7D878D"/>
                              <w:bottom w:val="single" w:sz="12" w:space="0" w:color="7D878D"/>
                            </w:tcBorders>
                            <w:shd w:fill="auto" w:val="clear"/>
                            <w:tcMar>
                              <w:top w:w="28" w:type="dxa"/>
                            </w:tcMar>
                            <w:vAlign w:val="center"/>
                          </w:tcPr>
                          <w:p>
                            <w:pPr>
                              <w:pStyle w:val="TableContents"/>
                              <w:spacing w:before="36" w:after="283"/>
                              <w:ind w:left="640" w:right="0" w:hanging="0"/>
                              <w:rPr>
                                <w:b/>
                                <w:color w:val="333333"/>
                                <w:sz w:val="20"/>
                              </w:rPr>
                            </w:pPr>
                            <w:r>
                              <w:rPr>
                                <w:b/>
                                <w:color w:val="333333"/>
                                <w:sz w:val="20"/>
                              </w:rPr>
                              <w:t>Rating</w:t>
                            </w:r>
                          </w:p>
                        </w:tc>
                      </w:tr>
                      <w:tr>
                        <w:trPr/>
                        <w:tc>
                          <w:tcPr>
                            <w:tcW w:w="3182" w:type="dxa"/>
                            <w:tcBorders>
                              <w:top w:val="single" w:sz="12" w:space="0" w:color="7D878D"/>
                              <w:bottom w:val="single" w:sz="12" w:space="0" w:color="7D878D"/>
                            </w:tcBorders>
                            <w:shd w:fill="auto" w:val="clear"/>
                            <w:tcMar>
                              <w:top w:w="28" w:type="dxa"/>
                            </w:tcMar>
                            <w:vAlign w:val="center"/>
                          </w:tcPr>
                          <w:p>
                            <w:pPr>
                              <w:pStyle w:val="TableContents"/>
                              <w:spacing w:before="27" w:after="283"/>
                              <w:ind w:left="36" w:right="0" w:hanging="0"/>
                              <w:rPr>
                                <w:color w:val="333333"/>
                                <w:sz w:val="20"/>
                              </w:rPr>
                            </w:pPr>
                            <w:r>
                              <w:rPr>
                                <w:color w:val="333333"/>
                                <w:sz w:val="20"/>
                              </w:rPr>
                              <w:t>Long-Term Foreign-Currency IDR</w:t>
                            </w:r>
                          </w:p>
                        </w:tc>
                        <w:tc>
                          <w:tcPr>
                            <w:tcW w:w="872" w:type="dxa"/>
                            <w:tcBorders>
                              <w:top w:val="single" w:sz="12" w:space="0" w:color="7D878D"/>
                              <w:bottom w:val="single" w:sz="12" w:space="0" w:color="7D878D"/>
                            </w:tcBorders>
                            <w:shd w:fill="auto" w:val="clear"/>
                            <w:tcMar>
                              <w:top w:w="28" w:type="dxa"/>
                            </w:tcMar>
                            <w:vAlign w:val="center"/>
                          </w:tcPr>
                          <w:p>
                            <w:pPr>
                              <w:pStyle w:val="TableContents"/>
                              <w:spacing w:before="27" w:after="283"/>
                              <w:ind w:left="640" w:right="0" w:hanging="0"/>
                              <w:rPr>
                                <w:color w:val="333333"/>
                                <w:sz w:val="20"/>
                              </w:rPr>
                            </w:pPr>
                            <w:r>
                              <w:rPr>
                                <w:color w:val="333333"/>
                                <w:sz w:val="20"/>
                              </w:rPr>
                              <w:t>BBB</w:t>
                            </w:r>
                          </w:p>
                        </w:tc>
                      </w:tr>
                      <w:tr>
                        <w:trPr/>
                        <w:tc>
                          <w:tcPr>
                            <w:tcW w:w="3182" w:type="dxa"/>
                            <w:tcBorders>
                              <w:top w:val="single" w:sz="12" w:space="0" w:color="7D878D"/>
                              <w:bottom w:val="single" w:sz="12" w:space="0" w:color="7D878D"/>
                            </w:tcBorders>
                            <w:shd w:fill="auto" w:val="clear"/>
                            <w:tcMar>
                              <w:top w:w="28" w:type="dxa"/>
                            </w:tcMar>
                            <w:vAlign w:val="center"/>
                          </w:tcPr>
                          <w:p>
                            <w:pPr>
                              <w:pStyle w:val="TableContents"/>
                              <w:spacing w:before="27" w:after="283"/>
                              <w:ind w:left="36" w:right="0" w:hanging="0"/>
                              <w:rPr>
                                <w:color w:val="333333"/>
                                <w:sz w:val="20"/>
                              </w:rPr>
                            </w:pPr>
                            <w:r>
                              <w:rPr>
                                <w:color w:val="333333"/>
                                <w:sz w:val="20"/>
                              </w:rPr>
                              <w:t>Short-Term Foreign-Currency IDR</w:t>
                            </w:r>
                          </w:p>
                        </w:tc>
                        <w:tc>
                          <w:tcPr>
                            <w:tcW w:w="872" w:type="dxa"/>
                            <w:tcBorders>
                              <w:top w:val="single" w:sz="12" w:space="0" w:color="7D878D"/>
                              <w:bottom w:val="single" w:sz="12" w:space="0" w:color="7D878D"/>
                            </w:tcBorders>
                            <w:shd w:fill="auto" w:val="clear"/>
                            <w:tcMar>
                              <w:top w:w="28" w:type="dxa"/>
                            </w:tcMar>
                            <w:vAlign w:val="center"/>
                          </w:tcPr>
                          <w:p>
                            <w:pPr>
                              <w:pStyle w:val="TableContents"/>
                              <w:spacing w:before="27" w:after="283"/>
                              <w:ind w:left="640" w:right="0" w:hanging="0"/>
                              <w:rPr>
                                <w:color w:val="333333"/>
                                <w:sz w:val="20"/>
                              </w:rPr>
                            </w:pPr>
                            <w:r>
                              <w:rPr>
                                <w:color w:val="333333"/>
                                <w:sz w:val="20"/>
                              </w:rPr>
                              <w:t>F2</w:t>
                            </w:r>
                          </w:p>
                        </w:tc>
                      </w:tr>
                      <w:tr>
                        <w:trPr/>
                        <w:tc>
                          <w:tcPr>
                            <w:tcW w:w="3182" w:type="dxa"/>
                            <w:tcBorders>
                              <w:top w:val="single" w:sz="12" w:space="0" w:color="7D878D"/>
                              <w:bottom w:val="single" w:sz="12" w:space="0" w:color="7D878D"/>
                            </w:tcBorders>
                            <w:shd w:fill="auto" w:val="clear"/>
                            <w:tcMar>
                              <w:top w:w="28" w:type="dxa"/>
                            </w:tcMar>
                            <w:vAlign w:val="center"/>
                          </w:tcPr>
                          <w:p>
                            <w:pPr>
                              <w:pStyle w:val="TableContents"/>
                              <w:spacing w:before="27" w:after="283"/>
                              <w:ind w:left="36" w:right="0" w:hanging="0"/>
                              <w:rPr>
                                <w:color w:val="333333"/>
                                <w:sz w:val="20"/>
                              </w:rPr>
                            </w:pPr>
                            <w:r>
                              <w:rPr>
                                <w:color w:val="333333"/>
                                <w:sz w:val="20"/>
                              </w:rPr>
                              <w:t>Outlook/Watch</w:t>
                            </w:r>
                          </w:p>
                        </w:tc>
                        <w:tc>
                          <w:tcPr>
                            <w:tcW w:w="872" w:type="dxa"/>
                            <w:tcBorders>
                              <w:top w:val="single" w:sz="12" w:space="0" w:color="7D878D"/>
                              <w:bottom w:val="single" w:sz="12" w:space="0" w:color="7D878D"/>
                            </w:tcBorders>
                            <w:shd w:fill="auto" w:val="clear"/>
                            <w:tcMar>
                              <w:top w:w="28" w:type="dxa"/>
                            </w:tcMar>
                            <w:vAlign w:val="center"/>
                          </w:tcPr>
                          <w:p>
                            <w:pPr>
                              <w:pStyle w:val="TableContents"/>
                              <w:spacing w:before="27" w:after="283"/>
                              <w:ind w:left="640" w:right="0" w:hanging="0"/>
                              <w:rPr>
                                <w:color w:val="333333"/>
                                <w:sz w:val="20"/>
                              </w:rPr>
                            </w:pPr>
                            <w:r>
                              <w:rPr>
                                <w:color w:val="333333"/>
                                <w:sz w:val="20"/>
                              </w:rPr>
                              <w:t>Negative</w:t>
                            </w:r>
                          </w:p>
                        </w:tc>
                      </w:tr>
                      <w:tr>
                        <w:trPr/>
                        <w:tc>
                          <w:tcPr>
                            <w:tcW w:w="3182" w:type="dxa"/>
                            <w:tcBorders>
                              <w:top w:val="single" w:sz="12" w:space="0" w:color="7D878D"/>
                              <w:bottom w:val="single" w:sz="12" w:space="0" w:color="7D878D"/>
                            </w:tcBorders>
                            <w:shd w:fill="auto" w:val="clear"/>
                            <w:tcMar>
                              <w:top w:w="28" w:type="dxa"/>
                            </w:tcMar>
                            <w:vAlign w:val="center"/>
                          </w:tcPr>
                          <w:p>
                            <w:pPr>
                              <w:pStyle w:val="TableContents"/>
                              <w:spacing w:before="87" w:after="283"/>
                              <w:ind w:left="36" w:right="0" w:hanging="0"/>
                              <w:rPr>
                                <w:color w:val="333333"/>
                                <w:sz w:val="20"/>
                              </w:rPr>
                            </w:pPr>
                            <w:r>
                              <w:rPr>
                                <w:color w:val="333333"/>
                                <w:sz w:val="20"/>
                              </w:rPr>
                              <w:t>Source: Fitch Ratings</w:t>
                            </w:r>
                          </w:p>
                        </w:tc>
                        <w:tc>
                          <w:tcPr>
                            <w:tcW w:w="872" w:type="dxa"/>
                            <w:tcBorders>
                              <w:top w:val="single" w:sz="12" w:space="0" w:color="7D878D"/>
                              <w:bottom w:val="single" w:sz="12" w:space="0" w:color="7D878D"/>
                            </w:tcBorders>
                            <w:shd w:fill="auto" w:val="clear"/>
                            <w:tcMar>
                              <w:top w:w="28" w:type="dxa"/>
                            </w:tcMar>
                            <w:vAlign w:val="center"/>
                          </w:tcPr>
                          <w:p>
                            <w:pPr>
                              <w:pStyle w:val="TableContents"/>
                              <w:spacing w:before="0" w:after="283"/>
                              <w:rPr>
                                <w:sz w:val="20"/>
                              </w:rPr>
                            </w:pPr>
                            <w:r>
                              <w:rPr>
                                <w:sz w:val="20"/>
                              </w:rPr>
                            </w:r>
                          </w:p>
                        </w:tc>
                      </w:tr>
                    </w:tbl>
                    <w:p>
                      <w:pPr>
                        <w:pStyle w:val="TextBody"/>
                        <w:spacing w:before="6" w:after="283"/>
                        <w:rPr>
                          <w:sz w:val="20"/>
                        </w:rPr>
                      </w:pPr>
                      <w:r>
                        <w:rPr>
                          <w:sz w:val="20"/>
                        </w:rPr>
                      </w:r>
                    </w:p>
                    <w:tbl>
                      <w:tblPr>
                        <w:tblW w:w="3055" w:type="dxa"/>
                        <w:jc w:val="left"/>
                        <w:tblInd w:w="0" w:type="dxa"/>
                        <w:tblCellMar>
                          <w:top w:w="0" w:type="dxa"/>
                          <w:left w:w="0" w:type="dxa"/>
                          <w:bottom w:w="28" w:type="dxa"/>
                          <w:right w:w="0" w:type="dxa"/>
                        </w:tblCellMar>
                      </w:tblPr>
                      <w:tblGrid>
                        <w:gridCol w:w="2450"/>
                        <w:gridCol w:w="605"/>
                      </w:tblGrid>
                      <w:tr>
                        <w:trPr/>
                        <w:tc>
                          <w:tcPr>
                            <w:tcW w:w="2450" w:type="dxa"/>
                            <w:tcBorders>
                              <w:bottom w:val="single" w:sz="12" w:space="0" w:color="7D878D"/>
                            </w:tcBorders>
                            <w:shd w:fill="auto" w:val="clear"/>
                            <w:vAlign w:val="center"/>
                          </w:tcPr>
                          <w:p>
                            <w:pPr>
                              <w:pStyle w:val="TableContents"/>
                              <w:spacing w:before="13" w:after="283"/>
                              <w:ind w:left="8" w:right="0" w:hanging="0"/>
                              <w:rPr>
                                <w:b/>
                                <w:color w:val="333333"/>
                                <w:sz w:val="20"/>
                              </w:rPr>
                            </w:pPr>
                            <w:r>
                              <w:rPr>
                                <w:b/>
                                <w:color w:val="333333"/>
                                <w:sz w:val="20"/>
                              </w:rPr>
                              <w:t>Debt Rating Classes</w:t>
                            </w:r>
                          </w:p>
                        </w:tc>
                        <w:tc>
                          <w:tcPr>
                            <w:tcW w:w="605" w:type="dxa"/>
                            <w:tcBorders>
                              <w:bottom w:val="single" w:sz="12" w:space="0" w:color="7D878D"/>
                            </w:tcBorders>
                            <w:shd w:fill="auto" w:val="clear"/>
                            <w:vAlign w:val="center"/>
                          </w:tcPr>
                          <w:p>
                            <w:pPr>
                              <w:pStyle w:val="TableContents"/>
                              <w:spacing w:before="0" w:after="283"/>
                              <w:rPr>
                                <w:sz w:val="20"/>
                              </w:rPr>
                            </w:pPr>
                            <w:r>
                              <w:rPr>
                                <w:sz w:val="20"/>
                              </w:rPr>
                            </w:r>
                          </w:p>
                        </w:tc>
                      </w:tr>
                      <w:tr>
                        <w:trPr/>
                        <w:tc>
                          <w:tcPr>
                            <w:tcW w:w="2450" w:type="dxa"/>
                            <w:tcBorders>
                              <w:top w:val="single" w:sz="12" w:space="0" w:color="7D878D"/>
                              <w:bottom w:val="single" w:sz="12" w:space="0" w:color="7D878D"/>
                            </w:tcBorders>
                            <w:shd w:fill="auto" w:val="clear"/>
                            <w:tcMar>
                              <w:top w:w="28" w:type="dxa"/>
                            </w:tcMar>
                            <w:vAlign w:val="center"/>
                          </w:tcPr>
                          <w:p>
                            <w:pPr>
                              <w:pStyle w:val="TableContents"/>
                              <w:spacing w:before="38" w:after="283"/>
                              <w:ind w:left="36" w:right="0" w:hanging="0"/>
                              <w:rPr>
                                <w:b/>
                                <w:color w:val="333333"/>
                                <w:sz w:val="20"/>
                              </w:rPr>
                            </w:pPr>
                            <w:r>
                              <w:rPr>
                                <w:b/>
                                <w:color w:val="333333"/>
                                <w:sz w:val="20"/>
                              </w:rPr>
                              <w:t>Rating Level</w:t>
                            </w:r>
                          </w:p>
                        </w:tc>
                        <w:tc>
                          <w:tcPr>
                            <w:tcW w:w="605" w:type="dxa"/>
                            <w:tcBorders>
                              <w:top w:val="single" w:sz="12" w:space="0" w:color="7D878D"/>
                              <w:bottom w:val="single" w:sz="12" w:space="0" w:color="7D878D"/>
                            </w:tcBorders>
                            <w:shd w:fill="auto" w:val="clear"/>
                            <w:tcMar>
                              <w:top w:w="28" w:type="dxa"/>
                            </w:tcMar>
                            <w:vAlign w:val="center"/>
                          </w:tcPr>
                          <w:p>
                            <w:pPr>
                              <w:pStyle w:val="TableContents"/>
                              <w:spacing w:before="38" w:after="283"/>
                              <w:ind w:left="811" w:right="0" w:hanging="0"/>
                              <w:rPr>
                                <w:b/>
                                <w:color w:val="333333"/>
                                <w:sz w:val="20"/>
                              </w:rPr>
                            </w:pPr>
                            <w:r>
                              <w:rPr>
                                <w:b/>
                                <w:color w:val="333333"/>
                                <w:sz w:val="20"/>
                              </w:rPr>
                              <w:t>Rating</w:t>
                            </w:r>
                          </w:p>
                        </w:tc>
                      </w:tr>
                      <w:tr>
                        <w:trPr/>
                        <w:tc>
                          <w:tcPr>
                            <w:tcW w:w="2450" w:type="dxa"/>
                            <w:tcBorders>
                              <w:top w:val="single" w:sz="12" w:space="0" w:color="7D878D"/>
                              <w:bottom w:val="single" w:sz="12" w:space="0" w:color="7D878D"/>
                            </w:tcBorders>
                            <w:shd w:fill="auto" w:val="clear"/>
                            <w:tcMar>
                              <w:top w:w="28" w:type="dxa"/>
                            </w:tcMar>
                            <w:vAlign w:val="center"/>
                          </w:tcPr>
                          <w:p>
                            <w:pPr>
                              <w:pStyle w:val="TableContents"/>
                              <w:spacing w:before="24" w:after="283"/>
                              <w:ind w:left="36" w:right="0" w:hanging="0"/>
                              <w:rPr>
                                <w:color w:val="333333"/>
                                <w:sz w:val="20"/>
                              </w:rPr>
                            </w:pPr>
                            <w:r>
                              <w:rPr>
                                <w:color w:val="333333"/>
                                <w:sz w:val="20"/>
                              </w:rPr>
                              <w:t>Senior unsecured: Long-Term</w:t>
                            </w:r>
                          </w:p>
                        </w:tc>
                        <w:tc>
                          <w:tcPr>
                            <w:tcW w:w="605" w:type="dxa"/>
                            <w:tcBorders>
                              <w:top w:val="single" w:sz="12" w:space="0" w:color="7D878D"/>
                              <w:bottom w:val="single" w:sz="12" w:space="0" w:color="7D878D"/>
                            </w:tcBorders>
                            <w:shd w:fill="auto" w:val="clear"/>
                            <w:tcMar>
                              <w:top w:w="28" w:type="dxa"/>
                            </w:tcMar>
                            <w:vAlign w:val="center"/>
                          </w:tcPr>
                          <w:p>
                            <w:pPr>
                              <w:pStyle w:val="TableContents"/>
                              <w:spacing w:before="24" w:after="283"/>
                              <w:ind w:left="811" w:right="0" w:hanging="0"/>
                              <w:rPr>
                                <w:color w:val="333333"/>
                                <w:sz w:val="20"/>
                              </w:rPr>
                            </w:pPr>
                            <w:r>
                              <w:rPr>
                                <w:color w:val="333333"/>
                                <w:sz w:val="20"/>
                              </w:rPr>
                              <w:t>BBB</w:t>
                            </w:r>
                          </w:p>
                        </w:tc>
                      </w:tr>
                      <w:tr>
                        <w:trPr/>
                        <w:tc>
                          <w:tcPr>
                            <w:tcW w:w="2450" w:type="dxa"/>
                            <w:tcBorders>
                              <w:top w:val="single" w:sz="12" w:space="0" w:color="7D878D"/>
                              <w:bottom w:val="single" w:sz="12" w:space="0" w:color="7D878D"/>
                            </w:tcBorders>
                            <w:shd w:fill="auto" w:val="clear"/>
                            <w:tcMar>
                              <w:top w:w="28" w:type="dxa"/>
                            </w:tcMar>
                            <w:vAlign w:val="center"/>
                          </w:tcPr>
                          <w:p>
                            <w:pPr>
                              <w:pStyle w:val="TableContents"/>
                              <w:spacing w:before="88" w:after="283"/>
                              <w:ind w:left="36" w:right="0" w:hanging="0"/>
                              <w:rPr>
                                <w:color w:val="333333"/>
                                <w:sz w:val="20"/>
                              </w:rPr>
                            </w:pPr>
                            <w:r>
                              <w:rPr>
                                <w:color w:val="333333"/>
                                <w:sz w:val="20"/>
                              </w:rPr>
                              <w:t>Source: Fitch Ratings</w:t>
                            </w:r>
                          </w:p>
                        </w:tc>
                        <w:tc>
                          <w:tcPr>
                            <w:tcW w:w="605" w:type="dxa"/>
                            <w:tcBorders>
                              <w:top w:val="single" w:sz="12" w:space="0" w:color="7D878D"/>
                              <w:bottom w:val="single" w:sz="12" w:space="0" w:color="7D878D"/>
                            </w:tcBorders>
                            <w:shd w:fill="auto" w:val="clear"/>
                            <w:tcMar>
                              <w:top w:w="28" w:type="dxa"/>
                            </w:tcMar>
                            <w:vAlign w:val="center"/>
                          </w:tcPr>
                          <w:p>
                            <w:pPr>
                              <w:pStyle w:val="TableContents"/>
                              <w:spacing w:before="0" w:after="283"/>
                              <w:rPr>
                                <w:sz w:val="20"/>
                              </w:rPr>
                            </w:pPr>
                            <w:r>
                              <w:rPr>
                                <w:sz w:val="20"/>
                              </w:rPr>
                            </w:r>
                          </w:p>
                        </w:tc>
                      </w:tr>
                    </w:tbl>
                    <w:p>
                      <w:pPr>
                        <w:pStyle w:val="TextBody"/>
                        <w:spacing w:before="3" w:after="283"/>
                        <w:rPr>
                          <w:sz w:val="20"/>
                        </w:rPr>
                      </w:pPr>
                      <w:r>
                        <w:rPr>
                          <w:sz w:val="20"/>
                        </w:rPr>
                      </w:r>
                    </w:p>
                    <w:p>
                      <w:pPr>
                        <w:pStyle w:val="TextBody"/>
                        <w:spacing w:before="114" w:after="283"/>
                        <w:jc w:val="both"/>
                        <w:rPr>
                          <w:b/>
                          <w:color w:val="CC0033"/>
                          <w:sz w:val="20"/>
                        </w:rPr>
                      </w:pPr>
                      <w:r>
                        <w:rPr>
                          <w:b/>
                          <w:color w:val="CC0033"/>
                          <w:sz w:val="20"/>
                        </w:rPr>
                        <w:t>Significant Changes</w:t>
                      </w:r>
                    </w:p>
                    <w:p>
                      <w:pPr>
                        <w:pStyle w:val="TextBody"/>
                        <w:spacing w:before="70" w:after="283"/>
                        <w:jc w:val="both"/>
                        <w:rPr>
                          <w:color w:val="333333"/>
                          <w:sz w:val="20"/>
                        </w:rPr>
                      </w:pPr>
                      <w:r>
                        <w:rPr>
                          <w:color w:val="333333"/>
                          <w:sz w:val="20"/>
                        </w:rPr>
                        <w:t>On October 2022, Fitch revised the Rating Outlook on the sovereign’s Long-Term (LT) Issuer Default Ratings (IDR) to Negative as a deterioration in political stability and government effectiveness has increased downside risks to Peru's ratings. In the agency’s view, weaker governance poses greater downside risks to investment and economic growth.</w:t>
                      </w:r>
                    </w:p>
                    <w:p>
                      <w:pPr>
                        <w:pStyle w:val="TextBody"/>
                        <w:spacing w:before="115" w:after="283"/>
                        <w:jc w:val="both"/>
                        <w:rPr>
                          <w:color w:val="333333"/>
                          <w:sz w:val="20"/>
                        </w:rPr>
                      </w:pPr>
                      <w:r>
                        <w:rPr>
                          <w:color w:val="333333"/>
                          <w:sz w:val="20"/>
                        </w:rPr>
                        <w:t>Fitch believes Credicorp's and its main subsidiary's credit profiles are sensitive to a material deterioration in the local operating environment or a negative sovereign rating action. In consequence, the Outlook on the OE score remains negative as a slowdown in economic and loan growth, an increase in borrowing costs and persistent political uncertainty are detracting from Peruvian banking sector activity. However, sustained capitalization, improving profitability and lower loan impairment charges provide sufficient resilience to face stress from political uncertainty and external shocks.</w:t>
                      </w:r>
                    </w:p>
                  </w:txbxContent>
                </v:textbox>
                <w10:wrap type="square" side="right"/>
              </v:rect>
            </w:pict>
          </mc:Fallback>
        </mc:AlternateContent>
      </w:r>
      <w:r>
        <mc:AlternateContent>
          <mc:Choice Requires="wps">
            <w:drawing>
              <wp:anchor behindDoc="0" distT="0" distB="0" distL="0" distR="0" simplePos="0" locked="0" layoutInCell="1" allowOverlap="1" relativeHeight="14">
                <wp:simplePos x="0" y="0"/>
                <wp:positionH relativeFrom="column">
                  <wp:align>right</wp:align>
                </wp:positionH>
                <wp:positionV relativeFrom="line">
                  <wp:posOffset>635</wp:posOffset>
                </wp:positionV>
                <wp:extent cx="3110230" cy="615315"/>
                <wp:effectExtent l="0" t="0" r="0" b="0"/>
                <wp:wrapSquare wrapText="largest"/>
                <wp:docPr id="7" name="Frame4"/>
                <a:graphic xmlns:a="http://schemas.openxmlformats.org/drawingml/2006/main">
                  <a:graphicData uri="http://schemas.microsoft.com/office/word/2010/wordprocessingShape">
                    <wps:wsp>
                      <wps:cNvSpPr txBox="1"/>
                      <wps:spPr>
                        <a:xfrm>
                          <a:off x="0" y="0"/>
                          <a:ext cx="3110230" cy="615315"/>
                        </a:xfrm>
                        <a:prstGeom prst="rect"/>
                      </wps:spPr>
                      <wps:txbx>
                        <w:txbxContent>
                          <w:p>
                            <w:pPr>
                              <w:pStyle w:val="TextBody"/>
                              <w:spacing w:before="0" w:after="0"/>
                              <w:rPr/>
                            </w:pPr>
                            <w:r>
                              <w:rPr/>
                              <w:t> </w:t>
                            </w:r>
                          </w:p>
                          <w:p>
                            <w:pPr>
                              <w:pStyle w:val="TextBody"/>
                              <w:spacing w:before="0" w:after="0"/>
                              <w:rPr>
                                <w:sz w:val="20"/>
                              </w:rPr>
                            </w:pPr>
                            <w:r>
                              <w:rPr>
                                <w:sz w:val="20"/>
                              </w:rPr>
                            </w:r>
                          </w:p>
                          <w:p>
                            <w:pPr>
                              <w:pStyle w:val="TextBody"/>
                              <w:spacing w:before="0" w:after="0"/>
                              <w:rPr>
                                <w:sz w:val="20"/>
                              </w:rPr>
                            </w:pPr>
                            <w:r>
                              <w:rPr>
                                <w:sz w:val="20"/>
                              </w:rPr>
                            </w:r>
                          </w:p>
                          <w:p>
                            <w:pPr>
                              <w:pStyle w:val="TextBody"/>
                              <w:spacing w:before="0" w:after="0"/>
                              <w:rPr>
                                <w:sz w:val="20"/>
                              </w:rPr>
                            </w:pPr>
                            <w:r>
                              <w:rPr>
                                <w:sz w:val="20"/>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48.45pt;mso-wrap-distance-left:0pt;mso-wrap-distance-right:0pt;mso-wrap-distance-top:0pt;mso-wrap-distance-bottom:0pt;margin-top:0pt;mso-position-vertical:top;mso-position-vertical-relative:text;margin-left:20.4pt;mso-position-horizontal:right;mso-position-horizontal-relative:text">
                <v:textbox>
                  <w:txbxContent>
                    <w:p>
                      <w:pPr>
                        <w:pStyle w:val="TextBody"/>
                        <w:spacing w:before="0" w:after="0"/>
                        <w:rPr/>
                      </w:pPr>
                      <w:r>
                        <w:rPr/>
                        <w:t> </w:t>
                      </w:r>
                    </w:p>
                    <w:p>
                      <w:pPr>
                        <w:pStyle w:val="TextBody"/>
                        <w:spacing w:before="0" w:after="0"/>
                        <w:rPr>
                          <w:sz w:val="20"/>
                        </w:rPr>
                      </w:pPr>
                      <w:r>
                        <w:rPr>
                          <w:sz w:val="20"/>
                        </w:rPr>
                      </w:r>
                    </w:p>
                    <w:p>
                      <w:pPr>
                        <w:pStyle w:val="TextBody"/>
                        <w:spacing w:before="0" w:after="0"/>
                        <w:rPr>
                          <w:sz w:val="20"/>
                        </w:rPr>
                      </w:pPr>
                      <w:r>
                        <w:rPr>
                          <w:sz w:val="20"/>
                        </w:rPr>
                      </w:r>
                    </w:p>
                    <w:p>
                      <w:pPr>
                        <w:pStyle w:val="TextBody"/>
                        <w:spacing w:before="0" w:after="0"/>
                        <w:rPr>
                          <w:sz w:val="20"/>
                        </w:rPr>
                      </w:pPr>
                      <w:r>
                        <w:rPr>
                          <w:sz w:val="20"/>
                        </w:rPr>
                      </w:r>
                    </w:p>
                  </w:txbxContent>
                </v:textbox>
                <w10:wrap type="square" side="left"/>
              </v:rect>
            </w:pict>
          </mc:Fallback>
        </mc:AlternateContent>
      </w:r>
    </w:p>
    <w:tbl>
      <w:tblPr>
        <w:tblW w:w="60" w:type="dxa"/>
        <w:jc w:val="left"/>
        <w:tblInd w:w="0" w:type="dxa"/>
        <w:tblCellMar>
          <w:top w:w="0" w:type="dxa"/>
          <w:left w:w="0" w:type="dxa"/>
          <w:bottom w:w="0" w:type="dxa"/>
          <w:right w:w="0" w:type="dxa"/>
        </w:tblCellMar>
      </w:tblPr>
      <w:tblGrid>
        <w:gridCol w:w="60"/>
      </w:tblGrid>
      <w:tr>
        <w:trPr/>
        <w:tc>
          <w:tcPr>
            <w:tcW w:w="60" w:type="dxa"/>
            <w:tcBorders/>
            <w:shd w:fill="auto" w:val="clear"/>
            <w:vAlign w:val="center"/>
          </w:tcPr>
          <w:p>
            <w:pPr>
              <w:pStyle w:val="TableContents"/>
              <w:spacing w:before="0" w:after="0"/>
              <w:rPr/>
            </w:pPr>
            <w:r>
              <w:rPr/>
              <w:t> </w:t>
            </w:r>
          </w:p>
        </w:tc>
      </w:tr>
    </w:tbl>
    <w:p>
      <w:pPr>
        <w:pStyle w:val="TextBody"/>
        <w:spacing w:before="0" w:after="0"/>
        <w:rPr>
          <w:sz w:val="20"/>
        </w:rPr>
      </w:pPr>
      <w:r>
        <w:rPr>
          <w:sz w:val="20"/>
        </w:rPr>
      </w:r>
    </w:p>
    <w:tbl>
      <w:tblPr>
        <w:tblW w:w="3940" w:type="dxa"/>
        <w:jc w:val="left"/>
        <w:tblInd w:w="0" w:type="dxa"/>
        <w:tblCellMar>
          <w:top w:w="28" w:type="dxa"/>
          <w:left w:w="0" w:type="dxa"/>
          <w:bottom w:w="0" w:type="dxa"/>
          <w:right w:w="0" w:type="dxa"/>
        </w:tblCellMar>
      </w:tblPr>
      <w:tblGrid>
        <w:gridCol w:w="2015"/>
        <w:gridCol w:w="1925"/>
      </w:tblGrid>
      <w:tr>
        <w:trPr/>
        <w:tc>
          <w:tcPr>
            <w:tcW w:w="2015" w:type="dxa"/>
            <w:tcBorders>
              <w:top w:val="single" w:sz="2" w:space="0" w:color="000000"/>
            </w:tcBorders>
            <w:shd w:fill="auto" w:val="clear"/>
            <w:vAlign w:val="center"/>
          </w:tcPr>
          <w:p>
            <w:pPr>
              <w:pStyle w:val="TableContents"/>
              <w:spacing w:before="18" w:after="283"/>
              <w:ind w:left="20" w:right="0" w:hanging="0"/>
              <w:jc w:val="left"/>
              <w:rPr>
                <w:color w:val="333333"/>
                <w:sz w:val="20"/>
              </w:rPr>
            </w:pPr>
            <w:r>
              <w:rPr>
                <w:color w:val="333333"/>
                <w:sz w:val="20"/>
              </w:rPr>
              <w:t>Credicorp Ltd.</w:t>
            </w:r>
          </w:p>
          <w:p>
            <w:pPr>
              <w:pStyle w:val="TableContents"/>
              <w:spacing w:before="0" w:after="0"/>
              <w:ind w:left="20" w:right="0" w:hanging="0"/>
              <w:jc w:val="left"/>
              <w:rPr>
                <w:color w:val="333333"/>
                <w:sz w:val="20"/>
              </w:rPr>
            </w:pPr>
            <w:r>
              <w:rPr>
                <w:color w:val="333333"/>
                <w:sz w:val="20"/>
              </w:rPr>
              <w:t>Update │ April 21, 2023</w:t>
            </w:r>
          </w:p>
        </w:tc>
        <w:tc>
          <w:tcPr>
            <w:tcW w:w="1925" w:type="dxa"/>
            <w:tcBorders>
              <w:top w:val="single" w:sz="2" w:space="0" w:color="000000"/>
            </w:tcBorders>
            <w:shd w:fill="auto" w:val="clear"/>
            <w:vAlign w:val="center"/>
          </w:tcPr>
          <w:p>
            <w:pPr>
              <w:pStyle w:val="TableContents"/>
              <w:spacing w:before="0" w:after="0"/>
              <w:ind w:left="0" w:right="0" w:hanging="0"/>
              <w:jc w:val="right"/>
              <w:rPr/>
            </w:pPr>
            <w:r>
              <w:rPr>
                <w:color w:val="333333"/>
                <w:sz w:val="20"/>
              </w:rPr>
              <w:t>fitchratings.com</w:t>
            </w:r>
            <w:r>
              <w:rPr/>
              <w:t xml:space="preserve">        </w:t>
            </w:r>
            <w:r>
              <w:rPr>
                <w:color w:val="333333"/>
                <w:sz w:val="20"/>
              </w:rPr>
              <w:t>2</w:t>
            </w:r>
          </w:p>
        </w:tc>
      </w:tr>
    </w:tbl>
    <w:p>
      <w:pPr>
        <w:pStyle w:val="HorizontalLine"/>
        <w:pBdr>
          <w:bottom w:val="single" w:sz="20" w:space="0" w:color="808080"/>
        </w:pBdr>
        <w:spacing w:before="180" w:after="180"/>
        <w:rPr/>
      </w:pPr>
      <w:r>
        <w:rPr/>
      </w:r>
    </w:p>
    <w:p>
      <w:pPr>
        <w:pStyle w:val="TextBody"/>
        <w:spacing w:before="0" w:after="0"/>
        <w:jc w:val="center"/>
        <w:rPr/>
      </w:pPr>
      <w:r>
        <w:rPr/>
        <w:drawing>
          <wp:inline distT="0" distB="0" distL="0" distR="0">
            <wp:extent cx="7743825" cy="962025"/>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5"/>
                    <a:stretch>
                      <a:fillRect/>
                    </a:stretch>
                  </pic:blipFill>
                  <pic:spPr bwMode="auto">
                    <a:xfrm>
                      <a:off x="0" y="0"/>
                      <a:ext cx="7743825" cy="962025"/>
                    </a:xfrm>
                    <a:prstGeom prst="rect">
                      <a:avLst/>
                    </a:prstGeom>
                  </pic:spPr>
                </pic:pic>
              </a:graphicData>
            </a:graphic>
          </wp:inline>
        </w:drawing>
      </w:r>
    </w:p>
    <w:p>
      <w:pPr>
        <w:pStyle w:val="TextBody"/>
        <w:spacing w:before="0" w:after="0"/>
        <w:rPr>
          <w:sz w:val="20"/>
        </w:rPr>
      </w:pPr>
      <w:r>
        <w:rPr>
          <w:sz w:val="20"/>
        </w:rPr>
      </w:r>
    </w:p>
    <w:p>
      <w:pPr>
        <w:pStyle w:val="TextBody"/>
        <w:spacing w:before="0" w:after="0"/>
        <w:rPr/>
      </w:pPr>
      <w:r>
        <w:rPr>
          <w:color w:val="000000"/>
        </w:rPr>
        <w:t> </w:t>
      </w:r>
      <w:r>
        <w:rPr/>
        <w:t xml:space="preserve"> </w:t>
      </w:r>
    </w:p>
    <w:tbl>
      <w:tblPr>
        <w:tblW w:w="10205" w:type="dxa"/>
        <w:jc w:val="left"/>
        <w:tblInd w:w="0" w:type="dxa"/>
        <w:tblCellMar>
          <w:top w:w="28" w:type="dxa"/>
          <w:left w:w="0" w:type="dxa"/>
          <w:bottom w:w="28" w:type="dxa"/>
          <w:right w:w="0" w:type="dxa"/>
        </w:tblCellMar>
      </w:tblPr>
      <w:tblGrid>
        <w:gridCol w:w="2761"/>
        <w:gridCol w:w="766"/>
        <w:gridCol w:w="1662"/>
        <w:gridCol w:w="1661"/>
        <w:gridCol w:w="1661"/>
        <w:gridCol w:w="1694"/>
      </w:tblGrid>
      <w:tr>
        <w:trPr/>
        <w:tc>
          <w:tcPr>
            <w:tcW w:w="2761" w:type="dxa"/>
            <w:tcBorders>
              <w:top w:val="single" w:sz="12" w:space="0" w:color="333333"/>
              <w:bottom w:val="single" w:sz="12" w:space="0" w:color="7D878D"/>
            </w:tcBorders>
            <w:shd w:fill="auto" w:val="clear"/>
            <w:vAlign w:val="center"/>
          </w:tcPr>
          <w:p>
            <w:pPr>
              <w:pStyle w:val="TableContents"/>
              <w:spacing w:before="0" w:after="0"/>
              <w:ind w:left="28" w:right="0" w:hanging="0"/>
              <w:rPr>
                <w:b/>
                <w:color w:val="333333"/>
                <w:sz w:val="20"/>
              </w:rPr>
            </w:pPr>
            <w:r>
              <w:rPr>
                <w:b/>
                <w:color w:val="333333"/>
                <w:sz w:val="20"/>
              </w:rPr>
              <w:t>Summary Financials</w:t>
            </w:r>
          </w:p>
        </w:tc>
        <w:tc>
          <w:tcPr>
            <w:tcW w:w="766" w:type="dxa"/>
            <w:tcBorders>
              <w:bottom w:val="single" w:sz="12" w:space="0" w:color="7D878D"/>
            </w:tcBorders>
            <w:shd w:fill="auto" w:val="clear"/>
            <w:tcMar>
              <w:top w:w="0" w:type="dxa"/>
            </w:tcMar>
            <w:vAlign w:val="center"/>
          </w:tcPr>
          <w:p>
            <w:pPr>
              <w:pStyle w:val="TableContents"/>
              <w:spacing w:before="0" w:after="283"/>
              <w:rPr/>
            </w:pPr>
            <w:r>
              <w:rPr/>
              <w:t> </w:t>
            </w:r>
          </w:p>
        </w:tc>
        <w:tc>
          <w:tcPr>
            <w:tcW w:w="1662" w:type="dxa"/>
            <w:tcBorders>
              <w:bottom w:val="single" w:sz="12" w:space="0" w:color="7D878D"/>
            </w:tcBorders>
            <w:shd w:fill="auto" w:val="clear"/>
            <w:tcMar>
              <w:top w:w="0" w:type="dxa"/>
            </w:tcMar>
            <w:vAlign w:val="center"/>
          </w:tcPr>
          <w:p>
            <w:pPr>
              <w:pStyle w:val="TableContents"/>
              <w:spacing w:before="0" w:after="283"/>
              <w:rPr/>
            </w:pPr>
            <w:r>
              <w:rPr/>
              <w:t> </w:t>
            </w:r>
          </w:p>
        </w:tc>
        <w:tc>
          <w:tcPr>
            <w:tcW w:w="1661" w:type="dxa"/>
            <w:tcBorders>
              <w:bottom w:val="single" w:sz="12" w:space="0" w:color="7D878D"/>
            </w:tcBorders>
            <w:shd w:fill="auto" w:val="clear"/>
            <w:tcMar>
              <w:top w:w="0" w:type="dxa"/>
            </w:tcMar>
            <w:vAlign w:val="center"/>
          </w:tcPr>
          <w:p>
            <w:pPr>
              <w:pStyle w:val="TableContents"/>
              <w:spacing w:before="0" w:after="283"/>
              <w:rPr/>
            </w:pPr>
            <w:r>
              <w:rPr/>
              <w:t> </w:t>
            </w:r>
          </w:p>
        </w:tc>
        <w:tc>
          <w:tcPr>
            <w:tcW w:w="1661" w:type="dxa"/>
            <w:tcBorders>
              <w:bottom w:val="single" w:sz="12" w:space="0" w:color="7D878D"/>
            </w:tcBorders>
            <w:shd w:fill="auto" w:val="clear"/>
            <w:tcMar>
              <w:top w:w="0" w:type="dxa"/>
            </w:tcMar>
            <w:vAlign w:val="center"/>
          </w:tcPr>
          <w:p>
            <w:pPr>
              <w:pStyle w:val="TableContents"/>
              <w:spacing w:before="0" w:after="283"/>
              <w:rPr/>
            </w:pPr>
            <w:r>
              <w:rPr/>
              <w:t> </w:t>
            </w:r>
          </w:p>
        </w:tc>
        <w:tc>
          <w:tcPr>
            <w:tcW w:w="1694" w:type="dxa"/>
            <w:tcBorders>
              <w:bottom w:val="single" w:sz="12" w:space="0" w:color="7D878D"/>
            </w:tcBorders>
            <w:shd w:fill="auto" w:val="clear"/>
            <w:tcMar>
              <w:top w:w="0" w:type="dxa"/>
            </w:tcMar>
            <w:vAlign w:val="center"/>
          </w:tcPr>
          <w:p>
            <w:pPr>
              <w:pStyle w:val="TableContents"/>
              <w:spacing w:before="0" w:after="283"/>
              <w:rPr/>
            </w:pPr>
            <w:r>
              <w:rPr/>
              <w:t> </w:t>
            </w:r>
          </w:p>
        </w:tc>
      </w:tr>
      <w:tr>
        <w:trPr/>
        <w:tc>
          <w:tcPr>
            <w:tcW w:w="2761" w:type="dxa"/>
            <w:tcBorders>
              <w:top w:val="single" w:sz="12" w:space="0" w:color="7D878D"/>
            </w:tcBorders>
            <w:shd w:fill="auto" w:val="clear"/>
            <w:tcMar>
              <w:bottom w:w="0" w:type="dxa"/>
            </w:tcMar>
            <w:vAlign w:val="center"/>
          </w:tcPr>
          <w:p>
            <w:pPr>
              <w:pStyle w:val="TableContents"/>
              <w:spacing w:before="0" w:after="283"/>
              <w:rPr>
                <w:sz w:val="20"/>
              </w:rPr>
            </w:pPr>
            <w:r>
              <w:rPr>
                <w:sz w:val="20"/>
              </w:rPr>
            </w:r>
          </w:p>
        </w:tc>
        <w:tc>
          <w:tcPr>
            <w:tcW w:w="766" w:type="dxa"/>
            <w:tcBorders>
              <w:top w:val="single" w:sz="12" w:space="0" w:color="7D878D"/>
              <w:bottom w:val="single" w:sz="12" w:space="0" w:color="7D878D"/>
            </w:tcBorders>
            <w:shd w:fill="auto" w:val="clear"/>
            <w:vAlign w:val="center"/>
          </w:tcPr>
          <w:p>
            <w:pPr>
              <w:pStyle w:val="TableContents"/>
              <w:spacing w:before="38" w:after="283"/>
              <w:ind w:left="1173" w:right="0" w:hanging="0"/>
              <w:rPr>
                <w:b/>
                <w:color w:val="333333"/>
                <w:sz w:val="20"/>
              </w:rPr>
            </w:pPr>
            <w:r>
              <w:rPr>
                <w:b/>
                <w:color w:val="333333"/>
                <w:sz w:val="20"/>
              </w:rPr>
              <w:t>2022</w:t>
            </w:r>
          </w:p>
        </w:tc>
        <w:tc>
          <w:tcPr>
            <w:tcW w:w="1662" w:type="dxa"/>
            <w:tcBorders>
              <w:top w:val="single" w:sz="12" w:space="0" w:color="7D878D"/>
              <w:bottom w:val="single" w:sz="12" w:space="0" w:color="7D878D"/>
            </w:tcBorders>
            <w:shd w:fill="auto" w:val="clear"/>
            <w:vAlign w:val="center"/>
          </w:tcPr>
          <w:p>
            <w:pPr>
              <w:pStyle w:val="TableContents"/>
              <w:spacing w:before="0" w:after="283"/>
              <w:rPr>
                <w:sz w:val="20"/>
              </w:rPr>
            </w:pPr>
            <w:r>
              <w:rPr>
                <w:sz w:val="20"/>
              </w:rPr>
            </w:r>
          </w:p>
        </w:tc>
        <w:tc>
          <w:tcPr>
            <w:tcW w:w="1661" w:type="dxa"/>
            <w:tcBorders>
              <w:top w:val="single" w:sz="12" w:space="0" w:color="7D878D"/>
            </w:tcBorders>
            <w:shd w:fill="auto" w:val="clear"/>
            <w:tcMar>
              <w:bottom w:w="0" w:type="dxa"/>
            </w:tcMar>
            <w:vAlign w:val="center"/>
          </w:tcPr>
          <w:p>
            <w:pPr>
              <w:pStyle w:val="TableContents"/>
              <w:spacing w:before="48" w:after="283"/>
              <w:ind w:left="0" w:right="300" w:hanging="0"/>
              <w:jc w:val="right"/>
              <w:rPr>
                <w:b/>
                <w:color w:val="333333"/>
                <w:sz w:val="20"/>
              </w:rPr>
            </w:pPr>
            <w:r>
              <w:rPr>
                <w:b/>
                <w:color w:val="333333"/>
                <w:sz w:val="20"/>
              </w:rPr>
              <w:t>2021</w:t>
            </w:r>
          </w:p>
        </w:tc>
        <w:tc>
          <w:tcPr>
            <w:tcW w:w="1661" w:type="dxa"/>
            <w:tcBorders>
              <w:top w:val="single" w:sz="12" w:space="0" w:color="7D878D"/>
            </w:tcBorders>
            <w:shd w:fill="auto" w:val="clear"/>
            <w:tcMar>
              <w:bottom w:w="0" w:type="dxa"/>
            </w:tcMar>
            <w:vAlign w:val="center"/>
          </w:tcPr>
          <w:p>
            <w:pPr>
              <w:pStyle w:val="TableContents"/>
              <w:spacing w:before="48" w:after="283"/>
              <w:ind w:left="0" w:right="298" w:hanging="0"/>
              <w:jc w:val="right"/>
              <w:rPr>
                <w:b/>
                <w:color w:val="333333"/>
                <w:sz w:val="20"/>
              </w:rPr>
            </w:pPr>
            <w:r>
              <w:rPr>
                <w:b/>
                <w:color w:val="333333"/>
                <w:sz w:val="20"/>
              </w:rPr>
              <w:t>2020</w:t>
            </w:r>
          </w:p>
        </w:tc>
        <w:tc>
          <w:tcPr>
            <w:tcW w:w="1694" w:type="dxa"/>
            <w:tcBorders>
              <w:top w:val="single" w:sz="12" w:space="0" w:color="7D878D"/>
            </w:tcBorders>
            <w:shd w:fill="auto" w:val="clear"/>
            <w:tcMar>
              <w:bottom w:w="0" w:type="dxa"/>
            </w:tcMar>
            <w:vAlign w:val="center"/>
          </w:tcPr>
          <w:p>
            <w:pPr>
              <w:pStyle w:val="TableContents"/>
              <w:spacing w:before="48" w:after="283"/>
              <w:ind w:left="0" w:right="46" w:hanging="0"/>
              <w:jc w:val="right"/>
              <w:rPr>
                <w:b/>
                <w:color w:val="333333"/>
                <w:sz w:val="20"/>
              </w:rPr>
            </w:pPr>
            <w:r>
              <w:rPr>
                <w:b/>
                <w:color w:val="333333"/>
                <w:sz w:val="20"/>
              </w:rPr>
              <w:t>2019</w:t>
            </w:r>
          </w:p>
        </w:tc>
      </w:tr>
      <w:tr>
        <w:trPr/>
        <w:tc>
          <w:tcPr>
            <w:tcW w:w="2761" w:type="dxa"/>
            <w:tcBorders>
              <w:bottom w:val="single" w:sz="12" w:space="0" w:color="7D878D"/>
            </w:tcBorders>
            <w:shd w:fill="auto" w:val="clear"/>
            <w:tcMar>
              <w:top w:w="0" w:type="dxa"/>
            </w:tcMar>
            <w:vAlign w:val="center"/>
          </w:tcPr>
          <w:p>
            <w:pPr>
              <w:pStyle w:val="TableContents"/>
              <w:spacing w:before="55" w:after="283"/>
              <w:rPr>
                <w:color w:val="333333"/>
                <w:sz w:val="20"/>
              </w:rPr>
            </w:pPr>
            <w:r>
              <w:rPr>
                <w:color w:val="333333"/>
                <w:sz w:val="20"/>
              </w:rPr>
              <w:t>(Year End as of Dec. 31, Audited – Unqualified)</w:t>
            </w:r>
          </w:p>
        </w:tc>
        <w:tc>
          <w:tcPr>
            <w:tcW w:w="766" w:type="dxa"/>
            <w:tcBorders>
              <w:top w:val="single" w:sz="12" w:space="0" w:color="7D878D"/>
              <w:bottom w:val="single" w:sz="12" w:space="0" w:color="7D878D"/>
            </w:tcBorders>
            <w:shd w:fill="auto" w:val="clear"/>
            <w:vAlign w:val="center"/>
          </w:tcPr>
          <w:p>
            <w:pPr>
              <w:pStyle w:val="TableContents"/>
              <w:spacing w:before="67" w:after="283"/>
              <w:ind w:left="612" w:right="0" w:hanging="0"/>
              <w:rPr>
                <w:b/>
                <w:color w:val="333333"/>
                <w:sz w:val="20"/>
              </w:rPr>
            </w:pPr>
            <w:r>
              <w:rPr>
                <w:b/>
                <w:color w:val="333333"/>
                <w:sz w:val="20"/>
              </w:rPr>
              <w:t>(USD Mil.)</w:t>
            </w:r>
          </w:p>
        </w:tc>
        <w:tc>
          <w:tcPr>
            <w:tcW w:w="1662" w:type="dxa"/>
            <w:tcBorders>
              <w:top w:val="single" w:sz="12" w:space="0" w:color="7D878D"/>
              <w:bottom w:val="single" w:sz="12" w:space="0" w:color="7D878D"/>
            </w:tcBorders>
            <w:shd w:fill="auto" w:val="clear"/>
            <w:vAlign w:val="center"/>
          </w:tcPr>
          <w:p>
            <w:pPr>
              <w:pStyle w:val="TableContents"/>
              <w:spacing w:before="67" w:after="283"/>
              <w:jc w:val="right"/>
              <w:rPr>
                <w:b/>
                <w:color w:val="333333"/>
                <w:sz w:val="20"/>
              </w:rPr>
            </w:pPr>
            <w:r>
              <w:rPr>
                <w:b/>
                <w:color w:val="333333"/>
                <w:sz w:val="20"/>
              </w:rPr>
              <w:t>(PEN Mil.)</w:t>
            </w:r>
          </w:p>
        </w:tc>
        <w:tc>
          <w:tcPr>
            <w:tcW w:w="1661" w:type="dxa"/>
            <w:tcBorders>
              <w:bottom w:val="single" w:sz="12" w:space="0" w:color="7D878D"/>
            </w:tcBorders>
            <w:shd w:fill="auto" w:val="clear"/>
            <w:tcMar>
              <w:top w:w="0" w:type="dxa"/>
            </w:tcMar>
            <w:vAlign w:val="center"/>
          </w:tcPr>
          <w:p>
            <w:pPr>
              <w:pStyle w:val="TableContents"/>
              <w:spacing w:before="67" w:after="283"/>
              <w:ind w:left="0" w:right="298" w:hanging="0"/>
              <w:jc w:val="right"/>
              <w:rPr>
                <w:b/>
                <w:color w:val="333333"/>
                <w:sz w:val="20"/>
              </w:rPr>
            </w:pPr>
            <w:r>
              <w:rPr>
                <w:b/>
                <w:color w:val="333333"/>
                <w:sz w:val="20"/>
              </w:rPr>
              <w:t>(PEN Mil.)</w:t>
            </w:r>
          </w:p>
        </w:tc>
        <w:tc>
          <w:tcPr>
            <w:tcW w:w="1661" w:type="dxa"/>
            <w:tcBorders>
              <w:bottom w:val="single" w:sz="12" w:space="0" w:color="7D878D"/>
            </w:tcBorders>
            <w:shd w:fill="auto" w:val="clear"/>
            <w:tcMar>
              <w:top w:w="0" w:type="dxa"/>
            </w:tcMar>
            <w:vAlign w:val="center"/>
          </w:tcPr>
          <w:p>
            <w:pPr>
              <w:pStyle w:val="TableContents"/>
              <w:spacing w:before="67" w:after="283"/>
              <w:ind w:left="0" w:right="298" w:hanging="0"/>
              <w:jc w:val="right"/>
              <w:rPr>
                <w:b/>
                <w:color w:val="333333"/>
                <w:sz w:val="20"/>
              </w:rPr>
            </w:pPr>
            <w:r>
              <w:rPr>
                <w:b/>
                <w:color w:val="333333"/>
                <w:sz w:val="20"/>
              </w:rPr>
              <w:t>(PEN Mil.)</w:t>
            </w:r>
          </w:p>
        </w:tc>
        <w:tc>
          <w:tcPr>
            <w:tcW w:w="1694" w:type="dxa"/>
            <w:tcBorders>
              <w:bottom w:val="single" w:sz="12" w:space="0" w:color="7D878D"/>
            </w:tcBorders>
            <w:shd w:fill="auto" w:val="clear"/>
            <w:tcMar>
              <w:top w:w="0" w:type="dxa"/>
            </w:tcMar>
            <w:vAlign w:val="center"/>
          </w:tcPr>
          <w:p>
            <w:pPr>
              <w:pStyle w:val="TableContents"/>
              <w:spacing w:before="67" w:after="283"/>
              <w:ind w:left="0" w:right="46" w:hanging="0"/>
              <w:jc w:val="right"/>
              <w:rPr>
                <w:b/>
                <w:color w:val="333333"/>
                <w:sz w:val="20"/>
              </w:rPr>
            </w:pPr>
            <w:r>
              <w:rPr>
                <w:b/>
                <w:color w:val="333333"/>
                <w:sz w:val="20"/>
              </w:rPr>
              <w:t>(PEN Mil.)</w:t>
            </w:r>
          </w:p>
        </w:tc>
      </w:tr>
      <w:tr>
        <w:trPr/>
        <w:tc>
          <w:tcPr>
            <w:tcW w:w="2761" w:type="dxa"/>
            <w:tcBorders>
              <w:top w:val="single" w:sz="12" w:space="0" w:color="7D878D"/>
              <w:bottom w:val="single" w:sz="12" w:space="0" w:color="7D878D"/>
            </w:tcBorders>
            <w:shd w:fill="auto" w:val="clear"/>
            <w:vAlign w:val="center"/>
          </w:tcPr>
          <w:p>
            <w:pPr>
              <w:pStyle w:val="TableContents"/>
              <w:spacing w:before="36" w:after="283"/>
              <w:rPr>
                <w:b/>
                <w:color w:val="333333"/>
                <w:sz w:val="20"/>
              </w:rPr>
            </w:pPr>
            <w:r>
              <w:rPr>
                <w:b/>
                <w:color w:val="333333"/>
                <w:sz w:val="20"/>
              </w:rPr>
              <w:t>Summary Income Statement</w:t>
            </w:r>
          </w:p>
        </w:tc>
        <w:tc>
          <w:tcPr>
            <w:tcW w:w="766" w:type="dxa"/>
            <w:tcBorders>
              <w:top w:val="single" w:sz="12" w:space="0" w:color="7D878D"/>
              <w:bottom w:val="single" w:sz="12" w:space="0" w:color="7D878D"/>
            </w:tcBorders>
            <w:shd w:fill="auto" w:val="clear"/>
            <w:vAlign w:val="center"/>
          </w:tcPr>
          <w:p>
            <w:pPr>
              <w:pStyle w:val="TableContents"/>
              <w:spacing w:before="0" w:after="283"/>
              <w:rPr>
                <w:sz w:val="20"/>
              </w:rPr>
            </w:pPr>
            <w:r>
              <w:rPr>
                <w:sz w:val="20"/>
              </w:rPr>
            </w:r>
          </w:p>
        </w:tc>
        <w:tc>
          <w:tcPr>
            <w:tcW w:w="1662" w:type="dxa"/>
            <w:tcBorders>
              <w:top w:val="single" w:sz="12" w:space="0" w:color="7D878D"/>
              <w:bottom w:val="single" w:sz="12" w:space="0" w:color="7D878D"/>
            </w:tcBorders>
            <w:shd w:fill="auto" w:val="clear"/>
            <w:vAlign w:val="center"/>
          </w:tcPr>
          <w:p>
            <w:pPr>
              <w:pStyle w:val="TableContents"/>
              <w:spacing w:before="0" w:after="283"/>
              <w:rPr>
                <w:sz w:val="20"/>
              </w:rPr>
            </w:pPr>
            <w:r>
              <w:rPr>
                <w:sz w:val="20"/>
              </w:rPr>
            </w:r>
          </w:p>
        </w:tc>
        <w:tc>
          <w:tcPr>
            <w:tcW w:w="1661" w:type="dxa"/>
            <w:tcBorders>
              <w:top w:val="single" w:sz="12" w:space="0" w:color="7D878D"/>
              <w:bottom w:val="single" w:sz="12" w:space="0" w:color="7D878D"/>
            </w:tcBorders>
            <w:shd w:fill="auto" w:val="clear"/>
            <w:vAlign w:val="center"/>
          </w:tcPr>
          <w:p>
            <w:pPr>
              <w:pStyle w:val="TableContents"/>
              <w:spacing w:before="0" w:after="283"/>
              <w:rPr>
                <w:sz w:val="20"/>
              </w:rPr>
            </w:pPr>
            <w:r>
              <w:rPr>
                <w:sz w:val="20"/>
              </w:rPr>
            </w:r>
          </w:p>
        </w:tc>
        <w:tc>
          <w:tcPr>
            <w:tcW w:w="1661" w:type="dxa"/>
            <w:tcBorders>
              <w:top w:val="single" w:sz="12" w:space="0" w:color="7D878D"/>
              <w:bottom w:val="single" w:sz="12" w:space="0" w:color="7D878D"/>
            </w:tcBorders>
            <w:shd w:fill="auto" w:val="clear"/>
            <w:vAlign w:val="center"/>
          </w:tcPr>
          <w:p>
            <w:pPr>
              <w:pStyle w:val="TableContents"/>
              <w:spacing w:before="0" w:after="283"/>
              <w:rPr>
                <w:sz w:val="20"/>
              </w:rPr>
            </w:pPr>
            <w:r>
              <w:rPr>
                <w:sz w:val="20"/>
              </w:rPr>
            </w:r>
          </w:p>
        </w:tc>
        <w:tc>
          <w:tcPr>
            <w:tcW w:w="1694" w:type="dxa"/>
            <w:tcBorders>
              <w:top w:val="single" w:sz="12" w:space="0" w:color="7D878D"/>
              <w:bottom w:val="single" w:sz="12" w:space="0" w:color="7D878D"/>
            </w:tcBorders>
            <w:shd w:fill="auto" w:val="clear"/>
            <w:vAlign w:val="center"/>
          </w:tcPr>
          <w:p>
            <w:pPr>
              <w:pStyle w:val="TableContents"/>
              <w:spacing w:before="0" w:after="283"/>
              <w:rPr>
                <w:sz w:val="20"/>
              </w:rPr>
            </w:pPr>
            <w:r>
              <w:rPr>
                <w:sz w:val="20"/>
              </w:rPr>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Net Interest and Dividend Income</w:t>
            </w:r>
          </w:p>
        </w:tc>
        <w:tc>
          <w:tcPr>
            <w:tcW w:w="766" w:type="dxa"/>
            <w:tcBorders>
              <w:top w:val="single" w:sz="12" w:space="0" w:color="7D878D"/>
              <w:bottom w:val="single" w:sz="12" w:space="0" w:color="7D878D"/>
            </w:tcBorders>
            <w:shd w:fill="auto" w:val="clear"/>
            <w:vAlign w:val="center"/>
          </w:tcPr>
          <w:p>
            <w:pPr>
              <w:pStyle w:val="TableContents"/>
              <w:spacing w:before="27" w:after="283"/>
              <w:ind w:left="926" w:right="0" w:hanging="0"/>
              <w:rPr>
                <w:color w:val="333333"/>
                <w:sz w:val="20"/>
              </w:rPr>
            </w:pPr>
            <w:r>
              <w:rPr>
                <w:color w:val="333333"/>
                <w:sz w:val="20"/>
              </w:rPr>
              <w:t>3,024</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11,518.1</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9,362.0</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8" w:hanging="0"/>
              <w:jc w:val="right"/>
              <w:rPr>
                <w:color w:val="333333"/>
                <w:sz w:val="20"/>
              </w:rPr>
            </w:pPr>
            <w:r>
              <w:rPr>
                <w:color w:val="333333"/>
                <w:sz w:val="20"/>
              </w:rPr>
              <w:t>8,571.3</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6" w:hanging="0"/>
              <w:jc w:val="right"/>
              <w:rPr>
                <w:color w:val="333333"/>
                <w:sz w:val="20"/>
              </w:rPr>
            </w:pPr>
            <w:r>
              <w:rPr>
                <w:color w:val="333333"/>
                <w:sz w:val="20"/>
              </w:rPr>
              <w:t>9,090.8</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Net Fees and Commissions</w:t>
            </w:r>
          </w:p>
        </w:tc>
        <w:tc>
          <w:tcPr>
            <w:tcW w:w="766" w:type="dxa"/>
            <w:tcBorders>
              <w:top w:val="single" w:sz="12" w:space="0" w:color="7D878D"/>
              <w:bottom w:val="single" w:sz="12" w:space="0" w:color="7D878D"/>
            </w:tcBorders>
            <w:shd w:fill="auto" w:val="clear"/>
            <w:vAlign w:val="center"/>
          </w:tcPr>
          <w:p>
            <w:pPr>
              <w:pStyle w:val="TableContents"/>
              <w:spacing w:before="24" w:after="283"/>
              <w:ind w:left="1053" w:right="0" w:hanging="0"/>
              <w:rPr>
                <w:color w:val="333333"/>
                <w:sz w:val="20"/>
              </w:rPr>
            </w:pPr>
            <w:r>
              <w:rPr>
                <w:color w:val="333333"/>
                <w:sz w:val="20"/>
              </w:rPr>
              <w:t>956</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sz w:val="20"/>
              </w:rPr>
            </w:pPr>
            <w:r>
              <w:rPr>
                <w:color w:val="333333"/>
                <w:sz w:val="20"/>
              </w:rPr>
              <w:t>3,640.3</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3,493.7</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8" w:hanging="0"/>
              <w:jc w:val="right"/>
              <w:rPr>
                <w:color w:val="333333"/>
                <w:sz w:val="20"/>
              </w:rPr>
            </w:pPr>
            <w:r>
              <w:rPr>
                <w:color w:val="333333"/>
                <w:sz w:val="20"/>
              </w:rPr>
              <w:t>2,912.8</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6" w:hanging="0"/>
              <w:jc w:val="right"/>
              <w:rPr>
                <w:color w:val="333333"/>
                <w:sz w:val="20"/>
              </w:rPr>
            </w:pPr>
            <w:r>
              <w:rPr>
                <w:color w:val="333333"/>
                <w:sz w:val="20"/>
              </w:rPr>
              <w:t>3,232.8</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Other Operating Income</w:t>
            </w:r>
          </w:p>
        </w:tc>
        <w:tc>
          <w:tcPr>
            <w:tcW w:w="766" w:type="dxa"/>
            <w:tcBorders>
              <w:top w:val="single" w:sz="12" w:space="0" w:color="7D878D"/>
              <w:bottom w:val="single" w:sz="12" w:space="0" w:color="7D878D"/>
            </w:tcBorders>
            <w:shd w:fill="auto" w:val="clear"/>
            <w:vAlign w:val="center"/>
          </w:tcPr>
          <w:p>
            <w:pPr>
              <w:pStyle w:val="TableContents"/>
              <w:spacing w:before="27" w:after="283"/>
              <w:ind w:left="1053" w:right="0" w:hanging="0"/>
              <w:rPr>
                <w:color w:val="333333"/>
                <w:sz w:val="20"/>
              </w:rPr>
            </w:pPr>
            <w:r>
              <w:rPr>
                <w:color w:val="333333"/>
                <w:sz w:val="20"/>
              </w:rPr>
              <w:t>571</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2,173.7</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1,434.3</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8" w:hanging="0"/>
              <w:jc w:val="right"/>
              <w:rPr>
                <w:color w:val="333333"/>
                <w:sz w:val="20"/>
              </w:rPr>
            </w:pPr>
            <w:r>
              <w:rPr>
                <w:color w:val="333333"/>
                <w:sz w:val="20"/>
              </w:rPr>
              <w:t>1,895.4</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6" w:hanging="0"/>
              <w:jc w:val="right"/>
              <w:rPr>
                <w:color w:val="333333"/>
                <w:sz w:val="20"/>
              </w:rPr>
            </w:pPr>
            <w:r>
              <w:rPr>
                <w:color w:val="333333"/>
                <w:sz w:val="20"/>
              </w:rPr>
              <w:t>2,146.5</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Total Operating Income</w:t>
            </w:r>
          </w:p>
        </w:tc>
        <w:tc>
          <w:tcPr>
            <w:tcW w:w="766" w:type="dxa"/>
            <w:tcBorders>
              <w:top w:val="single" w:sz="12" w:space="0" w:color="7D878D"/>
              <w:bottom w:val="single" w:sz="12" w:space="0" w:color="7D878D"/>
            </w:tcBorders>
            <w:shd w:fill="auto" w:val="clear"/>
            <w:vAlign w:val="center"/>
          </w:tcPr>
          <w:p>
            <w:pPr>
              <w:pStyle w:val="TableContents"/>
              <w:spacing w:before="24" w:after="283"/>
              <w:ind w:left="926" w:right="0" w:hanging="0"/>
              <w:rPr>
                <w:color w:val="333333"/>
                <w:sz w:val="20"/>
              </w:rPr>
            </w:pPr>
            <w:r>
              <w:rPr>
                <w:color w:val="333333"/>
                <w:sz w:val="20"/>
              </w:rPr>
              <w:t>4,550</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sz w:val="20"/>
              </w:rPr>
            </w:pPr>
            <w:r>
              <w:rPr>
                <w:color w:val="333333"/>
                <w:sz w:val="20"/>
              </w:rPr>
              <w:t>17,332.1</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14,290.0</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8" w:hanging="0"/>
              <w:jc w:val="right"/>
              <w:rPr>
                <w:color w:val="333333"/>
                <w:sz w:val="20"/>
              </w:rPr>
            </w:pPr>
            <w:r>
              <w:rPr>
                <w:color w:val="333333"/>
                <w:sz w:val="20"/>
              </w:rPr>
              <w:t>13,379.5</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6" w:hanging="0"/>
              <w:jc w:val="right"/>
              <w:rPr>
                <w:color w:val="333333"/>
                <w:sz w:val="20"/>
              </w:rPr>
            </w:pPr>
            <w:r>
              <w:rPr>
                <w:color w:val="333333"/>
                <w:sz w:val="20"/>
              </w:rPr>
              <w:t>14,470.1</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Operating Costs</w:t>
            </w:r>
          </w:p>
        </w:tc>
        <w:tc>
          <w:tcPr>
            <w:tcW w:w="766" w:type="dxa"/>
            <w:tcBorders>
              <w:top w:val="single" w:sz="12" w:space="0" w:color="7D878D"/>
              <w:bottom w:val="single" w:sz="12" w:space="0" w:color="7D878D"/>
            </w:tcBorders>
            <w:shd w:fill="auto" w:val="clear"/>
            <w:vAlign w:val="center"/>
          </w:tcPr>
          <w:p>
            <w:pPr>
              <w:pStyle w:val="TableContents"/>
              <w:spacing w:before="27" w:after="283"/>
              <w:ind w:left="926" w:right="0" w:hanging="0"/>
              <w:rPr>
                <w:color w:val="333333"/>
                <w:sz w:val="20"/>
              </w:rPr>
            </w:pPr>
            <w:r>
              <w:rPr>
                <w:color w:val="333333"/>
                <w:sz w:val="20"/>
              </w:rPr>
              <w:t>2,263</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8,620.6</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7,740.1</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8" w:hanging="0"/>
              <w:jc w:val="right"/>
              <w:rPr>
                <w:color w:val="333333"/>
                <w:sz w:val="20"/>
              </w:rPr>
            </w:pPr>
            <w:r>
              <w:rPr>
                <w:color w:val="333333"/>
                <w:sz w:val="20"/>
              </w:rPr>
              <w:t>7,127.0</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6" w:hanging="0"/>
              <w:jc w:val="right"/>
              <w:rPr>
                <w:color w:val="333333"/>
                <w:sz w:val="20"/>
              </w:rPr>
            </w:pPr>
            <w:r>
              <w:rPr>
                <w:color w:val="333333"/>
                <w:sz w:val="20"/>
              </w:rPr>
              <w:t>6,666.4</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Pre-Impairment Operating Profit</w:t>
            </w:r>
          </w:p>
        </w:tc>
        <w:tc>
          <w:tcPr>
            <w:tcW w:w="766" w:type="dxa"/>
            <w:tcBorders>
              <w:top w:val="single" w:sz="12" w:space="0" w:color="7D878D"/>
              <w:bottom w:val="single" w:sz="12" w:space="0" w:color="7D878D"/>
            </w:tcBorders>
            <w:shd w:fill="auto" w:val="clear"/>
            <w:vAlign w:val="center"/>
          </w:tcPr>
          <w:p>
            <w:pPr>
              <w:pStyle w:val="TableContents"/>
              <w:spacing w:before="24" w:after="283"/>
              <w:ind w:left="926" w:right="0" w:hanging="0"/>
              <w:rPr>
                <w:color w:val="333333"/>
                <w:sz w:val="20"/>
              </w:rPr>
            </w:pPr>
            <w:r>
              <w:rPr>
                <w:color w:val="333333"/>
                <w:sz w:val="20"/>
              </w:rPr>
              <w:t>2,287</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sz w:val="20"/>
              </w:rPr>
            </w:pPr>
            <w:r>
              <w:rPr>
                <w:color w:val="333333"/>
                <w:sz w:val="20"/>
              </w:rPr>
              <w:t>8,711.5</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6,549.9</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8" w:hanging="0"/>
              <w:jc w:val="right"/>
              <w:rPr>
                <w:color w:val="333333"/>
                <w:sz w:val="20"/>
              </w:rPr>
            </w:pPr>
            <w:r>
              <w:rPr>
                <w:color w:val="333333"/>
                <w:sz w:val="20"/>
              </w:rPr>
              <w:t>6,252.5</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6" w:hanging="0"/>
              <w:jc w:val="right"/>
              <w:rPr>
                <w:color w:val="333333"/>
                <w:sz w:val="20"/>
              </w:rPr>
            </w:pPr>
            <w:r>
              <w:rPr>
                <w:color w:val="333333"/>
                <w:sz w:val="20"/>
              </w:rPr>
              <w:t>7,803.7</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Loan and Other Impairment Charges</w:t>
            </w:r>
          </w:p>
        </w:tc>
        <w:tc>
          <w:tcPr>
            <w:tcW w:w="766" w:type="dxa"/>
            <w:tcBorders>
              <w:top w:val="single" w:sz="12" w:space="0" w:color="7D878D"/>
              <w:bottom w:val="single" w:sz="12" w:space="0" w:color="7D878D"/>
            </w:tcBorders>
            <w:shd w:fill="auto" w:val="clear"/>
            <w:vAlign w:val="center"/>
          </w:tcPr>
          <w:p>
            <w:pPr>
              <w:pStyle w:val="TableContents"/>
              <w:spacing w:before="27" w:after="283"/>
              <w:ind w:left="1053" w:right="0" w:hanging="0"/>
              <w:rPr>
                <w:color w:val="333333"/>
                <w:sz w:val="20"/>
              </w:rPr>
            </w:pPr>
            <w:r>
              <w:rPr>
                <w:color w:val="333333"/>
                <w:sz w:val="20"/>
              </w:rPr>
              <w:t>491</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1,869.8</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1,219.0</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8" w:hanging="0"/>
              <w:jc w:val="right"/>
              <w:rPr>
                <w:color w:val="333333"/>
                <w:sz w:val="20"/>
              </w:rPr>
            </w:pPr>
            <w:r>
              <w:rPr>
                <w:color w:val="333333"/>
                <w:sz w:val="20"/>
              </w:rPr>
              <w:t>5,972.8</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6" w:hanging="0"/>
              <w:jc w:val="right"/>
              <w:rPr>
                <w:color w:val="333333"/>
                <w:sz w:val="20"/>
              </w:rPr>
            </w:pPr>
            <w:r>
              <w:rPr>
                <w:color w:val="333333"/>
                <w:sz w:val="20"/>
              </w:rPr>
              <w:t>1,845.2</w:t>
            </w:r>
          </w:p>
        </w:tc>
      </w:tr>
      <w:tr>
        <w:trPr/>
        <w:tc>
          <w:tcPr>
            <w:tcW w:w="2761" w:type="dxa"/>
            <w:tcBorders>
              <w:top w:val="single" w:sz="12" w:space="0" w:color="7D878D"/>
              <w:bottom w:val="single" w:sz="12" w:space="0" w:color="7D878D"/>
            </w:tcBorders>
            <w:shd w:fill="auto" w:val="clear"/>
            <w:vAlign w:val="center"/>
          </w:tcPr>
          <w:p>
            <w:pPr>
              <w:pStyle w:val="TableContents"/>
              <w:spacing w:before="25" w:after="283"/>
              <w:rPr>
                <w:color w:val="333333"/>
                <w:sz w:val="20"/>
              </w:rPr>
            </w:pPr>
            <w:r>
              <w:rPr>
                <w:color w:val="333333"/>
                <w:sz w:val="20"/>
              </w:rPr>
              <w:t>Operating Profit</w:t>
            </w:r>
          </w:p>
        </w:tc>
        <w:tc>
          <w:tcPr>
            <w:tcW w:w="766" w:type="dxa"/>
            <w:tcBorders>
              <w:top w:val="single" w:sz="12" w:space="0" w:color="7D878D"/>
              <w:bottom w:val="single" w:sz="12" w:space="0" w:color="7D878D"/>
            </w:tcBorders>
            <w:shd w:fill="auto" w:val="clear"/>
            <w:vAlign w:val="center"/>
          </w:tcPr>
          <w:p>
            <w:pPr>
              <w:pStyle w:val="TableContents"/>
              <w:spacing w:before="25" w:after="283"/>
              <w:ind w:left="926" w:right="0" w:hanging="0"/>
              <w:rPr>
                <w:color w:val="333333"/>
                <w:sz w:val="20"/>
              </w:rPr>
            </w:pPr>
            <w:r>
              <w:rPr>
                <w:color w:val="333333"/>
                <w:sz w:val="20"/>
              </w:rPr>
              <w:t>1,796</w:t>
            </w:r>
          </w:p>
        </w:tc>
        <w:tc>
          <w:tcPr>
            <w:tcW w:w="1662" w:type="dxa"/>
            <w:tcBorders>
              <w:top w:val="single" w:sz="12" w:space="0" w:color="7D878D"/>
              <w:bottom w:val="single" w:sz="12" w:space="0" w:color="7D878D"/>
            </w:tcBorders>
            <w:shd w:fill="auto" w:val="clear"/>
            <w:vAlign w:val="center"/>
          </w:tcPr>
          <w:p>
            <w:pPr>
              <w:pStyle w:val="TableContents"/>
              <w:spacing w:before="25" w:after="283"/>
              <w:jc w:val="right"/>
              <w:rPr>
                <w:color w:val="333333"/>
                <w:sz w:val="20"/>
              </w:rPr>
            </w:pPr>
            <w:r>
              <w:rPr>
                <w:color w:val="333333"/>
                <w:sz w:val="20"/>
              </w:rPr>
              <w:t>6,841.7</w:t>
            </w:r>
          </w:p>
        </w:tc>
        <w:tc>
          <w:tcPr>
            <w:tcW w:w="1661" w:type="dxa"/>
            <w:tcBorders>
              <w:top w:val="single" w:sz="12" w:space="0" w:color="7D878D"/>
              <w:bottom w:val="single" w:sz="12" w:space="0" w:color="7D878D"/>
            </w:tcBorders>
            <w:shd w:fill="auto" w:val="clear"/>
            <w:vAlign w:val="center"/>
          </w:tcPr>
          <w:p>
            <w:pPr>
              <w:pStyle w:val="TableContents"/>
              <w:spacing w:before="25" w:after="283"/>
              <w:ind w:left="0" w:right="299" w:hanging="0"/>
              <w:jc w:val="right"/>
              <w:rPr>
                <w:color w:val="333333"/>
                <w:sz w:val="20"/>
              </w:rPr>
            </w:pPr>
            <w:r>
              <w:rPr>
                <w:color w:val="333333"/>
                <w:sz w:val="20"/>
              </w:rPr>
              <w:t>5,330.9</w:t>
            </w:r>
          </w:p>
        </w:tc>
        <w:tc>
          <w:tcPr>
            <w:tcW w:w="1661" w:type="dxa"/>
            <w:tcBorders>
              <w:top w:val="single" w:sz="12" w:space="0" w:color="7D878D"/>
              <w:bottom w:val="single" w:sz="12" w:space="0" w:color="7D878D"/>
            </w:tcBorders>
            <w:shd w:fill="auto" w:val="clear"/>
            <w:vAlign w:val="center"/>
          </w:tcPr>
          <w:p>
            <w:pPr>
              <w:pStyle w:val="TableContents"/>
              <w:spacing w:before="25" w:after="283"/>
              <w:ind w:left="0" w:right="298" w:hanging="0"/>
              <w:jc w:val="right"/>
              <w:rPr>
                <w:color w:val="333333"/>
                <w:sz w:val="20"/>
              </w:rPr>
            </w:pPr>
            <w:r>
              <w:rPr>
                <w:color w:val="333333"/>
                <w:sz w:val="20"/>
              </w:rPr>
              <w:t>279.7</w:t>
            </w:r>
          </w:p>
        </w:tc>
        <w:tc>
          <w:tcPr>
            <w:tcW w:w="1694" w:type="dxa"/>
            <w:tcBorders>
              <w:top w:val="single" w:sz="12" w:space="0" w:color="7D878D"/>
              <w:bottom w:val="single" w:sz="12" w:space="0" w:color="7D878D"/>
            </w:tcBorders>
            <w:shd w:fill="auto" w:val="clear"/>
            <w:vAlign w:val="center"/>
          </w:tcPr>
          <w:p>
            <w:pPr>
              <w:pStyle w:val="TableContents"/>
              <w:spacing w:before="25" w:after="283"/>
              <w:ind w:left="0" w:right="46" w:hanging="0"/>
              <w:jc w:val="right"/>
              <w:rPr>
                <w:color w:val="333333"/>
                <w:sz w:val="20"/>
              </w:rPr>
            </w:pPr>
            <w:r>
              <w:rPr>
                <w:color w:val="333333"/>
                <w:sz w:val="20"/>
              </w:rPr>
              <w:t>5,958.5</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Other Non-Operating Items (Net)</w:t>
            </w:r>
          </w:p>
        </w:tc>
        <w:tc>
          <w:tcPr>
            <w:tcW w:w="766" w:type="dxa"/>
            <w:tcBorders>
              <w:top w:val="single" w:sz="12" w:space="0" w:color="7D878D"/>
              <w:bottom w:val="single" w:sz="12" w:space="0" w:color="7D878D"/>
            </w:tcBorders>
            <w:shd w:fill="auto" w:val="clear"/>
            <w:vAlign w:val="center"/>
          </w:tcPr>
          <w:p>
            <w:pPr>
              <w:pStyle w:val="TableContents"/>
              <w:spacing w:before="27" w:after="283"/>
              <w:ind w:left="0" w:right="455" w:hanging="0"/>
              <w:jc w:val="right"/>
              <w:rPr>
                <w:color w:val="333333"/>
                <w:sz w:val="20"/>
              </w:rPr>
            </w:pPr>
            <w:r>
              <w:rPr>
                <w:color w:val="333333"/>
                <w:sz w:val="20"/>
              </w:rPr>
              <w:t>4</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14.2</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1.9</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8" w:hanging="0"/>
              <w:jc w:val="right"/>
              <w:rPr>
                <w:color w:val="333333"/>
                <w:sz w:val="20"/>
              </w:rPr>
            </w:pPr>
            <w:r>
              <w:rPr>
                <w:color w:val="333333"/>
                <w:sz w:val="20"/>
              </w:rPr>
              <w:t>-55.5</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6" w:hanging="0"/>
              <w:jc w:val="right"/>
              <w:rPr>
                <w:color w:val="333333"/>
                <w:sz w:val="20"/>
              </w:rPr>
            </w:pPr>
            <w:r>
              <w:rPr>
                <w:color w:val="333333"/>
                <w:sz w:val="20"/>
              </w:rPr>
              <w:t>16.9</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Tax</w:t>
            </w:r>
          </w:p>
        </w:tc>
        <w:tc>
          <w:tcPr>
            <w:tcW w:w="766" w:type="dxa"/>
            <w:tcBorders>
              <w:top w:val="single" w:sz="12" w:space="0" w:color="7D878D"/>
              <w:bottom w:val="single" w:sz="12" w:space="0" w:color="7D878D"/>
            </w:tcBorders>
            <w:shd w:fill="auto" w:val="clear"/>
            <w:vAlign w:val="center"/>
          </w:tcPr>
          <w:p>
            <w:pPr>
              <w:pStyle w:val="TableContents"/>
              <w:spacing w:before="24" w:after="283"/>
              <w:ind w:left="1053" w:right="0" w:hanging="0"/>
              <w:rPr>
                <w:color w:val="333333"/>
                <w:sz w:val="20"/>
              </w:rPr>
            </w:pPr>
            <w:r>
              <w:rPr>
                <w:color w:val="333333"/>
                <w:sz w:val="20"/>
              </w:rPr>
              <w:t>554</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sz w:val="20"/>
              </w:rPr>
            </w:pPr>
            <w:r>
              <w:rPr>
                <w:color w:val="333333"/>
                <w:sz w:val="20"/>
              </w:rPr>
              <w:t>2,110.5</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1,661.0</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8" w:hanging="0"/>
              <w:jc w:val="right"/>
              <w:rPr>
                <w:color w:val="333333"/>
                <w:sz w:val="20"/>
              </w:rPr>
            </w:pPr>
            <w:r>
              <w:rPr>
                <w:color w:val="333333"/>
                <w:sz w:val="20"/>
              </w:rPr>
              <w:t>-109.9</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6" w:hanging="0"/>
              <w:jc w:val="right"/>
              <w:rPr>
                <w:color w:val="333333"/>
                <w:sz w:val="20"/>
              </w:rPr>
            </w:pPr>
            <w:r>
              <w:rPr>
                <w:color w:val="333333"/>
                <w:sz w:val="20"/>
              </w:rPr>
              <w:t>1,623.1</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Net Income</w:t>
            </w:r>
          </w:p>
        </w:tc>
        <w:tc>
          <w:tcPr>
            <w:tcW w:w="766" w:type="dxa"/>
            <w:tcBorders>
              <w:top w:val="single" w:sz="12" w:space="0" w:color="7D878D"/>
              <w:bottom w:val="single" w:sz="12" w:space="0" w:color="7D878D"/>
            </w:tcBorders>
            <w:shd w:fill="auto" w:val="clear"/>
            <w:vAlign w:val="center"/>
          </w:tcPr>
          <w:p>
            <w:pPr>
              <w:pStyle w:val="TableContents"/>
              <w:spacing w:before="27" w:after="283"/>
              <w:ind w:left="926" w:right="0" w:hanging="0"/>
              <w:rPr>
                <w:color w:val="333333"/>
                <w:sz w:val="20"/>
              </w:rPr>
            </w:pPr>
            <w:r>
              <w:rPr>
                <w:color w:val="333333"/>
                <w:sz w:val="20"/>
              </w:rPr>
              <w:t>1,246</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4,745.4</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3,671.8</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8" w:hanging="0"/>
              <w:jc w:val="right"/>
              <w:rPr>
                <w:color w:val="333333"/>
                <w:sz w:val="20"/>
              </w:rPr>
            </w:pPr>
            <w:r>
              <w:rPr>
                <w:color w:val="333333"/>
                <w:sz w:val="20"/>
              </w:rPr>
              <w:t>334.1</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6" w:hanging="0"/>
              <w:jc w:val="right"/>
              <w:rPr>
                <w:color w:val="333333"/>
                <w:sz w:val="20"/>
              </w:rPr>
            </w:pPr>
            <w:r>
              <w:rPr>
                <w:color w:val="333333"/>
                <w:sz w:val="20"/>
              </w:rPr>
              <w:t>4,352.3</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Other Comprehensive Income</w:t>
            </w:r>
          </w:p>
        </w:tc>
        <w:tc>
          <w:tcPr>
            <w:tcW w:w="766" w:type="dxa"/>
            <w:tcBorders>
              <w:top w:val="single" w:sz="12" w:space="0" w:color="7D878D"/>
              <w:bottom w:val="single" w:sz="12" w:space="0" w:color="7D878D"/>
            </w:tcBorders>
            <w:shd w:fill="auto" w:val="clear"/>
            <w:vAlign w:val="center"/>
          </w:tcPr>
          <w:p>
            <w:pPr>
              <w:pStyle w:val="TableContents"/>
              <w:spacing w:before="24" w:after="283"/>
              <w:ind w:left="998" w:right="0" w:hanging="0"/>
              <w:rPr>
                <w:color w:val="333333"/>
                <w:sz w:val="20"/>
              </w:rPr>
            </w:pPr>
            <w:r>
              <w:rPr>
                <w:color w:val="333333"/>
                <w:sz w:val="20"/>
              </w:rPr>
              <w:t>-234</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sz w:val="20"/>
              </w:rPr>
            </w:pPr>
            <w:r>
              <w:rPr>
                <w:color w:val="333333"/>
                <w:sz w:val="20"/>
              </w:rPr>
              <w:t>-891.0</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-1,660.0</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8" w:hanging="0"/>
              <w:jc w:val="right"/>
              <w:rPr>
                <w:color w:val="333333"/>
                <w:sz w:val="20"/>
              </w:rPr>
            </w:pPr>
            <w:r>
              <w:rPr>
                <w:color w:val="333333"/>
                <w:sz w:val="20"/>
              </w:rPr>
              <w:t>787.0</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6" w:hanging="0"/>
              <w:jc w:val="right"/>
              <w:rPr>
                <w:color w:val="333333"/>
                <w:sz w:val="20"/>
              </w:rPr>
            </w:pPr>
            <w:r>
              <w:rPr>
                <w:color w:val="333333"/>
                <w:sz w:val="20"/>
              </w:rPr>
              <w:t>387.7</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Fitch Comprehensive Income</w:t>
            </w:r>
          </w:p>
        </w:tc>
        <w:tc>
          <w:tcPr>
            <w:tcW w:w="766" w:type="dxa"/>
            <w:tcBorders>
              <w:top w:val="single" w:sz="12" w:space="0" w:color="7D878D"/>
              <w:bottom w:val="single" w:sz="12" w:space="0" w:color="7D878D"/>
            </w:tcBorders>
            <w:shd w:fill="auto" w:val="clear"/>
            <w:vAlign w:val="center"/>
          </w:tcPr>
          <w:p>
            <w:pPr>
              <w:pStyle w:val="TableContents"/>
              <w:spacing w:before="27" w:after="283"/>
              <w:ind w:left="926" w:right="0" w:hanging="0"/>
              <w:rPr>
                <w:color w:val="333333"/>
                <w:sz w:val="20"/>
              </w:rPr>
            </w:pPr>
            <w:r>
              <w:rPr>
                <w:color w:val="333333"/>
                <w:sz w:val="20"/>
              </w:rPr>
              <w:t>1,012</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3,854.4</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2,011.8</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8" w:hanging="0"/>
              <w:jc w:val="right"/>
              <w:rPr>
                <w:color w:val="333333"/>
                <w:sz w:val="20"/>
              </w:rPr>
            </w:pPr>
            <w:r>
              <w:rPr>
                <w:color w:val="333333"/>
                <w:sz w:val="20"/>
              </w:rPr>
              <w:t>1,121.1</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6" w:hanging="0"/>
              <w:jc w:val="right"/>
              <w:rPr>
                <w:color w:val="333333"/>
                <w:sz w:val="20"/>
              </w:rPr>
            </w:pPr>
            <w:r>
              <w:rPr>
                <w:color w:val="333333"/>
                <w:sz w:val="20"/>
              </w:rPr>
              <w:t>4,740.0</w:t>
            </w:r>
          </w:p>
        </w:tc>
      </w:tr>
      <w:tr>
        <w:trPr/>
        <w:tc>
          <w:tcPr>
            <w:tcW w:w="2761" w:type="dxa"/>
            <w:tcBorders>
              <w:top w:val="single" w:sz="12" w:space="0" w:color="7D878D"/>
              <w:bottom w:val="single" w:sz="12" w:space="0" w:color="7D878D"/>
            </w:tcBorders>
            <w:shd w:fill="auto" w:val="clear"/>
            <w:vAlign w:val="center"/>
          </w:tcPr>
          <w:p>
            <w:pPr>
              <w:pStyle w:val="TableContents"/>
              <w:spacing w:before="36" w:after="283"/>
              <w:rPr>
                <w:b/>
                <w:color w:val="333333"/>
                <w:sz w:val="20"/>
              </w:rPr>
            </w:pPr>
            <w:r>
              <w:rPr>
                <w:b/>
                <w:color w:val="333333"/>
                <w:sz w:val="20"/>
              </w:rPr>
              <w:t>Summary Balance Sheet</w:t>
            </w:r>
          </w:p>
        </w:tc>
        <w:tc>
          <w:tcPr>
            <w:tcW w:w="766"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62"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61"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61"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94" w:type="dxa"/>
            <w:tcBorders>
              <w:top w:val="single" w:sz="12" w:space="0" w:color="7D878D"/>
              <w:bottom w:val="single" w:sz="12" w:space="0" w:color="7D878D"/>
            </w:tcBorders>
            <w:shd w:fill="auto" w:val="clear"/>
            <w:vAlign w:val="center"/>
          </w:tcPr>
          <w:p>
            <w:pPr>
              <w:pStyle w:val="TableContents"/>
              <w:spacing w:before="0" w:after="283"/>
              <w:rPr/>
            </w:pPr>
            <w:r>
              <w:rPr/>
              <w:t> </w:t>
            </w:r>
          </w:p>
        </w:tc>
      </w:tr>
      <w:tr>
        <w:trPr/>
        <w:tc>
          <w:tcPr>
            <w:tcW w:w="2761" w:type="dxa"/>
            <w:tcBorders>
              <w:top w:val="single" w:sz="12" w:space="0" w:color="7D878D"/>
              <w:bottom w:val="single" w:sz="12" w:space="0" w:color="7D878D"/>
            </w:tcBorders>
            <w:shd w:fill="auto" w:val="clear"/>
            <w:vAlign w:val="center"/>
          </w:tcPr>
          <w:p>
            <w:pPr>
              <w:pStyle w:val="TableContents"/>
              <w:spacing w:before="38" w:after="283"/>
              <w:rPr>
                <w:b/>
                <w:color w:val="333333"/>
                <w:sz w:val="20"/>
              </w:rPr>
            </w:pPr>
            <w:r>
              <w:rPr>
                <w:b/>
                <w:color w:val="333333"/>
                <w:sz w:val="20"/>
              </w:rPr>
              <w:t>Assets</w:t>
            </w:r>
          </w:p>
        </w:tc>
        <w:tc>
          <w:tcPr>
            <w:tcW w:w="766"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62"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61"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61"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94" w:type="dxa"/>
            <w:tcBorders>
              <w:top w:val="single" w:sz="12" w:space="0" w:color="7D878D"/>
              <w:bottom w:val="single" w:sz="12" w:space="0" w:color="7D878D"/>
            </w:tcBorders>
            <w:shd w:fill="auto" w:val="clear"/>
            <w:vAlign w:val="center"/>
          </w:tcPr>
          <w:p>
            <w:pPr>
              <w:pStyle w:val="TableContents"/>
              <w:spacing w:before="0" w:after="283"/>
              <w:rPr/>
            </w:pPr>
            <w:r>
              <w:rPr/>
              <w:t> </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Gross Loans</w:t>
            </w:r>
          </w:p>
        </w:tc>
        <w:tc>
          <w:tcPr>
            <w:tcW w:w="766" w:type="dxa"/>
            <w:tcBorders>
              <w:top w:val="single" w:sz="12" w:space="0" w:color="7D878D"/>
              <w:bottom w:val="single" w:sz="12" w:space="0" w:color="7D878D"/>
            </w:tcBorders>
            <w:shd w:fill="auto" w:val="clear"/>
            <w:vAlign w:val="center"/>
          </w:tcPr>
          <w:p>
            <w:pPr>
              <w:pStyle w:val="TableContents"/>
              <w:spacing w:before="24" w:after="283"/>
              <w:ind w:left="835" w:right="0" w:hanging="0"/>
              <w:rPr>
                <w:color w:val="333333"/>
                <w:sz w:val="20"/>
              </w:rPr>
            </w:pPr>
            <w:r>
              <w:rPr>
                <w:color w:val="333333"/>
                <w:sz w:val="20"/>
              </w:rPr>
              <w:t>39,020</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sz w:val="20"/>
              </w:rPr>
            </w:pPr>
            <w:r>
              <w:rPr>
                <w:color w:val="333333"/>
                <w:sz w:val="20"/>
              </w:rPr>
              <w:t>148,626.4</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147,597.4</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137,659.9</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7" w:hanging="0"/>
              <w:jc w:val="right"/>
              <w:rPr>
                <w:color w:val="333333"/>
                <w:sz w:val="20"/>
              </w:rPr>
            </w:pPr>
            <w:r>
              <w:rPr>
                <w:color w:val="333333"/>
                <w:sz w:val="20"/>
              </w:rPr>
              <w:t>115,609.7</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 of which impaired</w:t>
            </w:r>
          </w:p>
        </w:tc>
        <w:tc>
          <w:tcPr>
            <w:tcW w:w="766" w:type="dxa"/>
            <w:tcBorders>
              <w:top w:val="single" w:sz="12" w:space="0" w:color="7D878D"/>
              <w:bottom w:val="single" w:sz="12" w:space="0" w:color="7D878D"/>
            </w:tcBorders>
            <w:shd w:fill="auto" w:val="clear"/>
            <w:vAlign w:val="center"/>
          </w:tcPr>
          <w:p>
            <w:pPr>
              <w:pStyle w:val="TableContents"/>
              <w:spacing w:before="27" w:after="283"/>
              <w:ind w:left="926" w:right="0" w:hanging="0"/>
              <w:rPr>
                <w:color w:val="333333"/>
                <w:sz w:val="20"/>
              </w:rPr>
            </w:pPr>
            <w:r>
              <w:rPr>
                <w:color w:val="333333"/>
                <w:sz w:val="20"/>
              </w:rPr>
              <w:t>1,213</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4,620.5</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4,208.9</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8" w:hanging="0"/>
              <w:jc w:val="right"/>
              <w:rPr>
                <w:color w:val="333333"/>
                <w:sz w:val="20"/>
              </w:rPr>
            </w:pPr>
            <w:r>
              <w:rPr>
                <w:color w:val="333333"/>
                <w:sz w:val="20"/>
              </w:rPr>
              <w:t>3,833.8</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6" w:hanging="0"/>
              <w:jc w:val="right"/>
              <w:rPr>
                <w:color w:val="333333"/>
                <w:sz w:val="20"/>
              </w:rPr>
            </w:pPr>
            <w:r>
              <w:rPr>
                <w:color w:val="333333"/>
                <w:sz w:val="20"/>
              </w:rPr>
              <w:t>2,479.9</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Loan Loss Allowances</w:t>
            </w:r>
          </w:p>
        </w:tc>
        <w:tc>
          <w:tcPr>
            <w:tcW w:w="766" w:type="dxa"/>
            <w:tcBorders>
              <w:top w:val="single" w:sz="12" w:space="0" w:color="7D878D"/>
              <w:bottom w:val="single" w:sz="12" w:space="0" w:color="7D878D"/>
            </w:tcBorders>
            <w:shd w:fill="auto" w:val="clear"/>
            <w:vAlign w:val="center"/>
          </w:tcPr>
          <w:p>
            <w:pPr>
              <w:pStyle w:val="TableContents"/>
              <w:spacing w:before="24" w:after="283"/>
              <w:ind w:left="926" w:right="0" w:hanging="0"/>
              <w:rPr>
                <w:color w:val="333333"/>
                <w:sz w:val="20"/>
              </w:rPr>
            </w:pPr>
            <w:r>
              <w:rPr>
                <w:color w:val="333333"/>
                <w:sz w:val="20"/>
              </w:rPr>
              <w:t>2,067</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sz w:val="20"/>
              </w:rPr>
            </w:pPr>
            <w:r>
              <w:rPr>
                <w:color w:val="333333"/>
                <w:sz w:val="20"/>
              </w:rPr>
              <w:t>7,872.4</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8,477.3</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8" w:hanging="0"/>
              <w:jc w:val="right"/>
              <w:rPr>
                <w:color w:val="333333"/>
                <w:sz w:val="20"/>
              </w:rPr>
            </w:pPr>
            <w:r>
              <w:rPr>
                <w:color w:val="333333"/>
                <w:sz w:val="20"/>
              </w:rPr>
              <w:t>9,898.8</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6" w:hanging="0"/>
              <w:jc w:val="right"/>
              <w:rPr>
                <w:color w:val="333333"/>
                <w:sz w:val="20"/>
              </w:rPr>
            </w:pPr>
            <w:r>
              <w:rPr>
                <w:color w:val="333333"/>
                <w:sz w:val="20"/>
              </w:rPr>
              <w:t>5,124.0</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Net Loan</w:t>
            </w:r>
          </w:p>
        </w:tc>
        <w:tc>
          <w:tcPr>
            <w:tcW w:w="766" w:type="dxa"/>
            <w:tcBorders>
              <w:top w:val="single" w:sz="12" w:space="0" w:color="7D878D"/>
              <w:bottom w:val="single" w:sz="12" w:space="0" w:color="7D878D"/>
            </w:tcBorders>
            <w:shd w:fill="auto" w:val="clear"/>
            <w:vAlign w:val="center"/>
          </w:tcPr>
          <w:p>
            <w:pPr>
              <w:pStyle w:val="TableContents"/>
              <w:spacing w:before="27" w:after="283"/>
              <w:ind w:left="835" w:right="0" w:hanging="0"/>
              <w:rPr>
                <w:color w:val="333333"/>
                <w:sz w:val="20"/>
              </w:rPr>
            </w:pPr>
            <w:r>
              <w:rPr>
                <w:color w:val="333333"/>
                <w:sz w:val="20"/>
              </w:rPr>
              <w:t>36,953</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140,754.0</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139,120.1</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127,761.1</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7" w:hanging="0"/>
              <w:jc w:val="right"/>
              <w:rPr>
                <w:color w:val="333333"/>
                <w:sz w:val="20"/>
              </w:rPr>
            </w:pPr>
            <w:r>
              <w:rPr>
                <w:color w:val="333333"/>
                <w:sz w:val="20"/>
              </w:rPr>
              <w:t>110,485.7</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Interbank</w:t>
            </w:r>
          </w:p>
        </w:tc>
        <w:tc>
          <w:tcPr>
            <w:tcW w:w="766" w:type="dxa"/>
            <w:tcBorders>
              <w:top w:val="single" w:sz="12" w:space="0" w:color="7D878D"/>
              <w:bottom w:val="single" w:sz="12" w:space="0" w:color="7D878D"/>
            </w:tcBorders>
            <w:shd w:fill="auto" w:val="clear"/>
            <w:vAlign w:val="center"/>
          </w:tcPr>
          <w:p>
            <w:pPr>
              <w:pStyle w:val="TableContents"/>
              <w:spacing w:before="24" w:after="283"/>
              <w:ind w:left="926" w:right="0" w:hanging="0"/>
              <w:rPr>
                <w:color w:val="333333"/>
                <w:sz w:val="20"/>
              </w:rPr>
            </w:pPr>
            <w:r>
              <w:rPr>
                <w:color w:val="333333"/>
                <w:sz w:val="20"/>
              </w:rPr>
              <w:t>1,035</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sz w:val="20"/>
              </w:rPr>
            </w:pPr>
            <w:r>
              <w:rPr>
                <w:color w:val="333333"/>
                <w:sz w:val="20"/>
              </w:rPr>
              <w:t>3,942.9</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8,047.6</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8" w:hanging="0"/>
              <w:jc w:val="right"/>
              <w:rPr>
                <w:color w:val="333333"/>
                <w:sz w:val="20"/>
              </w:rPr>
            </w:pPr>
            <w:r>
              <w:rPr>
                <w:color w:val="333333"/>
                <w:sz w:val="20"/>
              </w:rPr>
              <w:t>4,410.9</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6" w:hanging="0"/>
              <w:jc w:val="right"/>
              <w:rPr>
                <w:color w:val="333333"/>
                <w:sz w:val="20"/>
              </w:rPr>
            </w:pPr>
            <w:r>
              <w:rPr>
                <w:color w:val="333333"/>
                <w:sz w:val="20"/>
              </w:rPr>
              <w:t>2,036.1</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Derivatives</w:t>
            </w:r>
          </w:p>
        </w:tc>
        <w:tc>
          <w:tcPr>
            <w:tcW w:w="766" w:type="dxa"/>
            <w:tcBorders>
              <w:top w:val="single" w:sz="12" w:space="0" w:color="7D878D"/>
              <w:bottom w:val="single" w:sz="12" w:space="0" w:color="7D878D"/>
            </w:tcBorders>
            <w:shd w:fill="auto" w:val="clear"/>
            <w:vAlign w:val="center"/>
          </w:tcPr>
          <w:p>
            <w:pPr>
              <w:pStyle w:val="TableContents"/>
              <w:spacing w:before="27" w:after="283"/>
              <w:ind w:left="1053" w:right="0" w:hanging="0"/>
              <w:rPr>
                <w:color w:val="333333"/>
                <w:sz w:val="20"/>
              </w:rPr>
            </w:pPr>
            <w:r>
              <w:rPr>
                <w:color w:val="333333"/>
                <w:sz w:val="20"/>
              </w:rPr>
              <w:t>388</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1,478.7</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1,661.6</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8" w:hanging="0"/>
              <w:jc w:val="right"/>
              <w:rPr>
                <w:color w:val="333333"/>
                <w:sz w:val="20"/>
              </w:rPr>
            </w:pPr>
            <w:r>
              <w:rPr>
                <w:color w:val="333333"/>
                <w:sz w:val="20"/>
              </w:rPr>
              <w:t>1,214.5</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6" w:hanging="0"/>
              <w:jc w:val="right"/>
              <w:rPr>
                <w:color w:val="333333"/>
                <w:sz w:val="20"/>
              </w:rPr>
            </w:pPr>
            <w:r>
              <w:rPr>
                <w:color w:val="333333"/>
                <w:sz w:val="20"/>
              </w:rPr>
              <w:t>1,092.1</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Other Securities and Earning Assets</w:t>
            </w:r>
          </w:p>
        </w:tc>
        <w:tc>
          <w:tcPr>
            <w:tcW w:w="766" w:type="dxa"/>
            <w:tcBorders>
              <w:top w:val="single" w:sz="12" w:space="0" w:color="7D878D"/>
              <w:bottom w:val="single" w:sz="12" w:space="0" w:color="7D878D"/>
            </w:tcBorders>
            <w:shd w:fill="auto" w:val="clear"/>
            <w:vAlign w:val="center"/>
          </w:tcPr>
          <w:p>
            <w:pPr>
              <w:pStyle w:val="TableContents"/>
              <w:spacing w:before="24" w:after="283"/>
              <w:ind w:left="835" w:right="0" w:hanging="0"/>
              <w:rPr>
                <w:color w:val="333333"/>
                <w:sz w:val="20"/>
              </w:rPr>
            </w:pPr>
            <w:r>
              <w:rPr>
                <w:color w:val="333333"/>
                <w:sz w:val="20"/>
              </w:rPr>
              <w:t>13,284</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sz w:val="20"/>
              </w:rPr>
            </w:pPr>
            <w:r>
              <w:rPr>
                <w:color w:val="333333"/>
                <w:sz w:val="20"/>
              </w:rPr>
              <w:t>50,597.3</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53,860.8</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8" w:hanging="0"/>
              <w:jc w:val="right"/>
              <w:rPr>
                <w:color w:val="333333"/>
                <w:sz w:val="20"/>
              </w:rPr>
            </w:pPr>
            <w:r>
              <w:rPr>
                <w:color w:val="333333"/>
                <w:sz w:val="20"/>
              </w:rPr>
              <w:t>59,593.3</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6" w:hanging="0"/>
              <w:jc w:val="right"/>
              <w:rPr>
                <w:color w:val="333333"/>
                <w:sz w:val="20"/>
              </w:rPr>
            </w:pPr>
            <w:r>
              <w:rPr>
                <w:color w:val="333333"/>
                <w:sz w:val="20"/>
              </w:rPr>
              <w:t>37,760.5</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Total Earning Assets</w:t>
            </w:r>
          </w:p>
        </w:tc>
        <w:tc>
          <w:tcPr>
            <w:tcW w:w="766" w:type="dxa"/>
            <w:tcBorders>
              <w:top w:val="single" w:sz="12" w:space="0" w:color="7D878D"/>
              <w:bottom w:val="single" w:sz="12" w:space="0" w:color="7D878D"/>
            </w:tcBorders>
            <w:shd w:fill="auto" w:val="clear"/>
            <w:vAlign w:val="center"/>
          </w:tcPr>
          <w:p>
            <w:pPr>
              <w:pStyle w:val="TableContents"/>
              <w:spacing w:before="27" w:after="283"/>
              <w:ind w:left="835" w:right="0" w:hanging="0"/>
              <w:rPr>
                <w:color w:val="333333"/>
                <w:sz w:val="20"/>
              </w:rPr>
            </w:pPr>
            <w:r>
              <w:rPr>
                <w:color w:val="333333"/>
                <w:sz w:val="20"/>
              </w:rPr>
              <w:t>51,660</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196,772.9</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202,690.1</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192,979.8</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7" w:hanging="0"/>
              <w:jc w:val="right"/>
              <w:rPr>
                <w:color w:val="333333"/>
                <w:sz w:val="20"/>
              </w:rPr>
            </w:pPr>
            <w:r>
              <w:rPr>
                <w:color w:val="333333"/>
                <w:sz w:val="20"/>
              </w:rPr>
              <w:t>151,374.4</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Cash and Due from Banks</w:t>
            </w:r>
          </w:p>
        </w:tc>
        <w:tc>
          <w:tcPr>
            <w:tcW w:w="766" w:type="dxa"/>
            <w:tcBorders>
              <w:top w:val="single" w:sz="12" w:space="0" w:color="7D878D"/>
              <w:bottom w:val="single" w:sz="12" w:space="0" w:color="7D878D"/>
            </w:tcBorders>
            <w:shd w:fill="auto" w:val="clear"/>
            <w:vAlign w:val="center"/>
          </w:tcPr>
          <w:p>
            <w:pPr>
              <w:pStyle w:val="TableContents"/>
              <w:spacing w:before="24" w:after="283"/>
              <w:ind w:left="926" w:right="0" w:hanging="0"/>
              <w:rPr>
                <w:color w:val="333333"/>
                <w:sz w:val="20"/>
              </w:rPr>
            </w:pPr>
            <w:r>
              <w:rPr>
                <w:color w:val="333333"/>
                <w:sz w:val="20"/>
              </w:rPr>
              <w:t>7,939</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rPr>
            </w:pPr>
            <w:r>
              <w:rPr>
                <w:color w:val="333333"/>
              </w:rPr>
              <w:t> </w:t>
            </w:r>
            <w:r>
              <w:rPr>
                <w:color w:val="333333"/>
                <w:sz w:val="20"/>
              </w:rPr>
              <w:t>30,241.0</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31,273.1</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8" w:hanging="0"/>
              <w:jc w:val="right"/>
              <w:rPr>
                <w:color w:val="333333"/>
                <w:sz w:val="20"/>
              </w:rPr>
            </w:pPr>
            <w:r>
              <w:rPr>
                <w:color w:val="333333"/>
                <w:sz w:val="20"/>
              </w:rPr>
              <w:t>32,342.1</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6" w:hanging="0"/>
              <w:jc w:val="right"/>
              <w:rPr>
                <w:color w:val="333333"/>
                <w:sz w:val="20"/>
              </w:rPr>
            </w:pPr>
            <w:r>
              <w:rPr>
                <w:color w:val="333333"/>
                <w:sz w:val="20"/>
              </w:rPr>
              <w:t>23,950.7</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Other Assets</w:t>
            </w:r>
          </w:p>
        </w:tc>
        <w:tc>
          <w:tcPr>
            <w:tcW w:w="766" w:type="dxa"/>
            <w:tcBorders>
              <w:top w:val="single" w:sz="12" w:space="0" w:color="7D878D"/>
              <w:bottom w:val="single" w:sz="12" w:space="0" w:color="7D878D"/>
            </w:tcBorders>
            <w:shd w:fill="auto" w:val="clear"/>
            <w:vAlign w:val="center"/>
          </w:tcPr>
          <w:p>
            <w:pPr>
              <w:pStyle w:val="TableContents"/>
              <w:spacing w:before="27" w:after="283"/>
              <w:ind w:left="926" w:right="0" w:hanging="0"/>
              <w:rPr>
                <w:color w:val="333333"/>
                <w:sz w:val="20"/>
              </w:rPr>
            </w:pPr>
            <w:r>
              <w:rPr>
                <w:color w:val="333333"/>
                <w:sz w:val="20"/>
              </w:rPr>
              <w:t>2,557</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9,739.7</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10,883.5</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8" w:hanging="0"/>
              <w:jc w:val="right"/>
              <w:rPr>
                <w:color w:val="333333"/>
                <w:sz w:val="20"/>
              </w:rPr>
            </w:pPr>
            <w:r>
              <w:rPr>
                <w:color w:val="333333"/>
                <w:sz w:val="20"/>
              </w:rPr>
              <w:t>12,084.3</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6" w:hanging="0"/>
              <w:jc w:val="right"/>
              <w:rPr>
                <w:color w:val="333333"/>
                <w:sz w:val="20"/>
              </w:rPr>
            </w:pPr>
            <w:r>
              <w:rPr>
                <w:color w:val="333333"/>
                <w:sz w:val="20"/>
              </w:rPr>
              <w:t>12,534.2</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Total Assets</w:t>
            </w:r>
          </w:p>
        </w:tc>
        <w:tc>
          <w:tcPr>
            <w:tcW w:w="766" w:type="dxa"/>
            <w:tcBorders>
              <w:top w:val="single" w:sz="12" w:space="0" w:color="7D878D"/>
              <w:bottom w:val="single" w:sz="12" w:space="0" w:color="7D878D"/>
            </w:tcBorders>
            <w:shd w:fill="auto" w:val="clear"/>
            <w:vAlign w:val="center"/>
          </w:tcPr>
          <w:p>
            <w:pPr>
              <w:pStyle w:val="TableContents"/>
              <w:spacing w:before="24" w:after="283"/>
              <w:ind w:left="835" w:right="0" w:hanging="0"/>
              <w:rPr>
                <w:color w:val="333333"/>
                <w:sz w:val="20"/>
              </w:rPr>
            </w:pPr>
            <w:r>
              <w:rPr>
                <w:color w:val="333333"/>
                <w:sz w:val="20"/>
              </w:rPr>
              <w:t>62,156</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sz w:val="20"/>
              </w:rPr>
            </w:pPr>
            <w:r>
              <w:rPr>
                <w:color w:val="333333"/>
                <w:sz w:val="20"/>
              </w:rPr>
              <w:t>236,753.6</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244,846.7</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237,406.2</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7" w:hanging="0"/>
              <w:jc w:val="right"/>
              <w:rPr>
                <w:color w:val="333333"/>
                <w:sz w:val="20"/>
              </w:rPr>
            </w:pPr>
            <w:r>
              <w:rPr>
                <w:color w:val="333333"/>
                <w:sz w:val="20"/>
              </w:rPr>
              <w:t>187,859.3</w:t>
            </w:r>
          </w:p>
        </w:tc>
      </w:tr>
      <w:tr>
        <w:trPr/>
        <w:tc>
          <w:tcPr>
            <w:tcW w:w="2761" w:type="dxa"/>
            <w:tcBorders>
              <w:top w:val="single" w:sz="12" w:space="0" w:color="7D878D"/>
              <w:bottom w:val="single" w:sz="12" w:space="0" w:color="7D878D"/>
            </w:tcBorders>
            <w:shd w:fill="auto" w:val="clear"/>
            <w:vAlign w:val="center"/>
          </w:tcPr>
          <w:p>
            <w:pPr>
              <w:pStyle w:val="TableContents"/>
              <w:spacing w:before="38" w:after="283"/>
              <w:rPr>
                <w:b/>
                <w:color w:val="333333"/>
                <w:sz w:val="20"/>
              </w:rPr>
            </w:pPr>
            <w:r>
              <w:rPr>
                <w:b/>
                <w:color w:val="333333"/>
                <w:sz w:val="20"/>
              </w:rPr>
              <w:t>Liabilities</w:t>
            </w:r>
          </w:p>
        </w:tc>
        <w:tc>
          <w:tcPr>
            <w:tcW w:w="766"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62"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61"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61"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94" w:type="dxa"/>
            <w:tcBorders>
              <w:top w:val="single" w:sz="12" w:space="0" w:color="7D878D"/>
              <w:bottom w:val="single" w:sz="12" w:space="0" w:color="7D878D"/>
            </w:tcBorders>
            <w:shd w:fill="auto" w:val="clear"/>
            <w:vAlign w:val="center"/>
          </w:tcPr>
          <w:p>
            <w:pPr>
              <w:pStyle w:val="TableContents"/>
              <w:spacing w:before="0" w:after="283"/>
              <w:rPr/>
            </w:pPr>
            <w:r>
              <w:rPr/>
              <w:t> </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Customer Deposits</w:t>
            </w:r>
          </w:p>
        </w:tc>
        <w:tc>
          <w:tcPr>
            <w:tcW w:w="766" w:type="dxa"/>
            <w:tcBorders>
              <w:top w:val="single" w:sz="12" w:space="0" w:color="7D878D"/>
              <w:bottom w:val="single" w:sz="12" w:space="0" w:color="7D878D"/>
            </w:tcBorders>
            <w:shd w:fill="auto" w:val="clear"/>
            <w:vAlign w:val="center"/>
          </w:tcPr>
          <w:p>
            <w:pPr>
              <w:pStyle w:val="TableContents"/>
              <w:spacing w:before="24" w:after="283"/>
              <w:ind w:left="835" w:right="0" w:hanging="0"/>
              <w:rPr>
                <w:color w:val="333333"/>
                <w:sz w:val="20"/>
              </w:rPr>
            </w:pPr>
            <w:r>
              <w:rPr>
                <w:color w:val="333333"/>
                <w:sz w:val="20"/>
              </w:rPr>
              <w:t>38,226</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sz w:val="20"/>
              </w:rPr>
            </w:pPr>
            <w:r>
              <w:rPr>
                <w:color w:val="333333"/>
                <w:sz w:val="20"/>
              </w:rPr>
              <w:t>145,602.0</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148,268.9</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141,162.5</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7" w:hanging="0"/>
              <w:jc w:val="right"/>
              <w:rPr>
                <w:color w:val="333333"/>
                <w:sz w:val="20"/>
              </w:rPr>
            </w:pPr>
            <w:r>
              <w:rPr>
                <w:color w:val="333333"/>
                <w:sz w:val="20"/>
              </w:rPr>
              <w:t>110,825.0</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Interbank and Other Short-Term Funding</w:t>
            </w:r>
          </w:p>
        </w:tc>
        <w:tc>
          <w:tcPr>
            <w:tcW w:w="766" w:type="dxa"/>
            <w:tcBorders>
              <w:top w:val="single" w:sz="12" w:space="0" w:color="7D878D"/>
              <w:bottom w:val="single" w:sz="12" w:space="0" w:color="7D878D"/>
            </w:tcBorders>
            <w:shd w:fill="auto" w:val="clear"/>
            <w:vAlign w:val="center"/>
          </w:tcPr>
          <w:p>
            <w:pPr>
              <w:pStyle w:val="TableContents"/>
              <w:spacing w:before="27" w:after="283"/>
              <w:ind w:left="926" w:right="0" w:hanging="0"/>
              <w:rPr>
                <w:color w:val="333333"/>
                <w:sz w:val="20"/>
              </w:rPr>
            </w:pPr>
            <w:r>
              <w:rPr>
                <w:color w:val="333333"/>
                <w:sz w:val="20"/>
              </w:rPr>
              <w:t>4,072</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15,511.1</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23,342.4</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8" w:hanging="0"/>
              <w:jc w:val="right"/>
              <w:rPr>
                <w:color w:val="333333"/>
                <w:sz w:val="20"/>
              </w:rPr>
            </w:pPr>
            <w:r>
              <w:rPr>
                <w:color w:val="333333"/>
                <w:sz w:val="20"/>
              </w:rPr>
              <w:t>29,128.0</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6" w:hanging="0"/>
              <w:jc w:val="right"/>
              <w:rPr>
                <w:color w:val="333333"/>
                <w:sz w:val="20"/>
              </w:rPr>
            </w:pPr>
            <w:r>
              <w:rPr>
                <w:color w:val="333333"/>
                <w:sz w:val="20"/>
              </w:rPr>
              <w:t>9,064.5</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Other Long-Term Funding</w:t>
            </w:r>
          </w:p>
        </w:tc>
        <w:tc>
          <w:tcPr>
            <w:tcW w:w="766" w:type="dxa"/>
            <w:tcBorders>
              <w:top w:val="single" w:sz="12" w:space="0" w:color="7D878D"/>
              <w:bottom w:val="single" w:sz="12" w:space="0" w:color="7D878D"/>
            </w:tcBorders>
            <w:shd w:fill="auto" w:val="clear"/>
            <w:vAlign w:val="center"/>
          </w:tcPr>
          <w:p>
            <w:pPr>
              <w:pStyle w:val="TableContents"/>
              <w:spacing w:before="24" w:after="283"/>
              <w:ind w:left="926" w:right="0" w:hanging="0"/>
              <w:rPr>
                <w:color w:val="333333"/>
                <w:sz w:val="20"/>
              </w:rPr>
            </w:pPr>
            <w:r>
              <w:rPr>
                <w:color w:val="333333"/>
                <w:sz w:val="20"/>
              </w:rPr>
              <w:t>6,516</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sz w:val="20"/>
              </w:rPr>
            </w:pPr>
            <w:r>
              <w:rPr>
                <w:color w:val="333333"/>
                <w:sz w:val="20"/>
              </w:rPr>
              <w:t>24,818.9</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25,035.2</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8" w:hanging="0"/>
              <w:jc w:val="right"/>
              <w:rPr>
                <w:color w:val="333333"/>
                <w:sz w:val="20"/>
              </w:rPr>
            </w:pPr>
            <w:r>
              <w:rPr>
                <w:color w:val="333333"/>
                <w:sz w:val="20"/>
              </w:rPr>
              <w:t>22,296.3</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6" w:hanging="0"/>
              <w:jc w:val="right"/>
              <w:rPr>
                <w:color w:val="333333"/>
                <w:sz w:val="20"/>
              </w:rPr>
            </w:pPr>
            <w:r>
              <w:rPr>
                <w:color w:val="333333"/>
                <w:sz w:val="20"/>
              </w:rPr>
              <w:t>23,582.0</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Trading Liabilities and Derivatives</w:t>
            </w:r>
          </w:p>
        </w:tc>
        <w:tc>
          <w:tcPr>
            <w:tcW w:w="766" w:type="dxa"/>
            <w:tcBorders>
              <w:top w:val="single" w:sz="12" w:space="0" w:color="7D878D"/>
              <w:bottom w:val="single" w:sz="12" w:space="0" w:color="7D878D"/>
            </w:tcBorders>
            <w:shd w:fill="auto" w:val="clear"/>
            <w:vAlign w:val="center"/>
          </w:tcPr>
          <w:p>
            <w:pPr>
              <w:pStyle w:val="TableContents"/>
              <w:spacing w:before="27" w:after="283"/>
              <w:ind w:left="1053" w:right="0" w:hanging="0"/>
              <w:rPr>
                <w:color w:val="333333"/>
                <w:sz w:val="20"/>
              </w:rPr>
            </w:pPr>
            <w:r>
              <w:rPr>
                <w:color w:val="333333"/>
                <w:sz w:val="20"/>
              </w:rPr>
              <w:t>403</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1,536.7</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1,862.7</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8" w:hanging="0"/>
              <w:jc w:val="right"/>
              <w:rPr>
                <w:color w:val="333333"/>
                <w:sz w:val="20"/>
              </w:rPr>
            </w:pPr>
            <w:r>
              <w:rPr>
                <w:color w:val="333333"/>
                <w:sz w:val="20"/>
              </w:rPr>
              <w:t>1,766.8</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6" w:hanging="0"/>
              <w:jc w:val="right"/>
              <w:rPr>
                <w:color w:val="333333"/>
                <w:sz w:val="20"/>
              </w:rPr>
            </w:pPr>
            <w:r>
              <w:rPr>
                <w:color w:val="333333"/>
                <w:sz w:val="20"/>
              </w:rPr>
              <w:t>1,534.0</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Total Funding and Derivatives</w:t>
            </w:r>
          </w:p>
        </w:tc>
        <w:tc>
          <w:tcPr>
            <w:tcW w:w="766" w:type="dxa"/>
            <w:tcBorders>
              <w:top w:val="single" w:sz="12" w:space="0" w:color="7D878D"/>
              <w:bottom w:val="single" w:sz="12" w:space="0" w:color="7D878D"/>
            </w:tcBorders>
            <w:shd w:fill="auto" w:val="clear"/>
            <w:vAlign w:val="center"/>
          </w:tcPr>
          <w:p>
            <w:pPr>
              <w:pStyle w:val="TableContents"/>
              <w:spacing w:before="24" w:after="283"/>
              <w:ind w:left="835" w:right="0" w:hanging="0"/>
              <w:rPr>
                <w:color w:val="333333"/>
                <w:sz w:val="20"/>
              </w:rPr>
            </w:pPr>
            <w:r>
              <w:rPr>
                <w:color w:val="333333"/>
                <w:sz w:val="20"/>
              </w:rPr>
              <w:t>49,217</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sz w:val="20"/>
              </w:rPr>
            </w:pPr>
            <w:r>
              <w:rPr>
                <w:color w:val="333333"/>
                <w:sz w:val="20"/>
              </w:rPr>
              <w:t>187,468.7</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198,509.2</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194,353.6</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7" w:hanging="0"/>
              <w:jc w:val="right"/>
              <w:rPr>
                <w:color w:val="333333"/>
                <w:sz w:val="20"/>
              </w:rPr>
            </w:pPr>
            <w:r>
              <w:rPr>
                <w:color w:val="333333"/>
                <w:sz w:val="20"/>
              </w:rPr>
              <w:t>145,005.5</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Other Liabilities</w:t>
            </w:r>
          </w:p>
        </w:tc>
        <w:tc>
          <w:tcPr>
            <w:tcW w:w="766" w:type="dxa"/>
            <w:tcBorders>
              <w:top w:val="single" w:sz="12" w:space="0" w:color="7D878D"/>
              <w:bottom w:val="single" w:sz="12" w:space="0" w:color="7D878D"/>
            </w:tcBorders>
            <w:shd w:fill="auto" w:val="clear"/>
            <w:vAlign w:val="center"/>
          </w:tcPr>
          <w:p>
            <w:pPr>
              <w:pStyle w:val="TableContents"/>
              <w:spacing w:before="27" w:after="283"/>
              <w:ind w:left="926" w:right="0" w:hanging="0"/>
              <w:rPr>
                <w:color w:val="333333"/>
                <w:sz w:val="20"/>
              </w:rPr>
            </w:pPr>
            <w:r>
              <w:rPr>
                <w:color w:val="333333"/>
                <w:sz w:val="20"/>
              </w:rPr>
              <w:t>5,173</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19,705.2</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19,300.1</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8" w:hanging="0"/>
              <w:jc w:val="right"/>
              <w:rPr>
                <w:color w:val="333333"/>
                <w:sz w:val="20"/>
              </w:rPr>
            </w:pPr>
            <w:r>
              <w:rPr>
                <w:color w:val="333333"/>
                <w:sz w:val="20"/>
              </w:rPr>
              <w:t>17,607.0</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6" w:hanging="0"/>
              <w:jc w:val="right"/>
              <w:rPr>
                <w:color w:val="333333"/>
                <w:sz w:val="20"/>
              </w:rPr>
            </w:pPr>
            <w:r>
              <w:rPr>
                <w:color w:val="333333"/>
                <w:sz w:val="20"/>
              </w:rPr>
              <w:t>16,107.5</w:t>
            </w:r>
          </w:p>
        </w:tc>
      </w:tr>
      <w:tr>
        <w:trPr/>
        <w:tc>
          <w:tcPr>
            <w:tcW w:w="2761" w:type="dxa"/>
            <w:tcBorders>
              <w:top w:val="single" w:sz="12" w:space="0" w:color="7D878D"/>
              <w:bottom w:val="single" w:sz="12" w:space="0" w:color="7D878D"/>
            </w:tcBorders>
            <w:shd w:fill="auto" w:val="clear"/>
            <w:vAlign w:val="center"/>
          </w:tcPr>
          <w:p>
            <w:pPr>
              <w:pStyle w:val="TableContents"/>
              <w:spacing w:before="25" w:after="283"/>
              <w:rPr>
                <w:color w:val="333333"/>
                <w:sz w:val="20"/>
              </w:rPr>
            </w:pPr>
            <w:r>
              <w:rPr>
                <w:color w:val="333333"/>
                <w:sz w:val="20"/>
              </w:rPr>
              <w:t>Preference Shares and Hybrid Capital</w:t>
            </w:r>
          </w:p>
        </w:tc>
        <w:tc>
          <w:tcPr>
            <w:tcW w:w="766" w:type="dxa"/>
            <w:tcBorders>
              <w:top w:val="single" w:sz="12" w:space="0" w:color="7D878D"/>
              <w:bottom w:val="single" w:sz="12" w:space="0" w:color="7D878D"/>
            </w:tcBorders>
            <w:shd w:fill="auto" w:val="clear"/>
            <w:vAlign w:val="center"/>
          </w:tcPr>
          <w:p>
            <w:pPr>
              <w:pStyle w:val="TableContents"/>
              <w:spacing w:before="25" w:after="283"/>
              <w:ind w:left="1034" w:right="0" w:hanging="0"/>
              <w:rPr>
                <w:color w:val="333333"/>
                <w:sz w:val="20"/>
              </w:rPr>
            </w:pPr>
            <w:r>
              <w:rPr>
                <w:color w:val="333333"/>
                <w:sz w:val="20"/>
              </w:rPr>
              <w:t>N.A.</w:t>
            </w:r>
          </w:p>
        </w:tc>
        <w:tc>
          <w:tcPr>
            <w:tcW w:w="1662" w:type="dxa"/>
            <w:tcBorders>
              <w:top w:val="single" w:sz="12" w:space="0" w:color="7D878D"/>
              <w:bottom w:val="single" w:sz="12" w:space="0" w:color="7D878D"/>
            </w:tcBorders>
            <w:shd w:fill="auto" w:val="clear"/>
            <w:vAlign w:val="center"/>
          </w:tcPr>
          <w:p>
            <w:pPr>
              <w:pStyle w:val="TableContents"/>
              <w:spacing w:before="25" w:after="283"/>
              <w:jc w:val="right"/>
              <w:rPr>
                <w:color w:val="333333"/>
                <w:sz w:val="20"/>
              </w:rPr>
            </w:pPr>
            <w:r>
              <w:rPr>
                <w:color w:val="333333"/>
                <w:sz w:val="20"/>
              </w:rPr>
              <w:t>N.A.</w:t>
            </w:r>
          </w:p>
        </w:tc>
        <w:tc>
          <w:tcPr>
            <w:tcW w:w="1661" w:type="dxa"/>
            <w:tcBorders>
              <w:top w:val="single" w:sz="12" w:space="0" w:color="7D878D"/>
              <w:bottom w:val="single" w:sz="12" w:space="0" w:color="7D878D"/>
            </w:tcBorders>
            <w:shd w:fill="auto" w:val="clear"/>
            <w:vAlign w:val="center"/>
          </w:tcPr>
          <w:p>
            <w:pPr>
              <w:pStyle w:val="TableContents"/>
              <w:spacing w:before="25" w:after="283"/>
              <w:ind w:left="0" w:right="298" w:hanging="0"/>
              <w:jc w:val="right"/>
              <w:rPr>
                <w:color w:val="333333"/>
                <w:sz w:val="20"/>
              </w:rPr>
            </w:pPr>
            <w:r>
              <w:rPr>
                <w:color w:val="333333"/>
                <w:sz w:val="20"/>
              </w:rPr>
              <w:t>N.A.</w:t>
            </w:r>
          </w:p>
        </w:tc>
        <w:tc>
          <w:tcPr>
            <w:tcW w:w="1661" w:type="dxa"/>
            <w:tcBorders>
              <w:top w:val="single" w:sz="12" w:space="0" w:color="7D878D"/>
              <w:bottom w:val="single" w:sz="12" w:space="0" w:color="7D878D"/>
            </w:tcBorders>
            <w:shd w:fill="auto" w:val="clear"/>
            <w:vAlign w:val="center"/>
          </w:tcPr>
          <w:p>
            <w:pPr>
              <w:pStyle w:val="TableContents"/>
              <w:spacing w:before="25" w:after="283"/>
              <w:ind w:left="0" w:right="298" w:hanging="0"/>
              <w:jc w:val="right"/>
              <w:rPr>
                <w:color w:val="333333"/>
                <w:sz w:val="20"/>
              </w:rPr>
            </w:pPr>
            <w:r>
              <w:rPr>
                <w:color w:val="333333"/>
                <w:sz w:val="20"/>
              </w:rPr>
              <w:t>N.A.</w:t>
            </w:r>
          </w:p>
        </w:tc>
        <w:tc>
          <w:tcPr>
            <w:tcW w:w="1694" w:type="dxa"/>
            <w:tcBorders>
              <w:top w:val="single" w:sz="12" w:space="0" w:color="7D878D"/>
              <w:bottom w:val="single" w:sz="12" w:space="0" w:color="7D878D"/>
            </w:tcBorders>
            <w:shd w:fill="auto" w:val="clear"/>
            <w:vAlign w:val="center"/>
          </w:tcPr>
          <w:p>
            <w:pPr>
              <w:pStyle w:val="TableContents"/>
              <w:spacing w:before="25" w:after="283"/>
              <w:ind w:left="0" w:right="46" w:hanging="0"/>
              <w:jc w:val="right"/>
              <w:rPr>
                <w:color w:val="333333"/>
                <w:sz w:val="20"/>
              </w:rPr>
            </w:pPr>
            <w:r>
              <w:rPr>
                <w:color w:val="333333"/>
                <w:sz w:val="20"/>
              </w:rPr>
              <w:t>N.A.</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Total Equity</w:t>
            </w:r>
          </w:p>
        </w:tc>
        <w:tc>
          <w:tcPr>
            <w:tcW w:w="766" w:type="dxa"/>
            <w:tcBorders>
              <w:top w:val="single" w:sz="12" w:space="0" w:color="7D878D"/>
              <w:bottom w:val="single" w:sz="12" w:space="0" w:color="7D878D"/>
            </w:tcBorders>
            <w:shd w:fill="auto" w:val="clear"/>
            <w:vAlign w:val="center"/>
          </w:tcPr>
          <w:p>
            <w:pPr>
              <w:pStyle w:val="TableContents"/>
              <w:spacing w:before="27" w:after="283"/>
              <w:ind w:left="926" w:right="0" w:hanging="0"/>
              <w:rPr>
                <w:color w:val="333333"/>
                <w:sz w:val="20"/>
              </w:rPr>
            </w:pPr>
            <w:r>
              <w:rPr>
                <w:color w:val="333333"/>
                <w:sz w:val="20"/>
              </w:rPr>
              <w:t>7,766</w:t>
            </w:r>
          </w:p>
        </w:tc>
        <w:tc>
          <w:tcPr>
            <w:tcW w:w="1662" w:type="dxa"/>
            <w:tcBorders>
              <w:top w:val="single" w:sz="12" w:space="0" w:color="7D878D"/>
              <w:bottom w:val="single" w:sz="12" w:space="0" w:color="7D878D"/>
            </w:tcBorders>
            <w:shd w:fill="auto" w:val="clear"/>
            <w:vAlign w:val="center"/>
          </w:tcPr>
          <w:p>
            <w:pPr>
              <w:pStyle w:val="TableContents"/>
              <w:spacing w:before="27" w:after="283"/>
              <w:jc w:val="right"/>
              <w:rPr>
                <w:color w:val="333333"/>
                <w:sz w:val="20"/>
              </w:rPr>
            </w:pPr>
            <w:r>
              <w:rPr>
                <w:color w:val="333333"/>
                <w:sz w:val="20"/>
              </w:rPr>
              <w:t>29,579.7</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9" w:hanging="0"/>
              <w:jc w:val="right"/>
              <w:rPr>
                <w:color w:val="333333"/>
                <w:sz w:val="20"/>
              </w:rPr>
            </w:pPr>
            <w:r>
              <w:rPr>
                <w:color w:val="333333"/>
                <w:sz w:val="20"/>
              </w:rPr>
              <w:t>27,037.4</w:t>
            </w:r>
          </w:p>
        </w:tc>
        <w:tc>
          <w:tcPr>
            <w:tcW w:w="1661" w:type="dxa"/>
            <w:tcBorders>
              <w:top w:val="single" w:sz="12" w:space="0" w:color="7D878D"/>
              <w:bottom w:val="single" w:sz="12" w:space="0" w:color="7D878D"/>
            </w:tcBorders>
            <w:shd w:fill="auto" w:val="clear"/>
            <w:vAlign w:val="center"/>
          </w:tcPr>
          <w:p>
            <w:pPr>
              <w:pStyle w:val="TableContents"/>
              <w:spacing w:before="27" w:after="283"/>
              <w:ind w:left="0" w:right="298" w:hanging="0"/>
              <w:jc w:val="right"/>
              <w:rPr>
                <w:color w:val="333333"/>
                <w:sz w:val="20"/>
              </w:rPr>
            </w:pPr>
            <w:r>
              <w:rPr>
                <w:color w:val="333333"/>
                <w:sz w:val="20"/>
              </w:rPr>
              <w:t>25,445.6</w:t>
            </w:r>
          </w:p>
        </w:tc>
        <w:tc>
          <w:tcPr>
            <w:tcW w:w="1694" w:type="dxa"/>
            <w:tcBorders>
              <w:top w:val="single" w:sz="12" w:space="0" w:color="7D878D"/>
              <w:bottom w:val="single" w:sz="12" w:space="0" w:color="7D878D"/>
            </w:tcBorders>
            <w:shd w:fill="auto" w:val="clear"/>
            <w:vAlign w:val="center"/>
          </w:tcPr>
          <w:p>
            <w:pPr>
              <w:pStyle w:val="TableContents"/>
              <w:spacing w:before="27" w:after="283"/>
              <w:ind w:left="0" w:right="46" w:hanging="0"/>
              <w:jc w:val="right"/>
              <w:rPr>
                <w:color w:val="333333"/>
                <w:sz w:val="20"/>
              </w:rPr>
            </w:pPr>
            <w:r>
              <w:rPr>
                <w:color w:val="333333"/>
                <w:sz w:val="20"/>
              </w:rPr>
              <w:t>26,746.3</w:t>
            </w:r>
          </w:p>
        </w:tc>
      </w:tr>
      <w:tr>
        <w:trPr/>
        <w:tc>
          <w:tcPr>
            <w:tcW w:w="2761" w:type="dxa"/>
            <w:tcBorders>
              <w:top w:val="single" w:sz="12" w:space="0" w:color="7D878D"/>
              <w:bottom w:val="single" w:sz="12" w:space="0" w:color="7D878D"/>
            </w:tcBorders>
            <w:shd w:fill="auto" w:val="clear"/>
            <w:vAlign w:val="center"/>
          </w:tcPr>
          <w:p>
            <w:pPr>
              <w:pStyle w:val="TableContents"/>
              <w:spacing w:before="24" w:after="283"/>
              <w:rPr>
                <w:color w:val="333333"/>
                <w:sz w:val="20"/>
              </w:rPr>
            </w:pPr>
            <w:r>
              <w:rPr>
                <w:color w:val="333333"/>
                <w:sz w:val="20"/>
              </w:rPr>
              <w:t>Total Liabilities and Equity</w:t>
            </w:r>
          </w:p>
        </w:tc>
        <w:tc>
          <w:tcPr>
            <w:tcW w:w="766" w:type="dxa"/>
            <w:tcBorders>
              <w:top w:val="single" w:sz="12" w:space="0" w:color="7D878D"/>
              <w:bottom w:val="single" w:sz="12" w:space="0" w:color="7D878D"/>
            </w:tcBorders>
            <w:shd w:fill="auto" w:val="clear"/>
            <w:vAlign w:val="center"/>
          </w:tcPr>
          <w:p>
            <w:pPr>
              <w:pStyle w:val="TableContents"/>
              <w:spacing w:before="24" w:after="283"/>
              <w:ind w:left="835" w:right="0" w:hanging="0"/>
              <w:rPr>
                <w:color w:val="333333"/>
                <w:sz w:val="20"/>
              </w:rPr>
            </w:pPr>
            <w:r>
              <w:rPr>
                <w:color w:val="333333"/>
                <w:sz w:val="20"/>
              </w:rPr>
              <w:t>62,156</w:t>
            </w:r>
          </w:p>
        </w:tc>
        <w:tc>
          <w:tcPr>
            <w:tcW w:w="1662" w:type="dxa"/>
            <w:tcBorders>
              <w:top w:val="single" w:sz="12" w:space="0" w:color="7D878D"/>
              <w:bottom w:val="single" w:sz="12" w:space="0" w:color="7D878D"/>
            </w:tcBorders>
            <w:shd w:fill="auto" w:val="clear"/>
            <w:vAlign w:val="center"/>
          </w:tcPr>
          <w:p>
            <w:pPr>
              <w:pStyle w:val="TableContents"/>
              <w:spacing w:before="24" w:after="283"/>
              <w:jc w:val="right"/>
              <w:rPr>
                <w:color w:val="333333"/>
                <w:sz w:val="20"/>
              </w:rPr>
            </w:pPr>
            <w:r>
              <w:rPr>
                <w:color w:val="333333"/>
                <w:sz w:val="20"/>
              </w:rPr>
              <w:t>236,753.6</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244,846.7</w:t>
            </w:r>
          </w:p>
        </w:tc>
        <w:tc>
          <w:tcPr>
            <w:tcW w:w="1661" w:type="dxa"/>
            <w:tcBorders>
              <w:top w:val="single" w:sz="12" w:space="0" w:color="7D878D"/>
              <w:bottom w:val="single" w:sz="12" w:space="0" w:color="7D878D"/>
            </w:tcBorders>
            <w:shd w:fill="auto" w:val="clear"/>
            <w:vAlign w:val="center"/>
          </w:tcPr>
          <w:p>
            <w:pPr>
              <w:pStyle w:val="TableContents"/>
              <w:spacing w:before="24" w:after="283"/>
              <w:ind w:left="0" w:right="299" w:hanging="0"/>
              <w:jc w:val="right"/>
              <w:rPr>
                <w:color w:val="333333"/>
                <w:sz w:val="20"/>
              </w:rPr>
            </w:pPr>
            <w:r>
              <w:rPr>
                <w:color w:val="333333"/>
                <w:sz w:val="20"/>
              </w:rPr>
              <w:t>237,406.2</w:t>
            </w:r>
          </w:p>
        </w:tc>
        <w:tc>
          <w:tcPr>
            <w:tcW w:w="1694" w:type="dxa"/>
            <w:tcBorders>
              <w:top w:val="single" w:sz="12" w:space="0" w:color="7D878D"/>
              <w:bottom w:val="single" w:sz="12" w:space="0" w:color="7D878D"/>
            </w:tcBorders>
            <w:shd w:fill="auto" w:val="clear"/>
            <w:vAlign w:val="center"/>
          </w:tcPr>
          <w:p>
            <w:pPr>
              <w:pStyle w:val="TableContents"/>
              <w:spacing w:before="24" w:after="283"/>
              <w:ind w:left="0" w:right="47" w:hanging="0"/>
              <w:jc w:val="right"/>
              <w:rPr>
                <w:color w:val="333333"/>
                <w:sz w:val="20"/>
              </w:rPr>
            </w:pPr>
            <w:r>
              <w:rPr>
                <w:color w:val="333333"/>
                <w:sz w:val="20"/>
              </w:rPr>
              <w:t>187,859.3</w:t>
            </w:r>
          </w:p>
        </w:tc>
      </w:tr>
      <w:tr>
        <w:trPr/>
        <w:tc>
          <w:tcPr>
            <w:tcW w:w="2761" w:type="dxa"/>
            <w:tcBorders>
              <w:top w:val="single" w:sz="12" w:space="0" w:color="7D878D"/>
              <w:bottom w:val="single" w:sz="12" w:space="0" w:color="7D878D"/>
            </w:tcBorders>
            <w:shd w:fill="auto" w:val="clear"/>
            <w:vAlign w:val="center"/>
          </w:tcPr>
          <w:p>
            <w:pPr>
              <w:pStyle w:val="TableContents"/>
              <w:spacing w:before="27" w:after="283"/>
              <w:rPr>
                <w:color w:val="333333"/>
                <w:sz w:val="20"/>
              </w:rPr>
            </w:pPr>
            <w:r>
              <w:rPr>
                <w:color w:val="333333"/>
                <w:sz w:val="20"/>
              </w:rPr>
              <w:t>Exchange Rate</w:t>
            </w:r>
          </w:p>
        </w:tc>
        <w:tc>
          <w:tcPr>
            <w:tcW w:w="766"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62" w:type="dxa"/>
            <w:tcBorders>
              <w:top w:val="single" w:sz="12" w:space="0" w:color="7D878D"/>
              <w:bottom w:val="single" w:sz="12" w:space="0" w:color="7D878D"/>
            </w:tcBorders>
            <w:shd w:fill="auto" w:val="clear"/>
            <w:vAlign w:val="center"/>
          </w:tcPr>
          <w:p>
            <w:pPr>
              <w:pStyle w:val="TableContents"/>
              <w:spacing w:before="27" w:after="283"/>
              <w:ind w:left="150" w:right="0" w:firstLine="269"/>
              <w:rPr>
                <w:color w:val="333333"/>
                <w:sz w:val="20"/>
              </w:rPr>
            </w:pPr>
            <w:r>
              <w:rPr>
                <w:color w:val="333333"/>
                <w:sz w:val="20"/>
              </w:rPr>
              <w:t>USD1 = PEN3.8090</w:t>
            </w:r>
          </w:p>
        </w:tc>
        <w:tc>
          <w:tcPr>
            <w:tcW w:w="1661" w:type="dxa"/>
            <w:tcBorders>
              <w:top w:val="single" w:sz="12" w:space="0" w:color="7D878D"/>
              <w:bottom w:val="single" w:sz="12" w:space="0" w:color="7D878D"/>
            </w:tcBorders>
            <w:shd w:fill="auto" w:val="clear"/>
            <w:vAlign w:val="center"/>
          </w:tcPr>
          <w:p>
            <w:pPr>
              <w:pStyle w:val="TableContents"/>
              <w:spacing w:before="27" w:after="283"/>
              <w:ind w:left="605" w:right="0" w:firstLine="268"/>
              <w:rPr>
                <w:color w:val="333333"/>
                <w:sz w:val="20"/>
              </w:rPr>
            </w:pPr>
            <w:r>
              <w:rPr>
                <w:color w:val="333333"/>
                <w:sz w:val="20"/>
              </w:rPr>
              <w:t>USD1 = PEN3.9849</w:t>
            </w:r>
          </w:p>
        </w:tc>
        <w:tc>
          <w:tcPr>
            <w:tcW w:w="1661" w:type="dxa"/>
            <w:tcBorders>
              <w:top w:val="single" w:sz="12" w:space="0" w:color="7D878D"/>
              <w:bottom w:val="single" w:sz="12" w:space="0" w:color="7D878D"/>
            </w:tcBorders>
            <w:shd w:fill="auto" w:val="clear"/>
            <w:vAlign w:val="center"/>
          </w:tcPr>
          <w:p>
            <w:pPr>
              <w:pStyle w:val="TableContents"/>
              <w:spacing w:before="27" w:after="283"/>
              <w:ind w:left="304" w:right="0" w:firstLine="268"/>
              <w:rPr>
                <w:color w:val="333333"/>
                <w:sz w:val="20"/>
              </w:rPr>
            </w:pPr>
            <w:r>
              <w:rPr>
                <w:color w:val="333333"/>
                <w:sz w:val="20"/>
              </w:rPr>
              <w:t>USD1 = PEN3.6200</w:t>
            </w:r>
          </w:p>
        </w:tc>
        <w:tc>
          <w:tcPr>
            <w:tcW w:w="1694" w:type="dxa"/>
            <w:tcBorders>
              <w:top w:val="single" w:sz="12" w:space="0" w:color="7D878D"/>
              <w:bottom w:val="single" w:sz="12" w:space="0" w:color="7D878D"/>
            </w:tcBorders>
            <w:shd w:fill="auto" w:val="clear"/>
            <w:vAlign w:val="center"/>
          </w:tcPr>
          <w:p>
            <w:pPr>
              <w:pStyle w:val="TableContents"/>
              <w:spacing w:before="27" w:after="283"/>
              <w:ind w:left="304" w:right="15" w:firstLine="268"/>
              <w:rPr>
                <w:color w:val="333333"/>
                <w:sz w:val="20"/>
              </w:rPr>
            </w:pPr>
            <w:r>
              <w:rPr>
                <w:color w:val="333333"/>
                <w:sz w:val="20"/>
              </w:rPr>
              <w:t>USD1 = PEN3.3120</w:t>
            </w:r>
          </w:p>
        </w:tc>
      </w:tr>
      <w:tr>
        <w:trPr/>
        <w:tc>
          <w:tcPr>
            <w:tcW w:w="2761" w:type="dxa"/>
            <w:tcBorders>
              <w:top w:val="single" w:sz="12" w:space="0" w:color="7D878D"/>
              <w:bottom w:val="single" w:sz="12" w:space="0" w:color="7D878D"/>
            </w:tcBorders>
            <w:shd w:fill="auto" w:val="clear"/>
            <w:vAlign w:val="center"/>
          </w:tcPr>
          <w:p>
            <w:pPr>
              <w:pStyle w:val="TableContents"/>
              <w:spacing w:before="85" w:after="283"/>
              <w:rPr>
                <w:color w:val="333333"/>
                <w:sz w:val="20"/>
              </w:rPr>
            </w:pPr>
            <w:r>
              <w:rPr>
                <w:color w:val="333333"/>
                <w:sz w:val="20"/>
              </w:rPr>
              <w:t>N.A. – Not applicable</w:t>
            </w:r>
          </w:p>
          <w:p>
            <w:pPr>
              <w:pStyle w:val="TableContents"/>
              <w:spacing w:before="0" w:after="0"/>
              <w:rPr>
                <w:color w:val="333333"/>
                <w:sz w:val="20"/>
              </w:rPr>
            </w:pPr>
            <w:r>
              <w:rPr>
                <w:color w:val="333333"/>
                <w:sz w:val="20"/>
              </w:rPr>
              <w:t>Source: Fitch Ratings, Fitch Solutions</w:t>
            </w:r>
          </w:p>
        </w:tc>
        <w:tc>
          <w:tcPr>
            <w:tcW w:w="766"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62"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61"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61"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1694" w:type="dxa"/>
            <w:tcBorders>
              <w:top w:val="single" w:sz="12" w:space="0" w:color="7D878D"/>
              <w:bottom w:val="single" w:sz="12" w:space="0" w:color="7D878D"/>
            </w:tcBorders>
            <w:shd w:fill="auto" w:val="clear"/>
            <w:vAlign w:val="center"/>
          </w:tcPr>
          <w:p>
            <w:pPr>
              <w:pStyle w:val="TableContents"/>
              <w:spacing w:before="0" w:after="283"/>
              <w:rPr/>
            </w:pPr>
            <w:r>
              <w:rPr/>
              <w:t> </w:t>
            </w:r>
          </w:p>
        </w:tc>
      </w:tr>
    </w:tbl>
    <w:p>
      <w:pPr>
        <w:pStyle w:val="TextBody"/>
        <w:spacing w:before="0" w:after="0"/>
        <w:rPr>
          <w:color w:val="000000"/>
        </w:rPr>
      </w:pPr>
      <w:r>
        <w:rPr>
          <w:color w:val="000000"/>
        </w:rPr>
        <w:t> </w:t>
      </w:r>
    </w:p>
    <w:p>
      <w:pPr>
        <w:pStyle w:val="TextBody"/>
        <w:spacing w:before="0" w:after="0"/>
        <w:rPr/>
      </w:pPr>
      <w:r>
        <w:rPr>
          <w:color w:val="000000"/>
        </w:rPr>
        <w:t> </w:t>
      </w:r>
      <w:r>
        <w:rPr/>
        <w:t xml:space="preserve"> </w:t>
      </w:r>
    </w:p>
    <w:tbl>
      <w:tblPr>
        <w:tblW w:w="3940" w:type="dxa"/>
        <w:jc w:val="left"/>
        <w:tblInd w:w="0" w:type="dxa"/>
        <w:tblCellMar>
          <w:top w:w="28" w:type="dxa"/>
          <w:left w:w="0" w:type="dxa"/>
          <w:bottom w:w="0" w:type="dxa"/>
          <w:right w:w="0" w:type="dxa"/>
        </w:tblCellMar>
      </w:tblPr>
      <w:tblGrid>
        <w:gridCol w:w="2015"/>
        <w:gridCol w:w="1925"/>
      </w:tblGrid>
      <w:tr>
        <w:trPr/>
        <w:tc>
          <w:tcPr>
            <w:tcW w:w="2015" w:type="dxa"/>
            <w:tcBorders>
              <w:top w:val="single" w:sz="2" w:space="0" w:color="000000"/>
            </w:tcBorders>
            <w:shd w:fill="auto" w:val="clear"/>
            <w:vAlign w:val="center"/>
          </w:tcPr>
          <w:p>
            <w:pPr>
              <w:pStyle w:val="TableContents"/>
              <w:spacing w:before="18" w:after="283"/>
              <w:ind w:left="20" w:right="0" w:hanging="0"/>
              <w:jc w:val="left"/>
              <w:rPr>
                <w:color w:val="333333"/>
                <w:sz w:val="20"/>
              </w:rPr>
            </w:pPr>
            <w:r>
              <w:rPr>
                <w:color w:val="333333"/>
                <w:sz w:val="20"/>
              </w:rPr>
              <w:t>Credicorp Ltd.</w:t>
            </w:r>
          </w:p>
          <w:p>
            <w:pPr>
              <w:pStyle w:val="TableContents"/>
              <w:spacing w:before="0" w:after="0"/>
              <w:ind w:left="20" w:right="0" w:hanging="0"/>
              <w:jc w:val="left"/>
              <w:rPr>
                <w:color w:val="333333"/>
                <w:sz w:val="20"/>
              </w:rPr>
            </w:pPr>
            <w:r>
              <w:rPr>
                <w:color w:val="333333"/>
                <w:sz w:val="20"/>
              </w:rPr>
              <w:t>Update │ April 21, 2023</w:t>
            </w:r>
          </w:p>
        </w:tc>
        <w:tc>
          <w:tcPr>
            <w:tcW w:w="1925" w:type="dxa"/>
            <w:tcBorders>
              <w:top w:val="single" w:sz="2" w:space="0" w:color="000000"/>
            </w:tcBorders>
            <w:shd w:fill="auto" w:val="clear"/>
            <w:vAlign w:val="center"/>
          </w:tcPr>
          <w:p>
            <w:pPr>
              <w:pStyle w:val="TableContents"/>
              <w:spacing w:before="0" w:after="0"/>
              <w:ind w:left="0" w:right="0" w:hanging="0"/>
              <w:jc w:val="right"/>
              <w:rPr/>
            </w:pPr>
            <w:r>
              <w:rPr>
                <w:color w:val="333333"/>
                <w:sz w:val="20"/>
              </w:rPr>
              <w:t>fitchratings.com</w:t>
            </w:r>
            <w:r>
              <w:rPr/>
              <w:t xml:space="preserve">        </w:t>
            </w:r>
            <w:r>
              <w:rPr>
                <w:color w:val="333333"/>
                <w:sz w:val="20"/>
              </w:rPr>
              <w:t>3</w:t>
            </w:r>
          </w:p>
        </w:tc>
      </w:tr>
    </w:tbl>
    <w:p>
      <w:pPr>
        <w:pStyle w:val="HorizontalLine"/>
        <w:pBdr>
          <w:bottom w:val="single" w:sz="20" w:space="0" w:color="808080"/>
        </w:pBdr>
        <w:spacing w:before="180" w:after="180"/>
        <w:rPr/>
      </w:pPr>
      <w:r>
        <w:rPr/>
      </w:r>
    </w:p>
    <w:p>
      <w:pPr>
        <w:pStyle w:val="TextBody"/>
        <w:spacing w:before="0" w:after="0"/>
        <w:jc w:val="center"/>
        <w:rPr/>
      </w:pPr>
      <w:r>
        <w:rPr/>
        <w:drawing>
          <wp:inline distT="0" distB="0" distL="0" distR="0">
            <wp:extent cx="7743825" cy="962025"/>
            <wp:effectExtent l="0" t="0" r="0" b="0"/>
            <wp:docPr id="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 descr=""/>
                    <pic:cNvPicPr>
                      <a:picLocks noChangeAspect="1" noChangeArrowheads="1"/>
                    </pic:cNvPicPr>
                  </pic:nvPicPr>
                  <pic:blipFill>
                    <a:blip r:embed="rId6"/>
                    <a:stretch>
                      <a:fillRect/>
                    </a:stretch>
                  </pic:blipFill>
                  <pic:spPr bwMode="auto">
                    <a:xfrm>
                      <a:off x="0" y="0"/>
                      <a:ext cx="7743825" cy="962025"/>
                    </a:xfrm>
                    <a:prstGeom prst="rect">
                      <a:avLst/>
                    </a:prstGeom>
                  </pic:spPr>
                </pic:pic>
              </a:graphicData>
            </a:graphic>
          </wp:inline>
        </w:drawing>
      </w:r>
    </w:p>
    <w:p>
      <w:pPr>
        <w:pStyle w:val="TextBody"/>
        <w:spacing w:before="0" w:after="0"/>
        <w:rPr>
          <w:sz w:val="20"/>
        </w:rPr>
      </w:pPr>
      <w:r>
        <w:rPr>
          <w:sz w:val="20"/>
        </w:rPr>
      </w:r>
    </w:p>
    <w:tbl>
      <w:tblPr>
        <w:tblW w:w="6130" w:type="dxa"/>
        <w:jc w:val="left"/>
        <w:tblInd w:w="0" w:type="dxa"/>
        <w:tblCellMar>
          <w:top w:w="28" w:type="dxa"/>
          <w:left w:w="0" w:type="dxa"/>
          <w:bottom w:w="28" w:type="dxa"/>
          <w:right w:w="0" w:type="dxa"/>
        </w:tblCellMar>
      </w:tblPr>
      <w:tblGrid>
        <w:gridCol w:w="3950"/>
        <w:gridCol w:w="545"/>
        <w:gridCol w:w="545"/>
        <w:gridCol w:w="545"/>
        <w:gridCol w:w="545"/>
      </w:tblGrid>
      <w:tr>
        <w:trPr/>
        <w:tc>
          <w:tcPr>
            <w:tcW w:w="3950" w:type="dxa"/>
            <w:tcBorders>
              <w:top w:val="single" w:sz="12" w:space="0" w:color="333333"/>
              <w:bottom w:val="single" w:sz="12" w:space="0" w:color="7D878D"/>
            </w:tcBorders>
            <w:shd w:fill="auto" w:val="clear"/>
            <w:vAlign w:val="center"/>
          </w:tcPr>
          <w:p>
            <w:pPr>
              <w:pStyle w:val="TableContents"/>
              <w:spacing w:before="0" w:after="0"/>
              <w:rPr>
                <w:b/>
                <w:color w:val="333333"/>
                <w:sz w:val="20"/>
              </w:rPr>
            </w:pPr>
            <w:r>
              <w:rPr>
                <w:b/>
                <w:color w:val="333333"/>
                <w:sz w:val="20"/>
              </w:rPr>
              <w:t>Key Ratios</w:t>
            </w:r>
          </w:p>
        </w:tc>
        <w:tc>
          <w:tcPr>
            <w:tcW w:w="545" w:type="dxa"/>
            <w:tcBorders>
              <w:bottom w:val="single" w:sz="12" w:space="0" w:color="7D878D"/>
            </w:tcBorders>
            <w:shd w:fill="auto" w:val="clear"/>
            <w:tcMar>
              <w:top w:w="0" w:type="dxa"/>
            </w:tcMar>
            <w:vAlign w:val="center"/>
          </w:tcPr>
          <w:p>
            <w:pPr>
              <w:pStyle w:val="TableContents"/>
              <w:spacing w:before="0" w:after="283"/>
              <w:rPr/>
            </w:pPr>
            <w:r>
              <w:rPr/>
              <w:t> </w:t>
            </w:r>
          </w:p>
        </w:tc>
        <w:tc>
          <w:tcPr>
            <w:tcW w:w="545" w:type="dxa"/>
            <w:tcBorders>
              <w:bottom w:val="single" w:sz="12" w:space="0" w:color="7D878D"/>
            </w:tcBorders>
            <w:shd w:fill="auto" w:val="clear"/>
            <w:tcMar>
              <w:top w:w="0" w:type="dxa"/>
            </w:tcMar>
            <w:vAlign w:val="center"/>
          </w:tcPr>
          <w:p>
            <w:pPr>
              <w:pStyle w:val="TableContents"/>
              <w:spacing w:before="0" w:after="283"/>
              <w:rPr/>
            </w:pPr>
            <w:r>
              <w:rPr/>
              <w:t> </w:t>
            </w:r>
          </w:p>
        </w:tc>
        <w:tc>
          <w:tcPr>
            <w:tcW w:w="545" w:type="dxa"/>
            <w:tcBorders>
              <w:bottom w:val="single" w:sz="12" w:space="0" w:color="7D878D"/>
            </w:tcBorders>
            <w:shd w:fill="auto" w:val="clear"/>
            <w:tcMar>
              <w:top w:w="0" w:type="dxa"/>
            </w:tcMar>
            <w:vAlign w:val="center"/>
          </w:tcPr>
          <w:p>
            <w:pPr>
              <w:pStyle w:val="TableContents"/>
              <w:spacing w:before="0" w:after="283"/>
              <w:rPr/>
            </w:pPr>
            <w:r>
              <w:rPr/>
              <w:t> </w:t>
            </w:r>
          </w:p>
        </w:tc>
        <w:tc>
          <w:tcPr>
            <w:tcW w:w="545" w:type="dxa"/>
            <w:tcBorders>
              <w:bottom w:val="single" w:sz="12" w:space="0" w:color="7D878D"/>
            </w:tcBorders>
            <w:shd w:fill="auto" w:val="clear"/>
            <w:tcMar>
              <w:top w:w="0" w:type="dxa"/>
            </w:tcMar>
            <w:vAlign w:val="center"/>
          </w:tcPr>
          <w:p>
            <w:pPr>
              <w:pStyle w:val="TableContents"/>
              <w:spacing w:before="0" w:after="283"/>
              <w:rPr/>
            </w:pPr>
            <w:r>
              <w:rPr/>
              <w:t> </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 as of Dec. 31)</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b/>
                <w:color w:val="333333"/>
                <w:sz w:val="20"/>
              </w:rPr>
            </w:pPr>
            <w:r>
              <w:rPr>
                <w:b/>
                <w:color w:val="333333"/>
                <w:sz w:val="20"/>
              </w:rPr>
              <w:t>2022</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b/>
                <w:color w:val="333333"/>
                <w:sz w:val="20"/>
              </w:rPr>
            </w:pPr>
            <w:r>
              <w:rPr>
                <w:b/>
                <w:color w:val="333333"/>
                <w:sz w:val="20"/>
              </w:rPr>
              <w:t>2021</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b/>
                <w:color w:val="333333"/>
                <w:sz w:val="20"/>
              </w:rPr>
            </w:pPr>
            <w:r>
              <w:rPr>
                <w:b/>
                <w:color w:val="333333"/>
                <w:sz w:val="20"/>
              </w:rPr>
              <w:t>2020</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b/>
                <w:color w:val="333333"/>
                <w:sz w:val="20"/>
              </w:rPr>
            </w:pPr>
            <w:r>
              <w:rPr>
                <w:b/>
                <w:color w:val="333333"/>
                <w:sz w:val="20"/>
              </w:rPr>
              <w:t>2019</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b/>
                <w:color w:val="333333"/>
                <w:sz w:val="20"/>
              </w:rPr>
            </w:pPr>
            <w:r>
              <w:rPr>
                <w:b/>
                <w:color w:val="333333"/>
                <w:sz w:val="20"/>
              </w:rPr>
              <w:t>Ratios (annualized as appropriate)</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b/>
                <w:color w:val="333333"/>
                <w:sz w:val="20"/>
              </w:rPr>
            </w:pPr>
            <w:r>
              <w:rPr>
                <w:b/>
                <w:color w:val="333333"/>
                <w:sz w:val="20"/>
              </w:rPr>
              <w:t>Profitability</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Operating Profit/Risk-Weighted Assets</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Net Interest Income/Average Earning Assets</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5.7</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4.4</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4.6</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5.8</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Non-Interest Expense/Gross Revenue</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50.0</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54.5</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53.5</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46.3</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Net Income/Average Equity</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17.1</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14.3</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1.4</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17.1</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b/>
                <w:color w:val="333333"/>
                <w:sz w:val="20"/>
              </w:rPr>
            </w:pPr>
            <w:r>
              <w:rPr>
                <w:b/>
                <w:color w:val="333333"/>
                <w:sz w:val="20"/>
              </w:rPr>
              <w:t>Asset Quality</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Impaired Loans Ratio</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3.1</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2.9</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2.8</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2.2</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Growth in Gross Loans</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0.7</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7.2</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19.1</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4.4</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Loan Loss Allowances/Impaired Loans</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170.4</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201.7</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258.2</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206.6</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Loan Impairment Charges/Average Gross Loans</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1.2</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0.9</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4.6</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1.7</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b/>
                <w:color w:val="333333"/>
                <w:sz w:val="20"/>
              </w:rPr>
            </w:pPr>
            <w:r>
              <w:rPr>
                <w:b/>
                <w:color w:val="333333"/>
                <w:sz w:val="20"/>
              </w:rPr>
              <w:t>Capitalization</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Common Equity Tier 1 Ratio</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Fully Loaded Common Equity Tier 1 Ratio</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Fitch Core Capital Ratio</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Tangible Common Equity/Tangible Assets</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11.4</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10.0</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9.7</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13.1</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Basel Leverage Ratio</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Net Impaired Loans/Common Equity Tier 1</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Net Impaired Loans/Fitch Core Capital</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-12.2</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-17.6</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-26.6</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-10.9</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b/>
                <w:color w:val="333333"/>
                <w:sz w:val="20"/>
              </w:rPr>
            </w:pPr>
            <w:r>
              <w:rPr>
                <w:b/>
                <w:color w:val="333333"/>
                <w:sz w:val="20"/>
              </w:rPr>
              <w:t>Funding and Liquidity</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Gross Loans/Customer Deposits</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102.1</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99.6</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97.5</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104.3</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Liquidity Coverage Ratio</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Customer Deposits/Total Non-Equity Funding</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78.2</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75.3</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73.1</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77.0</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Net Stable Funding Ratio</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c>
          <w:tcPr>
            <w:tcW w:w="545" w:type="dxa"/>
            <w:tcBorders>
              <w:top w:val="single" w:sz="12" w:space="0" w:color="7D878D"/>
              <w:bottom w:val="single" w:sz="12" w:space="0" w:color="7D878D"/>
            </w:tcBorders>
            <w:shd w:fill="auto" w:val="clear"/>
            <w:vAlign w:val="center"/>
          </w:tcPr>
          <w:p>
            <w:pPr>
              <w:pStyle w:val="TableContents"/>
              <w:spacing w:before="0" w:after="0"/>
              <w:jc w:val="right"/>
              <w:rPr>
                <w:color w:val="333333"/>
                <w:sz w:val="20"/>
              </w:rPr>
            </w:pPr>
            <w:r>
              <w:rPr>
                <w:color w:val="333333"/>
                <w:sz w:val="20"/>
              </w:rPr>
              <w:t>N.A.</w:t>
            </w:r>
          </w:p>
        </w:tc>
      </w:tr>
      <w:tr>
        <w:trPr/>
        <w:tc>
          <w:tcPr>
            <w:tcW w:w="3950" w:type="dxa"/>
            <w:tcBorders>
              <w:top w:val="single" w:sz="12" w:space="0" w:color="7D878D"/>
              <w:bottom w:val="single" w:sz="12" w:space="0" w:color="7D878D"/>
            </w:tcBorders>
            <w:shd w:fill="auto" w:val="clear"/>
            <w:vAlign w:val="center"/>
          </w:tcPr>
          <w:p>
            <w:pPr>
              <w:pStyle w:val="TableContents"/>
              <w:spacing w:before="0" w:after="0"/>
              <w:rPr>
                <w:color w:val="333333"/>
                <w:sz w:val="20"/>
              </w:rPr>
            </w:pPr>
            <w:r>
              <w:rPr>
                <w:color w:val="333333"/>
                <w:sz w:val="20"/>
              </w:rPr>
              <w:t>N.A. – Not applicable</w:t>
            </w:r>
          </w:p>
          <w:p>
            <w:pPr>
              <w:pStyle w:val="TableContents"/>
              <w:spacing w:before="0" w:after="0"/>
              <w:rPr>
                <w:color w:val="333333"/>
                <w:sz w:val="20"/>
              </w:rPr>
            </w:pPr>
            <w:r>
              <w:rPr>
                <w:color w:val="333333"/>
                <w:sz w:val="20"/>
              </w:rPr>
              <w:t>Source: Fitch Ratings, Fitch Solutions</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c>
          <w:tcPr>
            <w:tcW w:w="545" w:type="dxa"/>
            <w:tcBorders>
              <w:top w:val="single" w:sz="12" w:space="0" w:color="7D878D"/>
              <w:bottom w:val="single" w:sz="12" w:space="0" w:color="7D878D"/>
            </w:tcBorders>
            <w:shd w:fill="auto" w:val="clear"/>
            <w:vAlign w:val="center"/>
          </w:tcPr>
          <w:p>
            <w:pPr>
              <w:pStyle w:val="TableContents"/>
              <w:spacing w:before="0" w:after="283"/>
              <w:rPr/>
            </w:pPr>
            <w:r>
              <w:rPr/>
              <w:t> </w:t>
            </w:r>
          </w:p>
        </w:tc>
      </w:tr>
    </w:tbl>
    <w:p>
      <w:pPr>
        <w:pStyle w:val="TextBody"/>
        <w:spacing w:before="0" w:after="0"/>
        <w:rPr>
          <w:color w:val="000000"/>
        </w:rPr>
      </w:pPr>
      <w:r>
        <w:rPr>
          <w:color w:val="000000"/>
        </w:rPr>
        <w:t> </w:t>
      </w:r>
    </w:p>
    <w:tbl>
      <w:tblPr>
        <w:tblW w:w="3940" w:type="dxa"/>
        <w:jc w:val="left"/>
        <w:tblInd w:w="0" w:type="dxa"/>
        <w:tblCellMar>
          <w:top w:w="28" w:type="dxa"/>
          <w:left w:w="0" w:type="dxa"/>
          <w:bottom w:w="0" w:type="dxa"/>
          <w:right w:w="0" w:type="dxa"/>
        </w:tblCellMar>
      </w:tblPr>
      <w:tblGrid>
        <w:gridCol w:w="2015"/>
        <w:gridCol w:w="1925"/>
      </w:tblGrid>
      <w:tr>
        <w:trPr/>
        <w:tc>
          <w:tcPr>
            <w:tcW w:w="2015" w:type="dxa"/>
            <w:tcBorders>
              <w:top w:val="single" w:sz="2" w:space="0" w:color="000000"/>
            </w:tcBorders>
            <w:shd w:fill="auto" w:val="clear"/>
            <w:vAlign w:val="center"/>
          </w:tcPr>
          <w:p>
            <w:pPr>
              <w:pStyle w:val="TableContents"/>
              <w:spacing w:before="18" w:after="283"/>
              <w:ind w:left="20" w:right="0" w:hanging="0"/>
              <w:jc w:val="left"/>
              <w:rPr>
                <w:color w:val="333333"/>
                <w:sz w:val="20"/>
              </w:rPr>
            </w:pPr>
            <w:r>
              <w:rPr>
                <w:color w:val="333333"/>
                <w:sz w:val="20"/>
              </w:rPr>
              <w:t>Credicorp Ltd.</w:t>
            </w:r>
          </w:p>
          <w:p>
            <w:pPr>
              <w:pStyle w:val="TableContents"/>
              <w:spacing w:before="0" w:after="0"/>
              <w:ind w:left="20" w:right="0" w:hanging="0"/>
              <w:jc w:val="left"/>
              <w:rPr>
                <w:color w:val="333333"/>
                <w:sz w:val="20"/>
              </w:rPr>
            </w:pPr>
            <w:r>
              <w:rPr>
                <w:color w:val="333333"/>
                <w:sz w:val="20"/>
              </w:rPr>
              <w:t>Update │ April 21, 2023</w:t>
            </w:r>
          </w:p>
        </w:tc>
        <w:tc>
          <w:tcPr>
            <w:tcW w:w="1925" w:type="dxa"/>
            <w:tcBorders>
              <w:top w:val="single" w:sz="2" w:space="0" w:color="000000"/>
            </w:tcBorders>
            <w:shd w:fill="auto" w:val="clear"/>
            <w:vAlign w:val="center"/>
          </w:tcPr>
          <w:p>
            <w:pPr>
              <w:pStyle w:val="TableContents"/>
              <w:spacing w:before="0" w:after="0"/>
              <w:ind w:left="0" w:right="0" w:hanging="0"/>
              <w:jc w:val="right"/>
              <w:rPr/>
            </w:pPr>
            <w:r>
              <w:rPr>
                <w:color w:val="333333"/>
                <w:sz w:val="20"/>
              </w:rPr>
              <w:t>fitchratings.com</w:t>
            </w:r>
            <w:r>
              <w:rPr/>
              <w:t xml:space="preserve">        </w:t>
            </w:r>
            <w:r>
              <w:rPr>
                <w:color w:val="333333"/>
                <w:sz w:val="20"/>
              </w:rPr>
              <w:t>4</w:t>
            </w:r>
          </w:p>
        </w:tc>
      </w:tr>
    </w:tbl>
    <w:p>
      <w:pPr>
        <w:pStyle w:val="TextBody"/>
        <w:spacing w:before="0" w:after="0"/>
        <w:rPr/>
      </w:pPr>
      <w:r>
        <w:rPr>
          <w:color w:val="000000"/>
        </w:rPr>
        <w:t> </w:t>
      </w:r>
      <w:r>
        <w:rPr/>
        <w:t xml:space="preserve"> </w:t>
      </w:r>
    </w:p>
    <w:p>
      <w:pPr>
        <w:pStyle w:val="HorizontalLine"/>
        <w:pBdr>
          <w:bottom w:val="single" w:sz="20" w:space="0" w:color="808080"/>
        </w:pBdr>
        <w:spacing w:before="180" w:after="180"/>
        <w:rPr/>
      </w:pPr>
      <w:r>
        <w:rPr/>
      </w:r>
    </w:p>
    <w:p>
      <w:pPr>
        <w:pStyle w:val="TextBody"/>
        <w:spacing w:before="0" w:after="0"/>
        <w:jc w:val="center"/>
        <w:rPr/>
      </w:pPr>
      <w:r>
        <w:rPr/>
        <w:drawing>
          <wp:inline distT="0" distB="0" distL="0" distR="0">
            <wp:extent cx="7743825" cy="962025"/>
            <wp:effectExtent l="0" t="0" r="0" b="0"/>
            <wp:docPr id="1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 descr=""/>
                    <pic:cNvPicPr>
                      <a:picLocks noChangeAspect="1" noChangeArrowheads="1"/>
                    </pic:cNvPicPr>
                  </pic:nvPicPr>
                  <pic:blipFill>
                    <a:blip r:embed="rId7"/>
                    <a:stretch>
                      <a:fillRect/>
                    </a:stretch>
                  </pic:blipFill>
                  <pic:spPr bwMode="auto">
                    <a:xfrm>
                      <a:off x="0" y="0"/>
                      <a:ext cx="7743825" cy="962025"/>
                    </a:xfrm>
                    <a:prstGeom prst="rect">
                      <a:avLst/>
                    </a:prstGeom>
                  </pic:spPr>
                </pic:pic>
              </a:graphicData>
            </a:graphic>
          </wp:inline>
        </w:drawing>
      </w:r>
    </w:p>
    <w:p>
      <w:pPr>
        <w:pStyle w:val="HorizontalLine"/>
        <w:pBdr>
          <w:bottom w:val="single" w:sz="20" w:space="0" w:color="808080"/>
        </w:pBdr>
        <w:rPr/>
      </w:pPr>
      <w:r>
        <w:rPr/>
      </w:r>
    </w:p>
    <w:p>
      <w:pPr>
        <w:pStyle w:val="TextBody"/>
        <w:spacing w:before="115" w:after="283"/>
        <w:rPr>
          <w:b/>
          <w:color w:val="CC0033"/>
          <w:sz w:val="20"/>
        </w:rPr>
      </w:pPr>
      <w:r>
        <w:rPr>
          <w:b/>
          <w:color w:val="CC0033"/>
          <w:sz w:val="20"/>
        </w:rPr>
        <w:t>Environmental, Social and Governance Considerations</w:t>
      </w:r>
    </w:p>
    <w:p>
      <w:pPr>
        <w:pStyle w:val="TextBody"/>
        <w:spacing w:before="0" w:after="0"/>
        <w:jc w:val="center"/>
        <w:rPr/>
      </w:pPr>
      <w:r>
        <w:rPr/>
        <w:drawing>
          <wp:inline distT="0" distB="0" distL="0" distR="0">
            <wp:extent cx="8915400" cy="1876425"/>
            <wp:effectExtent l="0" t="0" r="0" b="0"/>
            <wp:docPr id="1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7" descr=""/>
                    <pic:cNvPicPr>
                      <a:picLocks noChangeAspect="1" noChangeArrowheads="1"/>
                    </pic:cNvPicPr>
                  </pic:nvPicPr>
                  <pic:blipFill>
                    <a:blip r:embed="rId8"/>
                    <a:stretch>
                      <a:fillRect/>
                    </a:stretch>
                  </pic:blipFill>
                  <pic:spPr bwMode="auto">
                    <a:xfrm>
                      <a:off x="0" y="0"/>
                      <a:ext cx="8915400" cy="1876425"/>
                    </a:xfrm>
                    <a:prstGeom prst="rect">
                      <a:avLst/>
                    </a:prstGeom>
                  </pic:spPr>
                </pic:pic>
              </a:graphicData>
            </a:graphic>
          </wp:inline>
        </w:drawing>
      </w:r>
      <w:r>
        <w:rPr/>
        <w:t xml:space="preserve"> </w:t>
      </w:r>
    </w:p>
    <w:p>
      <w:pPr>
        <w:pStyle w:val="TextBody"/>
        <w:spacing w:before="0" w:after="0"/>
        <w:jc w:val="center"/>
        <w:rPr/>
      </w:pPr>
      <w:r>
        <w:rPr/>
        <w:drawing>
          <wp:inline distT="0" distB="0" distL="0" distR="0">
            <wp:extent cx="8867775" cy="7105650"/>
            <wp:effectExtent l="0" t="0" r="0" b="0"/>
            <wp:docPr id="1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8" descr=""/>
                    <pic:cNvPicPr>
                      <a:picLocks noChangeAspect="1" noChangeArrowheads="1"/>
                    </pic:cNvPicPr>
                  </pic:nvPicPr>
                  <pic:blipFill>
                    <a:blip r:embed="rId9"/>
                    <a:stretch>
                      <a:fillRect/>
                    </a:stretch>
                  </pic:blipFill>
                  <pic:spPr bwMode="auto">
                    <a:xfrm>
                      <a:off x="0" y="0"/>
                      <a:ext cx="8867775" cy="7105650"/>
                    </a:xfrm>
                    <a:prstGeom prst="rect">
                      <a:avLst/>
                    </a:prstGeom>
                  </pic:spPr>
                </pic:pic>
              </a:graphicData>
            </a:graphic>
          </wp:inline>
        </w:drawing>
      </w:r>
    </w:p>
    <w:p>
      <w:pPr>
        <w:pStyle w:val="TextBody"/>
        <w:spacing w:before="0" w:after="0"/>
        <w:jc w:val="center"/>
        <w:rPr/>
      </w:pPr>
      <w:r>
        <w:rPr>
          <w:color w:val="000000"/>
        </w:rPr>
        <w:t> </w:t>
      </w:r>
      <w:r>
        <w:rPr/>
        <w:t xml:space="preserve"> </w:t>
      </w:r>
    </w:p>
    <w:p>
      <w:pPr>
        <w:pStyle w:val="TextBody"/>
        <w:spacing w:before="88" w:after="283"/>
        <w:jc w:val="both"/>
        <w:rPr/>
      </w:pPr>
      <w:r>
        <w:rPr>
          <w:color w:val="333333"/>
          <w:sz w:val="20"/>
        </w:rPr>
        <w:t xml:space="preserve">Unless otherwise disclosed in this section, the highest level of ESG credit relevance is a score of ‘3’. This means ESG issues are credit-neutral or have only a minimal credit impact on the entity, either due to their nature or the way in which they are being managed by the entity. For more information on Fitch’s ESG Relevance Scores, visit </w:t>
      </w:r>
      <w:r>
        <w:rPr>
          <w:sz w:val="20"/>
        </w:rPr>
        <w:t>www.fitchratings.com/esg</w:t>
      </w:r>
      <w:r>
        <w:rPr>
          <w:color w:val="333333"/>
          <w:sz w:val="20"/>
        </w:rPr>
        <w:t>.</w:t>
      </w:r>
    </w:p>
    <w:p>
      <w:pPr>
        <w:pStyle w:val="TextBody"/>
        <w:spacing w:before="0" w:after="0"/>
        <w:rPr>
          <w:color w:val="000000"/>
        </w:rPr>
      </w:pPr>
      <w:r>
        <w:rPr>
          <w:color w:val="000000"/>
        </w:rPr>
        <w:t> </w:t>
      </w:r>
    </w:p>
    <w:tbl>
      <w:tblPr>
        <w:tblW w:w="3925" w:type="dxa"/>
        <w:jc w:val="left"/>
        <w:tblInd w:w="0" w:type="dxa"/>
        <w:tblCellMar>
          <w:top w:w="28" w:type="dxa"/>
          <w:left w:w="0" w:type="dxa"/>
          <w:bottom w:w="0" w:type="dxa"/>
          <w:right w:w="0" w:type="dxa"/>
        </w:tblCellMar>
      </w:tblPr>
      <w:tblGrid>
        <w:gridCol w:w="2015"/>
        <w:gridCol w:w="1910"/>
      </w:tblGrid>
      <w:tr>
        <w:trPr/>
        <w:tc>
          <w:tcPr>
            <w:tcW w:w="2015" w:type="dxa"/>
            <w:tcBorders>
              <w:top w:val="single" w:sz="2" w:space="0" w:color="000000"/>
            </w:tcBorders>
            <w:shd w:fill="auto" w:val="clear"/>
            <w:vAlign w:val="center"/>
          </w:tcPr>
          <w:p>
            <w:pPr>
              <w:pStyle w:val="TableContents"/>
              <w:spacing w:before="18" w:after="283"/>
              <w:ind w:left="20" w:right="0" w:hanging="0"/>
              <w:jc w:val="left"/>
              <w:rPr>
                <w:color w:val="333333"/>
                <w:sz w:val="20"/>
              </w:rPr>
            </w:pPr>
            <w:r>
              <w:rPr>
                <w:color w:val="333333"/>
                <w:sz w:val="20"/>
              </w:rPr>
              <w:t>Credicorp Ltd.</w:t>
            </w:r>
          </w:p>
          <w:p>
            <w:pPr>
              <w:pStyle w:val="TableContents"/>
              <w:spacing w:before="0" w:after="0"/>
              <w:ind w:left="20" w:right="0" w:hanging="0"/>
              <w:jc w:val="left"/>
              <w:rPr>
                <w:color w:val="333333"/>
                <w:sz w:val="20"/>
              </w:rPr>
            </w:pPr>
            <w:r>
              <w:rPr>
                <w:color w:val="333333"/>
                <w:sz w:val="20"/>
              </w:rPr>
              <w:t>Update │ April 21, 2023</w:t>
            </w:r>
          </w:p>
        </w:tc>
        <w:tc>
          <w:tcPr>
            <w:tcW w:w="1910" w:type="dxa"/>
            <w:tcBorders>
              <w:top w:val="single" w:sz="2" w:space="0" w:color="000000"/>
            </w:tcBorders>
            <w:shd w:fill="auto" w:val="clear"/>
            <w:vAlign w:val="center"/>
          </w:tcPr>
          <w:p>
            <w:pPr>
              <w:pStyle w:val="TableContents"/>
              <w:spacing w:before="0" w:after="0"/>
              <w:ind w:left="0" w:right="0" w:hanging="0"/>
              <w:jc w:val="right"/>
              <w:rPr/>
            </w:pPr>
            <w:r>
              <w:rPr>
                <w:color w:val="333333"/>
                <w:sz w:val="20"/>
              </w:rPr>
              <w:t>fitchratings.com</w:t>
            </w:r>
            <w:r>
              <w:rPr/>
              <w:t xml:space="preserve">       </w:t>
            </w:r>
            <w:r>
              <w:rPr>
                <w:sz w:val="20"/>
              </w:rPr>
              <w:t xml:space="preserve">5 </w:t>
            </w:r>
          </w:p>
        </w:tc>
      </w:tr>
    </w:tbl>
    <w:p>
      <w:pPr>
        <w:pStyle w:val="TextBody"/>
        <w:spacing w:before="0" w:after="0"/>
        <w:rPr/>
      </w:pPr>
      <w:r>
        <w:rPr>
          <w:color w:val="000000"/>
        </w:rPr>
        <w:t> </w:t>
      </w:r>
      <w:r>
        <w:rPr/>
        <w:t xml:space="preserve"> </w:t>
      </w:r>
    </w:p>
    <w:p>
      <w:pPr>
        <w:pStyle w:val="HorizontalLine"/>
        <w:pBdr>
          <w:bottom w:val="single" w:sz="20" w:space="0" w:color="808080"/>
        </w:pBdr>
        <w:spacing w:before="180" w:after="180"/>
        <w:rPr/>
      </w:pPr>
      <w:r>
        <w:rPr/>
      </w:r>
    </w:p>
    <w:p>
      <w:pPr>
        <w:pStyle w:val="TextBody"/>
        <w:spacing w:before="0" w:after="0"/>
        <w:jc w:val="center"/>
        <w:rPr/>
      </w:pPr>
      <w:r>
        <w:rPr/>
        <w:drawing>
          <wp:inline distT="0" distB="0" distL="0" distR="0">
            <wp:extent cx="7743825" cy="962025"/>
            <wp:effectExtent l="0" t="0" r="0" b="0"/>
            <wp:docPr id="1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9" descr=""/>
                    <pic:cNvPicPr>
                      <a:picLocks noChangeAspect="1" noChangeArrowheads="1"/>
                    </pic:cNvPicPr>
                  </pic:nvPicPr>
                  <pic:blipFill>
                    <a:blip r:embed="rId10"/>
                    <a:stretch>
                      <a:fillRect/>
                    </a:stretch>
                  </pic:blipFill>
                  <pic:spPr bwMode="auto">
                    <a:xfrm>
                      <a:off x="0" y="0"/>
                      <a:ext cx="7743825" cy="962025"/>
                    </a:xfrm>
                    <a:prstGeom prst="rect">
                      <a:avLst/>
                    </a:prstGeom>
                  </pic:spPr>
                </pic:pic>
              </a:graphicData>
            </a:graphic>
          </wp:inline>
        </w:drawing>
      </w:r>
    </w:p>
    <w:p>
      <w:pPr>
        <w:pStyle w:val="TextBody"/>
        <w:spacing w:before="0" w:after="0"/>
        <w:rPr>
          <w:sz w:val="20"/>
        </w:rPr>
      </w:pPr>
      <w:r>
        <w:rPr>
          <w:sz w:val="20"/>
        </w:rPr>
      </w:r>
    </w:p>
    <w:p>
      <w:pPr>
        <w:pStyle w:val="HorizontalLine"/>
        <w:pBdr>
          <w:bottom w:val="single" w:sz="20" w:space="0" w:color="808080"/>
        </w:pBdr>
        <w:rPr/>
      </w:pPr>
      <w:r>
        <w:rPr/>
      </w:r>
    </w:p>
    <w:p>
      <w:pPr>
        <w:pStyle w:val="TextBody"/>
        <w:spacing w:before="98" w:after="283"/>
        <w:jc w:val="center"/>
        <w:rPr>
          <w:color w:val="333333"/>
          <w:sz w:val="20"/>
        </w:rPr>
      </w:pPr>
      <w:r>
        <w:rPr>
          <w:color w:val="333333"/>
          <w:sz w:val="20"/>
        </w:rPr>
        <w:t>The ratings above were solicited and assigned or maintained at the request of the rated entity/issuer or a related third party. Any exceptions follow below.</w:t>
      </w:r>
    </w:p>
    <w:p>
      <w:pPr>
        <w:pStyle w:val="TextBody"/>
        <w:spacing w:before="0" w:after="0"/>
        <w:rPr>
          <w:sz w:val="20"/>
        </w:rPr>
      </w:pPr>
      <w:r>
        <w:rPr>
          <w:sz w:val="20"/>
        </w:rPr>
      </w:r>
    </w:p>
    <w:p>
      <w:pPr>
        <w:pStyle w:val="TextBody"/>
        <w:spacing w:before="0" w:after="0"/>
        <w:jc w:val="both"/>
        <w:rPr>
          <w:color w:val="333333"/>
          <w:sz w:val="20"/>
        </w:rPr>
      </w:pPr>
      <w:r>
        <w:rPr>
          <w:color w:val="333333"/>
          <w:sz w:val="20"/>
        </w:rPr>
        <w:t>DISCLAIMER &amp; DISCLOSURES</w:t>
      </w:r>
    </w:p>
    <w:p>
      <w:pPr>
        <w:pStyle w:val="TextBody"/>
        <w:spacing w:before="119" w:after="283"/>
        <w:jc w:val="both"/>
        <w:rPr>
          <w:sz w:val="15"/>
        </w:rPr>
      </w:pPr>
      <w:r>
        <w:rPr>
          <w:color w:val="333333"/>
          <w:sz w:val="20"/>
        </w:rPr>
        <w:t xml:space="preserve">All Fitch Ratings (Fitch) credit ratings are subject to certain limitations and disclaimers. Please read these limitations and disclaimers by following this link: </w:t>
      </w:r>
      <w:r>
        <w:rPr>
          <w:sz w:val="20"/>
        </w:rPr>
        <w:t xml:space="preserve">https://www.fitchratings.com/understandingcreditratings. In addition, the following </w:t>
      </w:r>
      <w:r>
        <w:rPr>
          <w:b w:val="false"/>
          <w:i w:val="false"/>
          <w:caps w:val="false"/>
          <w:smallCaps w:val="false"/>
          <w:sz w:val="20"/>
          <w:highlight w:val="white"/>
        </w:rPr>
        <w:t>https://www.fitchratings.com/rating-definitions-document</w:t>
      </w:r>
      <w:r>
        <w:rPr>
          <w:sz w:val="20"/>
        </w:rPr>
        <w:t xml:space="preserve"> details Fitch's rating definitions for each rating scale and rating categories, including definitions relating to default. Published ratings, criteria, and methodologies are available from this site at all times. Fitch's code of conduct, confidentiality, conflicts of interest, affiliate firewall, compliance, and other relevant policies and procedures are also available from the Code of Conduct section of this site. Directors and shareholders’ relevant interests are available at https://www.fitchratings.com/site/regulatory. </w:t>
      </w:r>
      <w:r>
        <w:rPr>
          <w:color w:val="333333"/>
          <w:sz w:val="20"/>
        </w:rPr>
        <w:t>Fitch may have provided another permissible or ancillary service to the rated entity or its related third parties. Details of permissible or ancillary service(s) for which the lead analyst is based in an ESMA- or FCA-registered Fitch Ratings company (or branch of such a company) can be found on the entity summary page for this issuer on the Fitch Ratings website.</w:t>
      </w:r>
    </w:p>
    <w:p>
      <w:pPr>
        <w:pStyle w:val="TextBody"/>
        <w:spacing w:before="108" w:after="283"/>
        <w:jc w:val="both"/>
        <w:rPr>
          <w:color w:val="333333"/>
          <w:sz w:val="20"/>
        </w:rPr>
      </w:pPr>
      <w:r>
        <w:rPr>
          <w:color w:val="333333"/>
          <w:sz w:val="20"/>
        </w:rPr>
        <w:t>In issuing and maintaining its ratings and in making other reports (including forecast information), Fitch relies on factual information it receives from issuers and underwriters and from other sources Fitch believes to be credible. Fitch conducts a reasonable investigation of the factual information relied upon by it in accordance with its ratings methodology, and obtains reasonable verification of that information from independent sources, to the extent such sources are available for a given security or in a given jurisdiction. The manner of Fitch's factual investigation and the scope of the third-party verification it obtains will vary depending on the nature of the rated security and its issuer, the requirements and practices in the jurisdiction in which the rated security is offered and sold and/or the issuer is located, the availability and nature of relevant public information, access to the management of the issuer and its advisers, the availability of pre-existing third-party verifications such as audit reports, agreed-upon procedures letters, appraisals, actuarial reports, engineering reports, legal opinions and other reports provided by third parties, the availability of independent and competent third- party verification sources with respect to the particular security or in the particular jurisdiction of the issuer, and a variety of other factors. Users of Fitch's ratings and reports should understand that neither an enhanced factual investigation nor any third-party verification can ensure that all of the information Fitch relies on in connection with a rating or a report will be accurate and complete. Ultimately, the issuer and its advisers are responsible for the accuracy of the information they provide to Fitch and to the market in offering documents and other reports. In issuing its ratings and its reports, Fitch must rely on the work of experts, including independent auditors with respect to financial statements and attorneys with respect to legal and tax matters. Further, ratings and forecasts of financial and other information are inherently forward-looking and embody assumptions and predictions about future events that by their nature cannot be verified as facts. As a result, despite any verification of current facts, ratings and forecasts can be affected by future events or conditions that were not anticipated at the time a rating or forecast was issued or affirmed.</w:t>
      </w:r>
    </w:p>
    <w:p>
      <w:pPr>
        <w:pStyle w:val="TextBody"/>
        <w:spacing w:before="106" w:after="283"/>
        <w:jc w:val="both"/>
        <w:rPr>
          <w:color w:val="333333"/>
          <w:sz w:val="20"/>
        </w:rPr>
      </w:pPr>
      <w:r>
        <w:rPr>
          <w:color w:val="333333"/>
          <w:sz w:val="20"/>
        </w:rPr>
        <w:t>The information in this report is provided "as is" without any representation or warranty of any kind, and Fitch does not represent or warrant that the report or any of its contents will meet any of the requirements of a recipient of the report. A Fitch rating is an opinion as to the creditworthiness of a security. This opinion and reports made by Fitch are based on established criteria and methodologies that Fitch is continuously evaluating and updating. Therefore, ratings and reports are the collective work product of Fitch and no individual, or group of individuals, is solely responsible for a rating or a report. The rating does not address the risk of loss due to risks other than credit risk, unless such risk is specifically mentioned. Fitch is not engaged in the offer or sale of any security. All Fitch reports have shared authorship. Individuals identified in a Fitch report were involved in, but are not solely responsible for, the opinions stated therein. The individuals are named for contact purposes only. A report providing a Fitch rating is neither a prospectus nor a substitute for the information assembled, verified and presented to investors by the issuer and its agents in connection with the sale of the securities. Ratings may be changed or withdrawn at any time for any reason in the sole discretion of Fitch. Fitch does not provide investment advice of any sort. Ratings are not a recommendation to buy, sell, or hold any security. Ratings do not comment on the adequacy of market price, the suitability of any security for a particular investor, or the tax- exempt nature or taxability of payments made in respect to any security. Fitch receives fees from issuers, insurers, guarantors, other obligors, and underwriters for rating securities. Such fees generally vary from US$1,000 to US$750,000 (or the applicable currency equivalent) per issue. In certain cases, Fitch will rate all or a number of issues issued by a particular issuer, or insured or guaranteed by a particular insurer or guarantor, for a single annual fee. Such fees are expected to vary from US$10,000 to US$1,500,000 (or the applicable currency equivalent). The assignment, publication, or dissemination of a rating by Fitch shall not constitute a consent by Fitch to use its name as an expert in connection with any registration statement filed under the United States securities laws, the Financial Services and Markets Act of 2000 of the United Kingdom, or the securities laws of any particular jurisdiction. Due to the relative efficiency of electronic publishing and distribution, Fitch research may be available to electronic subscribers up to three days earlier than to print subscribers.</w:t>
      </w:r>
    </w:p>
    <w:p>
      <w:pPr>
        <w:pStyle w:val="TextBody"/>
        <w:spacing w:before="105" w:after="283"/>
        <w:jc w:val="both"/>
        <w:rPr>
          <w:color w:val="333333"/>
          <w:sz w:val="20"/>
        </w:rPr>
      </w:pPr>
      <w:r>
        <w:rPr>
          <w:color w:val="333333"/>
          <w:sz w:val="20"/>
        </w:rPr>
        <w:t>For Australia, New Zealand, Taiwan and South Korea only: Fitch Australia Pty Ltd holds an Australian financial services license (AFS license no. 337123) which authorizes it to provide credit ratings to wholesale clients only. Credit ratings information published by Fitch is not intended to be used by persons who are retail clients within the meaning of the Corporations Act 2001.</w:t>
      </w:r>
    </w:p>
    <w:p>
      <w:pPr>
        <w:pStyle w:val="TextBody"/>
        <w:spacing w:before="117" w:after="283"/>
        <w:jc w:val="both"/>
        <w:rPr>
          <w:sz w:val="12"/>
        </w:rPr>
      </w:pPr>
      <w:r>
        <w:rPr>
          <w:color w:val="333333"/>
          <w:sz w:val="20"/>
        </w:rPr>
        <w:t xml:space="preserve">Fitch Ratings, Inc. is registered with the U.S. Securities and Exchange Commission as a Nationally Recognized Statistical Rating Organization (the "NRSRO"). While certain of the NRSRO's credit rating subsidiaries are listed on Item 3 of Form NRSRO and as such are authorized to issue credit ratings on behalf of the NRSRO (see </w:t>
      </w:r>
      <w:r>
        <w:rPr>
          <w:sz w:val="20"/>
        </w:rPr>
        <w:t xml:space="preserve">https://www.fitchratings.com/site/regulatory), </w:t>
      </w:r>
      <w:r>
        <w:rPr>
          <w:color w:val="333333"/>
          <w:sz w:val="20"/>
        </w:rPr>
        <w:t>other credit rating subsidiaries are not listed on Form NRSRO (the "non-NRSROs") and therefore credit ratings issued by those subsidiaries are not issued on behalf of the NRSRO. However, non- NRSRO personnel may participate in determining credit ratings issued by or on behalf of the NRSRO.</w:t>
      </w:r>
    </w:p>
    <w:p>
      <w:pPr>
        <w:pStyle w:val="TextBody"/>
        <w:spacing w:before="116" w:after="283"/>
        <w:jc w:val="both"/>
        <w:rPr>
          <w:color w:val="333333"/>
          <w:sz w:val="20"/>
        </w:rPr>
      </w:pPr>
      <w:r>
        <w:rPr>
          <w:color w:val="333333"/>
          <w:sz w:val="20"/>
        </w:rPr>
        <w:t xml:space="preserve">Copyright © 2023 by Fitch Ratings, Inc., Fitch Ratings Ltd. and its subsidiaries. 33 Whitehall Street, NY, NY 10004. Telephone: 1-800-753-4824, (212) 908-0500. Fax: (212) 480-4435. Reproduction or retransmission in whole or in part is prohibited except by permission. All rights reserved. </w:t>
      </w:r>
    </w:p>
    <w:p>
      <w:pPr>
        <w:pStyle w:val="TextBody"/>
        <w:spacing w:before="0" w:after="0"/>
        <w:rPr>
          <w:sz w:val="20"/>
        </w:rPr>
      </w:pPr>
      <w:r>
        <w:rPr>
          <w:sz w:val="20"/>
        </w:rPr>
      </w:r>
    </w:p>
    <w:p>
      <w:pPr>
        <w:pStyle w:val="TextBody"/>
        <w:spacing w:before="0" w:after="0"/>
        <w:rPr>
          <w:sz w:val="20"/>
        </w:rPr>
      </w:pPr>
      <w:r>
        <w:rPr>
          <w:sz w:val="20"/>
        </w:rPr>
      </w:r>
    </w:p>
    <w:tbl>
      <w:tblPr>
        <w:tblW w:w="3940" w:type="dxa"/>
        <w:jc w:val="left"/>
        <w:tblInd w:w="0" w:type="dxa"/>
        <w:tblCellMar>
          <w:top w:w="28" w:type="dxa"/>
          <w:left w:w="0" w:type="dxa"/>
          <w:bottom w:w="0" w:type="dxa"/>
          <w:right w:w="0" w:type="dxa"/>
        </w:tblCellMar>
      </w:tblPr>
      <w:tblGrid>
        <w:gridCol w:w="2015"/>
        <w:gridCol w:w="1925"/>
      </w:tblGrid>
      <w:tr>
        <w:trPr/>
        <w:tc>
          <w:tcPr>
            <w:tcW w:w="2015" w:type="dxa"/>
            <w:tcBorders>
              <w:top w:val="single" w:sz="2" w:space="0" w:color="000000"/>
            </w:tcBorders>
            <w:shd w:fill="auto" w:val="clear"/>
            <w:vAlign w:val="center"/>
          </w:tcPr>
          <w:p>
            <w:pPr>
              <w:pStyle w:val="TableContents"/>
              <w:spacing w:before="18" w:after="283"/>
              <w:ind w:left="20" w:right="0" w:hanging="0"/>
              <w:jc w:val="left"/>
              <w:rPr>
                <w:color w:val="333333"/>
                <w:sz w:val="20"/>
              </w:rPr>
            </w:pPr>
            <w:r>
              <w:rPr>
                <w:color w:val="333333"/>
                <w:sz w:val="20"/>
              </w:rPr>
              <w:t>Credicorp Ltd.</w:t>
            </w:r>
          </w:p>
          <w:p>
            <w:pPr>
              <w:pStyle w:val="TableContents"/>
              <w:spacing w:before="0" w:after="0"/>
              <w:ind w:left="20" w:right="0" w:hanging="0"/>
              <w:jc w:val="left"/>
              <w:rPr>
                <w:color w:val="333333"/>
                <w:sz w:val="20"/>
              </w:rPr>
            </w:pPr>
            <w:r>
              <w:rPr>
                <w:color w:val="333333"/>
                <w:sz w:val="20"/>
              </w:rPr>
              <w:t>Update │ April 21, 2023</w:t>
            </w:r>
          </w:p>
        </w:tc>
        <w:tc>
          <w:tcPr>
            <w:tcW w:w="1925" w:type="dxa"/>
            <w:tcBorders>
              <w:top w:val="single" w:sz="2" w:space="0" w:color="000000"/>
            </w:tcBorders>
            <w:shd w:fill="auto" w:val="clear"/>
            <w:vAlign w:val="center"/>
          </w:tcPr>
          <w:p>
            <w:pPr>
              <w:pStyle w:val="TableContents"/>
              <w:spacing w:before="0" w:after="0"/>
              <w:ind w:left="0" w:right="0" w:hanging="0"/>
              <w:jc w:val="right"/>
              <w:rPr/>
            </w:pPr>
            <w:r>
              <w:rPr>
                <w:color w:val="333333"/>
                <w:sz w:val="20"/>
              </w:rPr>
              <w:t>fitchratings.com</w:t>
            </w:r>
            <w:r>
              <w:rPr/>
              <w:t xml:space="preserve">        </w:t>
            </w:r>
            <w:r>
              <w:rPr>
                <w:sz w:val="20"/>
              </w:rPr>
              <w:t>6</w:t>
            </w:r>
          </w:p>
        </w:tc>
      </w:tr>
    </w:tbl>
    <w:p>
      <w:pPr>
        <w:pStyle w:val="HorizontalLine"/>
        <w:pBdr>
          <w:bottom w:val="single" w:sz="20"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3</Pages>
  <Words>2891</Words>
  <CharactersWithSpaces>19202</CharactersWithSpaces>
  <Paragraphs>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