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0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260350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SECURITIES AND EXCHANGE COMMISSION</w:t>
      </w:r>
    </w:p>
    <w:p>
      <w:pPr>
        <w:spacing w:after="0" w:line="27" w:lineRule="exact"/>
        <w:rPr>
          <w:sz w:val="24"/>
          <w:szCs w:val="24"/>
          <w:color w:val="auto"/>
        </w:rPr>
      </w:pPr>
    </w:p>
    <w:p>
      <w:pPr>
        <w:jc w:val="center"/>
        <w:ind w:right="-1040"/>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ind w:right="-1040"/>
        <w:spacing w:after="0"/>
        <w:rPr>
          <w:sz w:val="20"/>
          <w:szCs w:val="20"/>
          <w:color w:val="auto"/>
        </w:rPr>
      </w:pPr>
      <w:r>
        <w:rPr>
          <w:rFonts w:ascii="Arial" w:cs="Arial" w:eastAsia="Arial" w:hAnsi="Arial"/>
          <w:sz w:val="18"/>
          <w:szCs w:val="18"/>
          <w:b w:val="1"/>
          <w:bCs w:val="1"/>
          <w:color w:val="auto"/>
        </w:rPr>
        <w:t>FORM 6-K</w:t>
      </w:r>
    </w:p>
    <w:p>
      <w:pPr>
        <w:spacing w:after="0" w:line="229" w:lineRule="exact"/>
        <w:rPr>
          <w:sz w:val="24"/>
          <w:szCs w:val="24"/>
          <w:color w:val="auto"/>
        </w:rPr>
      </w:pPr>
    </w:p>
    <w:p>
      <w:pPr>
        <w:jc w:val="center"/>
        <w:ind w:right="-1040"/>
        <w:spacing w:after="0"/>
        <w:rPr>
          <w:sz w:val="20"/>
          <w:szCs w:val="20"/>
          <w:color w:val="auto"/>
        </w:rPr>
      </w:pPr>
      <w:r>
        <w:rPr>
          <w:rFonts w:ascii="Arial" w:cs="Arial" w:eastAsia="Arial" w:hAnsi="Arial"/>
          <w:sz w:val="18"/>
          <w:szCs w:val="18"/>
          <w:color w:val="auto"/>
        </w:rPr>
        <w:t>Report of Foreign Private Issuer</w:t>
      </w:r>
    </w:p>
    <w:p>
      <w:pPr>
        <w:spacing w:after="0" w:line="23" w:lineRule="exact"/>
        <w:rPr>
          <w:sz w:val="24"/>
          <w:szCs w:val="24"/>
          <w:color w:val="auto"/>
        </w:rPr>
      </w:pPr>
    </w:p>
    <w:p>
      <w:pPr>
        <w:jc w:val="center"/>
        <w:ind w:right="-1040"/>
        <w:spacing w:after="0"/>
        <w:rPr>
          <w:sz w:val="20"/>
          <w:szCs w:val="20"/>
          <w:color w:val="auto"/>
        </w:rPr>
      </w:pPr>
      <w:r>
        <w:rPr>
          <w:rFonts w:ascii="Arial" w:cs="Arial" w:eastAsia="Arial" w:hAnsi="Arial"/>
          <w:sz w:val="18"/>
          <w:szCs w:val="18"/>
          <w:color w:val="auto"/>
        </w:rPr>
        <w:t>Pursuant to Rule 13a-16 or 15d-16 under the</w:t>
      </w:r>
    </w:p>
    <w:p>
      <w:pPr>
        <w:spacing w:after="0" w:line="9" w:lineRule="exact"/>
        <w:rPr>
          <w:sz w:val="24"/>
          <w:szCs w:val="24"/>
          <w:color w:val="auto"/>
        </w:rPr>
      </w:pPr>
    </w:p>
    <w:p>
      <w:pPr>
        <w:jc w:val="center"/>
        <w:ind w:right="-1040"/>
        <w:spacing w:after="0"/>
        <w:rPr>
          <w:sz w:val="20"/>
          <w:szCs w:val="20"/>
          <w:color w:val="auto"/>
        </w:rPr>
      </w:pPr>
      <w:r>
        <w:rPr>
          <w:rFonts w:ascii="Arial" w:cs="Arial" w:eastAsia="Arial" w:hAnsi="Arial"/>
          <w:sz w:val="18"/>
          <w:szCs w:val="18"/>
          <w:color w:val="auto"/>
        </w:rPr>
        <w:t>Securities Exchange Act of 1934</w:t>
      </w:r>
    </w:p>
    <w:p>
      <w:pPr>
        <w:spacing w:after="0" w:line="207" w:lineRule="exact"/>
        <w:rPr>
          <w:sz w:val="24"/>
          <w:szCs w:val="24"/>
          <w:color w:val="auto"/>
        </w:rPr>
      </w:pPr>
    </w:p>
    <w:p>
      <w:pPr>
        <w:jc w:val="center"/>
        <w:ind w:right="-1040"/>
        <w:spacing w:after="0"/>
        <w:rPr>
          <w:sz w:val="20"/>
          <w:szCs w:val="20"/>
          <w:color w:val="auto"/>
        </w:rPr>
      </w:pPr>
      <w:r>
        <w:rPr>
          <w:rFonts w:ascii="Arial" w:cs="Arial" w:eastAsia="Arial" w:hAnsi="Arial"/>
          <w:sz w:val="18"/>
          <w:szCs w:val="18"/>
          <w:b w:val="1"/>
          <w:bCs w:val="1"/>
          <w:color w:val="auto"/>
        </w:rPr>
        <w:t>For the month of June 2020</w:t>
      </w:r>
    </w:p>
    <w:p>
      <w:pPr>
        <w:spacing w:after="0" w:line="229" w:lineRule="exact"/>
        <w:rPr>
          <w:sz w:val="24"/>
          <w:szCs w:val="24"/>
          <w:color w:val="auto"/>
        </w:rPr>
      </w:pPr>
    </w:p>
    <w:p>
      <w:pPr>
        <w:jc w:val="center"/>
        <w:ind w:right="-1040"/>
        <w:spacing w:after="0"/>
        <w:rPr>
          <w:sz w:val="20"/>
          <w:szCs w:val="20"/>
          <w:color w:val="auto"/>
        </w:rPr>
      </w:pPr>
      <w:r>
        <w:rPr>
          <w:rFonts w:ascii="Arial" w:cs="Arial" w:eastAsia="Arial" w:hAnsi="Arial"/>
          <w:sz w:val="18"/>
          <w:szCs w:val="18"/>
          <w:color w:val="auto"/>
        </w:rPr>
        <w:t>Commission File Number: 001-14014</w:t>
      </w:r>
    </w:p>
    <w:p>
      <w:pPr>
        <w:spacing w:after="0" w:line="211" w:lineRule="exact"/>
        <w:rPr>
          <w:sz w:val="24"/>
          <w:szCs w:val="24"/>
          <w:color w:val="auto"/>
        </w:rPr>
      </w:pPr>
    </w:p>
    <w:p>
      <w:pPr>
        <w:jc w:val="center"/>
        <w:ind w:right="-1040"/>
        <w:spacing w:after="0"/>
        <w:rPr>
          <w:sz w:val="20"/>
          <w:szCs w:val="20"/>
          <w:color w:val="auto"/>
        </w:rPr>
      </w:pPr>
      <w:r>
        <w:rPr>
          <w:rFonts w:ascii="Arial" w:cs="Arial" w:eastAsia="Arial" w:hAnsi="Arial"/>
          <w:sz w:val="19"/>
          <w:szCs w:val="19"/>
          <w:b w:val="1"/>
          <w:bCs w:val="1"/>
          <w:color w:val="auto"/>
        </w:rPr>
        <w:t>CREDICORP LTD.</w:t>
      </w:r>
    </w:p>
    <w:p>
      <w:pPr>
        <w:spacing w:after="0" w:line="28" w:lineRule="exact"/>
        <w:rPr>
          <w:sz w:val="24"/>
          <w:szCs w:val="24"/>
          <w:color w:val="auto"/>
        </w:rPr>
      </w:pPr>
    </w:p>
    <w:p>
      <w:pPr>
        <w:jc w:val="center"/>
        <w:ind w:right="-1040"/>
        <w:spacing w:after="0"/>
        <w:rPr>
          <w:sz w:val="20"/>
          <w:szCs w:val="20"/>
          <w:color w:val="auto"/>
        </w:rPr>
      </w:pPr>
      <w:r>
        <w:rPr>
          <w:rFonts w:ascii="Arial" w:cs="Arial" w:eastAsia="Arial" w:hAnsi="Arial"/>
          <w:sz w:val="18"/>
          <w:szCs w:val="18"/>
          <w:color w:val="auto"/>
        </w:rPr>
        <w:t>(Translation of registrant’s name into English))</w:t>
      </w:r>
    </w:p>
    <w:p>
      <w:pPr>
        <w:spacing w:after="0" w:line="205" w:lineRule="exact"/>
        <w:rPr>
          <w:sz w:val="24"/>
          <w:szCs w:val="24"/>
          <w:color w:val="auto"/>
        </w:rPr>
      </w:pPr>
    </w:p>
    <w:p>
      <w:pPr>
        <w:jc w:val="center"/>
        <w:ind w:right="-1040"/>
        <w:spacing w:after="0"/>
        <w:rPr>
          <w:sz w:val="20"/>
          <w:szCs w:val="20"/>
          <w:color w:val="auto"/>
        </w:rPr>
      </w:pPr>
      <w:r>
        <w:rPr>
          <w:rFonts w:ascii="Arial" w:cs="Arial" w:eastAsia="Arial" w:hAnsi="Arial"/>
          <w:sz w:val="18"/>
          <w:szCs w:val="18"/>
          <w:b w:val="1"/>
          <w:bCs w:val="1"/>
          <w:color w:val="auto"/>
        </w:rPr>
        <w:t>Of our subsidiary</w:t>
      </w:r>
    </w:p>
    <w:p>
      <w:pPr>
        <w:spacing w:after="0" w:line="27" w:lineRule="exact"/>
        <w:rPr>
          <w:sz w:val="24"/>
          <w:szCs w:val="24"/>
          <w:color w:val="auto"/>
        </w:rPr>
      </w:pPr>
    </w:p>
    <w:p>
      <w:pPr>
        <w:jc w:val="center"/>
        <w:ind w:right="-1040"/>
        <w:spacing w:after="0"/>
        <w:rPr>
          <w:sz w:val="20"/>
          <w:szCs w:val="20"/>
          <w:color w:val="auto"/>
        </w:rPr>
      </w:pPr>
      <w:r>
        <w:rPr>
          <w:rFonts w:ascii="Arial" w:cs="Arial" w:eastAsia="Arial" w:hAnsi="Arial"/>
          <w:sz w:val="18"/>
          <w:szCs w:val="18"/>
          <w:b w:val="1"/>
          <w:bCs w:val="1"/>
          <w:color w:val="auto"/>
        </w:rPr>
        <w:t>Banco de Credito del Peru:</w:t>
      </w:r>
    </w:p>
    <w:p>
      <w:pPr>
        <w:spacing w:after="0" w:line="9" w:lineRule="exact"/>
        <w:rPr>
          <w:sz w:val="24"/>
          <w:szCs w:val="24"/>
          <w:color w:val="auto"/>
        </w:rPr>
      </w:pPr>
    </w:p>
    <w:p>
      <w:pPr>
        <w:jc w:val="center"/>
        <w:ind w:right="-1040"/>
        <w:spacing w:after="0"/>
        <w:rPr>
          <w:sz w:val="20"/>
          <w:szCs w:val="20"/>
          <w:color w:val="auto"/>
        </w:rPr>
      </w:pPr>
      <w:r>
        <w:rPr>
          <w:rFonts w:ascii="Arial" w:cs="Arial" w:eastAsia="Arial" w:hAnsi="Arial"/>
          <w:sz w:val="18"/>
          <w:szCs w:val="18"/>
          <w:b w:val="1"/>
          <w:bCs w:val="1"/>
          <w:color w:val="auto"/>
        </w:rPr>
        <w:t>Calle Centenario 156</w:t>
      </w:r>
    </w:p>
    <w:p>
      <w:pPr>
        <w:spacing w:after="0" w:line="9" w:lineRule="exact"/>
        <w:rPr>
          <w:sz w:val="24"/>
          <w:szCs w:val="24"/>
          <w:color w:val="auto"/>
        </w:rPr>
      </w:pPr>
    </w:p>
    <w:p>
      <w:pPr>
        <w:jc w:val="center"/>
        <w:ind w:right="-1040"/>
        <w:spacing w:after="0"/>
        <w:rPr>
          <w:sz w:val="20"/>
          <w:szCs w:val="20"/>
          <w:color w:val="auto"/>
        </w:rPr>
      </w:pPr>
      <w:r>
        <w:rPr>
          <w:rFonts w:ascii="Arial" w:cs="Arial" w:eastAsia="Arial" w:hAnsi="Arial"/>
          <w:sz w:val="18"/>
          <w:szCs w:val="18"/>
          <w:b w:val="1"/>
          <w:bCs w:val="1"/>
          <w:color w:val="auto"/>
        </w:rPr>
        <w:t>La Molina</w:t>
      </w:r>
    </w:p>
    <w:p>
      <w:pPr>
        <w:spacing w:after="0" w:line="9" w:lineRule="exact"/>
        <w:rPr>
          <w:sz w:val="24"/>
          <w:szCs w:val="24"/>
          <w:color w:val="auto"/>
        </w:rPr>
      </w:pPr>
    </w:p>
    <w:p>
      <w:pPr>
        <w:jc w:val="center"/>
        <w:ind w:right="-1040"/>
        <w:spacing w:after="0"/>
        <w:rPr>
          <w:sz w:val="20"/>
          <w:szCs w:val="20"/>
          <w:color w:val="auto"/>
        </w:rPr>
      </w:pPr>
      <w:r>
        <w:rPr>
          <w:rFonts w:ascii="Arial" w:cs="Arial" w:eastAsia="Arial" w:hAnsi="Arial"/>
          <w:sz w:val="18"/>
          <w:szCs w:val="18"/>
          <w:b w:val="1"/>
          <w:bCs w:val="1"/>
          <w:color w:val="auto"/>
        </w:rPr>
        <w:t>Lima 12, Peru</w:t>
      </w:r>
    </w:p>
    <w:p>
      <w:pPr>
        <w:spacing w:after="0" w:line="9" w:lineRule="exact"/>
        <w:rPr>
          <w:sz w:val="24"/>
          <w:szCs w:val="24"/>
          <w:color w:val="auto"/>
        </w:rPr>
      </w:pPr>
    </w:p>
    <w:p>
      <w:pPr>
        <w:jc w:val="center"/>
        <w:ind w:right="-1040"/>
        <w:spacing w:after="0"/>
        <w:rPr>
          <w:sz w:val="20"/>
          <w:szCs w:val="20"/>
          <w:color w:val="auto"/>
        </w:rPr>
      </w:pPr>
      <w:r>
        <w:rPr>
          <w:rFonts w:ascii="Arial" w:cs="Arial" w:eastAsia="Arial" w:hAnsi="Arial"/>
          <w:sz w:val="18"/>
          <w:szCs w:val="18"/>
          <w:color w:val="auto"/>
        </w:rPr>
        <w:t>(Address of principal executive office)</w:t>
      </w:r>
    </w:p>
    <w:p>
      <w:pPr>
        <w:spacing w:after="0" w:line="211" w:lineRule="exact"/>
        <w:rPr>
          <w:sz w:val="24"/>
          <w:szCs w:val="24"/>
          <w:color w:val="auto"/>
        </w:rPr>
      </w:pPr>
    </w:p>
    <w:p>
      <w:pPr>
        <w:jc w:val="center"/>
        <w:ind w:right="-1040"/>
        <w:spacing w:after="0"/>
        <w:rPr>
          <w:sz w:val="20"/>
          <w:szCs w:val="20"/>
          <w:color w:val="auto"/>
        </w:rPr>
      </w:pPr>
      <w:r>
        <w:rPr>
          <w:rFonts w:ascii="Arial" w:cs="Arial" w:eastAsia="Arial" w:hAnsi="Arial"/>
          <w:sz w:val="16"/>
          <w:szCs w:val="16"/>
          <w:color w:val="auto"/>
        </w:rPr>
        <w:t>Indicate by check mark whether the registrant files or will file annual reports under cover of Form 20-F or Form 40-F.</w:t>
      </w:r>
    </w:p>
    <w:p>
      <w:pPr>
        <w:spacing w:after="0" w:line="215" w:lineRule="exact"/>
        <w:rPr>
          <w:sz w:val="24"/>
          <w:szCs w:val="24"/>
          <w:color w:val="auto"/>
        </w:rPr>
      </w:pPr>
    </w:p>
    <w:p>
      <w:pPr>
        <w:ind w:left="4520"/>
        <w:spacing w:after="0" w:line="207" w:lineRule="exact"/>
        <w:tabs>
          <w:tab w:leader="none" w:pos="5620" w:val="left"/>
        </w:tabs>
        <w:rPr>
          <w:sz w:val="20"/>
          <w:szCs w:val="20"/>
          <w:color w:val="auto"/>
        </w:rPr>
      </w:pP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Form 40-F </w:t>
      </w:r>
      <w:r>
        <w:rPr>
          <w:rFonts w:ascii="MS PGothic" w:cs="MS PGothic" w:eastAsia="MS PGothic" w:hAnsi="MS PGothic"/>
          <w:sz w:val="16"/>
          <w:szCs w:val="16"/>
          <w:color w:val="auto"/>
        </w:rPr>
        <w:t>☐</w:t>
      </w:r>
    </w:p>
    <w:p>
      <w:pPr>
        <w:spacing w:after="0" w:line="258" w:lineRule="exact"/>
        <w:rPr>
          <w:sz w:val="24"/>
          <w:szCs w:val="24"/>
          <w:color w:val="auto"/>
        </w:rPr>
      </w:pPr>
    </w:p>
    <w:p>
      <w:pPr>
        <w:spacing w:after="0"/>
        <w:rPr>
          <w:sz w:val="20"/>
          <w:szCs w:val="20"/>
          <w:color w:val="auto"/>
        </w:rPr>
      </w:pPr>
      <w:r>
        <w:rPr>
          <w:rFonts w:ascii="Arial" w:cs="Arial" w:eastAsia="Arial" w:hAnsi="Arial"/>
          <w:sz w:val="17"/>
          <w:szCs w:val="17"/>
          <w:color w:val="auto"/>
        </w:rPr>
        <w:t>Indicate by check mark if the registrant is submitting the Form 6-K in paper as permitted by Regulation S-T Rule 101(b)(1): ____</w:t>
      </w:r>
    </w:p>
    <w:p>
      <w:pPr>
        <w:spacing w:after="0" w:line="237" w:lineRule="exact"/>
        <w:rPr>
          <w:sz w:val="24"/>
          <w:szCs w:val="24"/>
          <w:color w:val="auto"/>
        </w:rPr>
      </w:pPr>
    </w:p>
    <w:p>
      <w:pPr>
        <w:spacing w:after="0"/>
        <w:rPr>
          <w:sz w:val="20"/>
          <w:szCs w:val="20"/>
          <w:color w:val="auto"/>
        </w:rPr>
      </w:pPr>
      <w:r>
        <w:rPr>
          <w:rFonts w:ascii="Arial" w:cs="Arial" w:eastAsia="Arial" w:hAnsi="Arial"/>
          <w:sz w:val="17"/>
          <w:szCs w:val="17"/>
          <w:color w:val="auto"/>
        </w:rPr>
        <w:t>Indicate by check mark if the registrant is submitting the Form 6-K in paper as permitted by Regulation S-T Rule 101(b)(7): 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193675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210820</wp:posOffset>
            </wp:positionV>
            <wp:extent cx="7132320" cy="254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527685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079"/>
          </w:cols>
          <w:pgMar w:left="380" w:top="675" w:right="1440" w:bottom="1440" w:gutter="0" w:footer="0" w:header="0"/>
        </w:sectPr>
      </w:pPr>
    </w:p>
    <w:bookmarkStart w:id="1" w:name="page2"/>
    <w:bookmarkEnd w:id="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5257165</wp:posOffset>
            </wp:positionH>
            <wp:positionV relativeFrom="page">
              <wp:posOffset>586105</wp:posOffset>
            </wp:positionV>
            <wp:extent cx="2057400" cy="5740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clrChange>
                        <a:clrFrom>
                          <a:srgbClr val="FFFFFF"/>
                        </a:clrFrom>
                        <a:clrTo>
                          <a:srgbClr val="FFFFFF">
                            <a:alpha val="0"/>
                          </a:srgbClr>
                        </a:clrTo>
                      </a:clrChange>
                      <a:extLst>
                        <a:ext uri="{28A0092B-C50C-407E-A947-70E740481C1C}"/>
                      </a:extLst>
                    </a:blip>
                    <a:srcRect/>
                    <a:stretch>
                      <a:fillRect/>
                    </a:stretch>
                  </pic:blipFill>
                  <pic:spPr bwMode="auto">
                    <a:xfrm>
                      <a:off x="0" y="0"/>
                      <a:ext cx="2057400" cy="574040"/>
                    </a:xfrm>
                    <a:prstGeom prst="rect">
                      <a:avLst/>
                    </a:prstGeom>
                    <a:noFill/>
                  </pic:spPr>
                </pic:pic>
              </a:graphicData>
            </a:graphic>
          </wp:anchor>
        </w:drawing>
      </w: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color w:val="auto"/>
        </w:rPr>
        <w:t>June 9, 2020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Securities and Exchange Commission - SEC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Re.: MATERIAL EVENT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Dear Sirs: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hereby notify you as a Material Event that the Board of Directors of Credicorp Ltd. (“Credicorp”), in its session held on June 9, 2020, has approved the following matters in relation to the election, at the Company’s Annual General Meeting of Shareholders, of the new Board which will perform the role for the 2020-2023 period.</w:t>
      </w:r>
    </w:p>
    <w:p>
      <w:pPr>
        <w:spacing w:after="0" w:line="184" w:lineRule="exact"/>
        <w:rPr>
          <w:sz w:val="20"/>
          <w:szCs w:val="20"/>
          <w:color w:val="auto"/>
        </w:rPr>
      </w:pPr>
    </w:p>
    <w:p>
      <w:pPr>
        <w:ind w:left="380" w:hanging="372"/>
        <w:spacing w:after="0" w:line="277" w:lineRule="auto"/>
        <w:tabs>
          <w:tab w:leader="none" w:pos="380" w:val="left"/>
        </w:tabs>
        <w:numPr>
          <w:ilvl w:val="0"/>
          <w:numId w:val="1"/>
        </w:numPr>
        <w:rPr>
          <w:rFonts w:ascii="Arial" w:cs="Arial" w:eastAsia="Arial" w:hAnsi="Arial"/>
          <w:sz w:val="18"/>
          <w:szCs w:val="18"/>
          <w:color w:val="auto"/>
        </w:rPr>
      </w:pPr>
      <w:r>
        <w:rPr>
          <w:rFonts w:ascii="Arial" w:cs="Arial" w:eastAsia="Arial" w:hAnsi="Arial"/>
          <w:sz w:val="18"/>
          <w:szCs w:val="18"/>
          <w:color w:val="auto"/>
        </w:rPr>
        <w:t>Election of Mr. Luis Romero Belismelis as the Chairman of the Board and Executive Chairman of Credicorp and Mr. Raimundo Morales Dasso as the Vice-Chairman of the Board.</w:t>
      </w:r>
    </w:p>
    <w:p>
      <w:pPr>
        <w:spacing w:after="0" w:line="170" w:lineRule="exact"/>
        <w:rPr>
          <w:rFonts w:ascii="Arial" w:cs="Arial" w:eastAsia="Arial" w:hAnsi="Arial"/>
          <w:sz w:val="18"/>
          <w:szCs w:val="18"/>
          <w:color w:val="auto"/>
        </w:rPr>
      </w:pPr>
    </w:p>
    <w:p>
      <w:pPr>
        <w:ind w:left="380" w:hanging="372"/>
        <w:spacing w:after="0"/>
        <w:tabs>
          <w:tab w:leader="none" w:pos="380" w:val="left"/>
        </w:tabs>
        <w:numPr>
          <w:ilvl w:val="0"/>
          <w:numId w:val="1"/>
        </w:numPr>
        <w:rPr>
          <w:rFonts w:ascii="Arial" w:cs="Arial" w:eastAsia="Arial" w:hAnsi="Arial"/>
          <w:sz w:val="18"/>
          <w:szCs w:val="18"/>
          <w:color w:val="auto"/>
        </w:rPr>
      </w:pPr>
      <w:r>
        <w:rPr>
          <w:rFonts w:ascii="Arial" w:cs="Arial" w:eastAsia="Arial" w:hAnsi="Arial"/>
          <w:sz w:val="18"/>
          <w:szCs w:val="18"/>
          <w:color w:val="auto"/>
        </w:rPr>
        <w:t>Designation of the following directors as members of the Audit Committee:</w:t>
      </w:r>
    </w:p>
    <w:p>
      <w:pPr>
        <w:spacing w:after="0" w:line="23" w:lineRule="exact"/>
        <w:rPr>
          <w:rFonts w:ascii="Arial" w:cs="Arial" w:eastAsia="Arial" w:hAnsi="Arial"/>
          <w:sz w:val="18"/>
          <w:szCs w:val="18"/>
          <w:color w:val="auto"/>
        </w:rPr>
      </w:pPr>
    </w:p>
    <w:p>
      <w:pPr>
        <w:ind w:left="640" w:hanging="308"/>
        <w:spacing w:after="0"/>
        <w:tabs>
          <w:tab w:leader="none" w:pos="640" w:val="left"/>
        </w:tabs>
        <w:numPr>
          <w:ilvl w:val="1"/>
          <w:numId w:val="1"/>
        </w:numPr>
        <w:rPr>
          <w:rFonts w:ascii="Arial" w:cs="Arial" w:eastAsia="Arial" w:hAnsi="Arial"/>
          <w:sz w:val="18"/>
          <w:szCs w:val="18"/>
          <w:color w:val="auto"/>
        </w:rPr>
      </w:pPr>
      <w:r>
        <w:rPr>
          <w:rFonts w:ascii="Arial" w:cs="Arial" w:eastAsia="Arial" w:hAnsi="Arial"/>
          <w:sz w:val="18"/>
          <w:szCs w:val="18"/>
          <w:color w:val="auto"/>
        </w:rPr>
        <w:t>Patricia Lizárraga Guthertz (Chair and Financial Expert)</w:t>
      </w:r>
    </w:p>
    <w:p>
      <w:pPr>
        <w:spacing w:after="0" w:line="9" w:lineRule="exact"/>
        <w:rPr>
          <w:rFonts w:ascii="Arial" w:cs="Arial" w:eastAsia="Arial" w:hAnsi="Arial"/>
          <w:sz w:val="18"/>
          <w:szCs w:val="18"/>
          <w:color w:val="auto"/>
        </w:rPr>
      </w:pPr>
    </w:p>
    <w:p>
      <w:pPr>
        <w:ind w:left="640" w:hanging="308"/>
        <w:spacing w:after="0"/>
        <w:tabs>
          <w:tab w:leader="none" w:pos="640" w:val="left"/>
        </w:tabs>
        <w:numPr>
          <w:ilvl w:val="1"/>
          <w:numId w:val="1"/>
        </w:numPr>
        <w:rPr>
          <w:rFonts w:ascii="Arial" w:cs="Arial" w:eastAsia="Arial" w:hAnsi="Arial"/>
          <w:sz w:val="18"/>
          <w:szCs w:val="18"/>
          <w:color w:val="auto"/>
        </w:rPr>
      </w:pPr>
      <w:r>
        <w:rPr>
          <w:rFonts w:ascii="Arial" w:cs="Arial" w:eastAsia="Arial" w:hAnsi="Arial"/>
          <w:sz w:val="18"/>
          <w:szCs w:val="18"/>
          <w:color w:val="auto"/>
        </w:rPr>
        <w:t>Maite Aranzábal Harreguy</w:t>
      </w:r>
    </w:p>
    <w:p>
      <w:pPr>
        <w:spacing w:after="0" w:line="9" w:lineRule="exact"/>
        <w:rPr>
          <w:rFonts w:ascii="Arial" w:cs="Arial" w:eastAsia="Arial" w:hAnsi="Arial"/>
          <w:sz w:val="18"/>
          <w:szCs w:val="18"/>
          <w:color w:val="auto"/>
        </w:rPr>
      </w:pPr>
    </w:p>
    <w:p>
      <w:pPr>
        <w:ind w:left="640" w:hanging="308"/>
        <w:spacing w:after="0"/>
        <w:tabs>
          <w:tab w:leader="none" w:pos="640" w:val="left"/>
        </w:tabs>
        <w:numPr>
          <w:ilvl w:val="1"/>
          <w:numId w:val="1"/>
        </w:numPr>
        <w:rPr>
          <w:rFonts w:ascii="Arial" w:cs="Arial" w:eastAsia="Arial" w:hAnsi="Arial"/>
          <w:sz w:val="18"/>
          <w:szCs w:val="18"/>
          <w:color w:val="auto"/>
        </w:rPr>
      </w:pPr>
      <w:r>
        <w:rPr>
          <w:rFonts w:ascii="Arial" w:cs="Arial" w:eastAsia="Arial" w:hAnsi="Arial"/>
          <w:sz w:val="18"/>
          <w:szCs w:val="18"/>
          <w:color w:val="auto"/>
        </w:rPr>
        <w:t>Irzio Pinasco Menchelli</w:t>
      </w:r>
    </w:p>
    <w:p>
      <w:pPr>
        <w:spacing w:after="0" w:line="21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Mr. Raimundo Morales Dasso will act as advisor to the Audit Committee.</w:t>
      </w:r>
    </w:p>
    <w:p>
      <w:pPr>
        <w:spacing w:after="0" w:line="225" w:lineRule="exact"/>
        <w:rPr>
          <w:sz w:val="20"/>
          <w:szCs w:val="20"/>
          <w:color w:val="auto"/>
        </w:rPr>
      </w:pPr>
    </w:p>
    <w:p>
      <w:pPr>
        <w:ind w:left="380" w:hanging="372"/>
        <w:spacing w:after="0"/>
        <w:tabs>
          <w:tab w:leader="none" w:pos="380" w:val="left"/>
        </w:tabs>
        <w:numPr>
          <w:ilvl w:val="0"/>
          <w:numId w:val="2"/>
        </w:numPr>
        <w:rPr>
          <w:rFonts w:ascii="Arial" w:cs="Arial" w:eastAsia="Arial" w:hAnsi="Arial"/>
          <w:sz w:val="18"/>
          <w:szCs w:val="18"/>
          <w:color w:val="auto"/>
        </w:rPr>
      </w:pPr>
      <w:r>
        <w:rPr>
          <w:rFonts w:ascii="Arial" w:cs="Arial" w:eastAsia="Arial" w:hAnsi="Arial"/>
          <w:sz w:val="18"/>
          <w:szCs w:val="18"/>
          <w:color w:val="auto"/>
        </w:rPr>
        <w:t>Designation of the following directors as members of the Risk Committee:</w:t>
      </w:r>
    </w:p>
    <w:p>
      <w:pPr>
        <w:spacing w:after="0" w:line="23" w:lineRule="exact"/>
        <w:rPr>
          <w:rFonts w:ascii="Arial" w:cs="Arial" w:eastAsia="Arial" w:hAnsi="Arial"/>
          <w:sz w:val="18"/>
          <w:szCs w:val="18"/>
          <w:color w:val="auto"/>
        </w:rPr>
      </w:pPr>
    </w:p>
    <w:p>
      <w:pPr>
        <w:ind w:left="640" w:hanging="308"/>
        <w:spacing w:after="0"/>
        <w:tabs>
          <w:tab w:leader="none" w:pos="640" w:val="left"/>
        </w:tabs>
        <w:numPr>
          <w:ilvl w:val="1"/>
          <w:numId w:val="2"/>
        </w:numPr>
        <w:rPr>
          <w:rFonts w:ascii="Arial" w:cs="Arial" w:eastAsia="Arial" w:hAnsi="Arial"/>
          <w:sz w:val="18"/>
          <w:szCs w:val="18"/>
          <w:color w:val="auto"/>
        </w:rPr>
      </w:pPr>
      <w:r>
        <w:rPr>
          <w:rFonts w:ascii="Arial" w:cs="Arial" w:eastAsia="Arial" w:hAnsi="Arial"/>
          <w:sz w:val="18"/>
          <w:szCs w:val="18"/>
          <w:color w:val="auto"/>
        </w:rPr>
        <w:t>Raimundo Morales Dasso (Chair)</w:t>
      </w:r>
    </w:p>
    <w:p>
      <w:pPr>
        <w:spacing w:after="0" w:line="9" w:lineRule="exact"/>
        <w:rPr>
          <w:rFonts w:ascii="Arial" w:cs="Arial" w:eastAsia="Arial" w:hAnsi="Arial"/>
          <w:sz w:val="18"/>
          <w:szCs w:val="18"/>
          <w:color w:val="auto"/>
        </w:rPr>
      </w:pPr>
    </w:p>
    <w:p>
      <w:pPr>
        <w:ind w:left="640" w:hanging="308"/>
        <w:spacing w:after="0"/>
        <w:tabs>
          <w:tab w:leader="none" w:pos="640" w:val="left"/>
        </w:tabs>
        <w:numPr>
          <w:ilvl w:val="1"/>
          <w:numId w:val="2"/>
        </w:numPr>
        <w:rPr>
          <w:rFonts w:ascii="Arial" w:cs="Arial" w:eastAsia="Arial" w:hAnsi="Arial"/>
          <w:sz w:val="18"/>
          <w:szCs w:val="18"/>
          <w:color w:val="auto"/>
        </w:rPr>
      </w:pPr>
      <w:r>
        <w:rPr>
          <w:rFonts w:ascii="Arial" w:cs="Arial" w:eastAsia="Arial" w:hAnsi="Arial"/>
          <w:sz w:val="18"/>
          <w:szCs w:val="18"/>
          <w:color w:val="auto"/>
        </w:rPr>
        <w:t>Alexandre Gouvea</w:t>
      </w:r>
    </w:p>
    <w:p>
      <w:pPr>
        <w:spacing w:after="0" w:line="9" w:lineRule="exact"/>
        <w:rPr>
          <w:rFonts w:ascii="Arial" w:cs="Arial" w:eastAsia="Arial" w:hAnsi="Arial"/>
          <w:sz w:val="18"/>
          <w:szCs w:val="18"/>
          <w:color w:val="auto"/>
        </w:rPr>
      </w:pPr>
    </w:p>
    <w:p>
      <w:pPr>
        <w:ind w:left="640" w:hanging="308"/>
        <w:spacing w:after="0"/>
        <w:tabs>
          <w:tab w:leader="none" w:pos="640" w:val="left"/>
        </w:tabs>
        <w:numPr>
          <w:ilvl w:val="1"/>
          <w:numId w:val="2"/>
        </w:numPr>
        <w:rPr>
          <w:rFonts w:ascii="Arial" w:cs="Arial" w:eastAsia="Arial" w:hAnsi="Arial"/>
          <w:sz w:val="18"/>
          <w:szCs w:val="18"/>
          <w:color w:val="auto"/>
        </w:rPr>
      </w:pPr>
      <w:r>
        <w:rPr>
          <w:rFonts w:ascii="Arial" w:cs="Arial" w:eastAsia="Arial" w:hAnsi="Arial"/>
          <w:sz w:val="18"/>
          <w:szCs w:val="18"/>
          <w:color w:val="auto"/>
        </w:rPr>
        <w:t>Luis Romero Belismelis</w:t>
      </w:r>
    </w:p>
    <w:p>
      <w:pPr>
        <w:spacing w:after="0" w:line="9" w:lineRule="exact"/>
        <w:rPr>
          <w:rFonts w:ascii="Arial" w:cs="Arial" w:eastAsia="Arial" w:hAnsi="Arial"/>
          <w:sz w:val="18"/>
          <w:szCs w:val="18"/>
          <w:color w:val="auto"/>
        </w:rPr>
      </w:pPr>
    </w:p>
    <w:p>
      <w:pPr>
        <w:ind w:left="640" w:right="20" w:hanging="308"/>
        <w:spacing w:after="0" w:line="260" w:lineRule="auto"/>
        <w:tabs>
          <w:tab w:leader="none" w:pos="640" w:val="left"/>
        </w:tabs>
        <w:numPr>
          <w:ilvl w:val="1"/>
          <w:numId w:val="2"/>
        </w:numPr>
        <w:rPr>
          <w:rFonts w:ascii="Arial" w:cs="Arial" w:eastAsia="Arial" w:hAnsi="Arial"/>
          <w:sz w:val="18"/>
          <w:szCs w:val="18"/>
          <w:color w:val="auto"/>
        </w:rPr>
      </w:pPr>
      <w:r>
        <w:rPr>
          <w:rFonts w:ascii="Arial" w:cs="Arial" w:eastAsia="Arial" w:hAnsi="Arial"/>
          <w:sz w:val="18"/>
          <w:szCs w:val="18"/>
          <w:color w:val="auto"/>
        </w:rPr>
        <w:t>Pedro Rubio Feijóo (member of the Board of Directors of Banco de Credito del Peru, Prima AFP, Credicorp Capital and other subsidiaries of Credicorp)</w:t>
      </w:r>
    </w:p>
    <w:p>
      <w:pPr>
        <w:spacing w:after="0" w:line="185" w:lineRule="exact"/>
        <w:rPr>
          <w:rFonts w:ascii="Arial" w:cs="Arial" w:eastAsia="Arial" w:hAnsi="Arial"/>
          <w:sz w:val="18"/>
          <w:szCs w:val="18"/>
          <w:color w:val="auto"/>
        </w:rPr>
      </w:pPr>
    </w:p>
    <w:p>
      <w:pPr>
        <w:ind w:left="380" w:hanging="372"/>
        <w:spacing w:after="0"/>
        <w:tabs>
          <w:tab w:leader="none" w:pos="380" w:val="left"/>
        </w:tabs>
        <w:numPr>
          <w:ilvl w:val="0"/>
          <w:numId w:val="2"/>
        </w:numPr>
        <w:rPr>
          <w:rFonts w:ascii="Arial" w:cs="Arial" w:eastAsia="Arial" w:hAnsi="Arial"/>
          <w:sz w:val="18"/>
          <w:szCs w:val="18"/>
          <w:color w:val="auto"/>
        </w:rPr>
      </w:pPr>
      <w:r>
        <w:rPr>
          <w:rFonts w:ascii="Arial" w:cs="Arial" w:eastAsia="Arial" w:hAnsi="Arial"/>
          <w:sz w:val="18"/>
          <w:szCs w:val="18"/>
          <w:color w:val="auto"/>
        </w:rPr>
        <w:t>Designation of the following directors as members of the Compensation and Nominations Committee:</w:t>
      </w:r>
    </w:p>
    <w:p>
      <w:pPr>
        <w:spacing w:after="0" w:line="23" w:lineRule="exact"/>
        <w:rPr>
          <w:rFonts w:ascii="Arial" w:cs="Arial" w:eastAsia="Arial" w:hAnsi="Arial"/>
          <w:sz w:val="18"/>
          <w:szCs w:val="18"/>
          <w:color w:val="auto"/>
        </w:rPr>
      </w:pPr>
    </w:p>
    <w:p>
      <w:pPr>
        <w:ind w:left="640" w:hanging="308"/>
        <w:spacing w:after="0"/>
        <w:tabs>
          <w:tab w:leader="none" w:pos="640" w:val="left"/>
        </w:tabs>
        <w:numPr>
          <w:ilvl w:val="1"/>
          <w:numId w:val="2"/>
        </w:numPr>
        <w:rPr>
          <w:rFonts w:ascii="Arial" w:cs="Arial" w:eastAsia="Arial" w:hAnsi="Arial"/>
          <w:sz w:val="18"/>
          <w:szCs w:val="18"/>
          <w:color w:val="auto"/>
        </w:rPr>
      </w:pPr>
      <w:r>
        <w:rPr>
          <w:rFonts w:ascii="Arial" w:cs="Arial" w:eastAsia="Arial" w:hAnsi="Arial"/>
          <w:sz w:val="18"/>
          <w:szCs w:val="18"/>
          <w:color w:val="auto"/>
        </w:rPr>
        <w:t>Alexandre Gouvea (Chair)</w:t>
      </w:r>
    </w:p>
    <w:p>
      <w:pPr>
        <w:spacing w:after="0" w:line="9" w:lineRule="exact"/>
        <w:rPr>
          <w:rFonts w:ascii="Arial" w:cs="Arial" w:eastAsia="Arial" w:hAnsi="Arial"/>
          <w:sz w:val="18"/>
          <w:szCs w:val="18"/>
          <w:color w:val="auto"/>
        </w:rPr>
      </w:pPr>
    </w:p>
    <w:p>
      <w:pPr>
        <w:ind w:left="640" w:hanging="308"/>
        <w:spacing w:after="0"/>
        <w:tabs>
          <w:tab w:leader="none" w:pos="640" w:val="left"/>
        </w:tabs>
        <w:numPr>
          <w:ilvl w:val="1"/>
          <w:numId w:val="2"/>
        </w:numPr>
        <w:rPr>
          <w:rFonts w:ascii="Arial" w:cs="Arial" w:eastAsia="Arial" w:hAnsi="Arial"/>
          <w:sz w:val="18"/>
          <w:szCs w:val="18"/>
          <w:color w:val="auto"/>
        </w:rPr>
      </w:pPr>
      <w:r>
        <w:rPr>
          <w:rFonts w:ascii="Arial" w:cs="Arial" w:eastAsia="Arial" w:hAnsi="Arial"/>
          <w:sz w:val="18"/>
          <w:szCs w:val="18"/>
          <w:color w:val="auto"/>
        </w:rPr>
        <w:t>Antonio Abruña Puyol</w:t>
      </w:r>
    </w:p>
    <w:p>
      <w:pPr>
        <w:spacing w:after="0" w:line="9" w:lineRule="exact"/>
        <w:rPr>
          <w:rFonts w:ascii="Arial" w:cs="Arial" w:eastAsia="Arial" w:hAnsi="Arial"/>
          <w:sz w:val="18"/>
          <w:szCs w:val="18"/>
          <w:color w:val="auto"/>
        </w:rPr>
      </w:pPr>
    </w:p>
    <w:p>
      <w:pPr>
        <w:ind w:left="640" w:hanging="308"/>
        <w:spacing w:after="0"/>
        <w:tabs>
          <w:tab w:leader="none" w:pos="640" w:val="left"/>
        </w:tabs>
        <w:numPr>
          <w:ilvl w:val="1"/>
          <w:numId w:val="2"/>
        </w:numPr>
        <w:rPr>
          <w:rFonts w:ascii="Arial" w:cs="Arial" w:eastAsia="Arial" w:hAnsi="Arial"/>
          <w:sz w:val="18"/>
          <w:szCs w:val="18"/>
          <w:color w:val="auto"/>
        </w:rPr>
      </w:pPr>
      <w:r>
        <w:rPr>
          <w:rFonts w:ascii="Arial" w:cs="Arial" w:eastAsia="Arial" w:hAnsi="Arial"/>
          <w:sz w:val="18"/>
          <w:szCs w:val="18"/>
          <w:color w:val="auto"/>
        </w:rPr>
        <w:t>Raimundo Morales Dasso</w:t>
      </w:r>
    </w:p>
    <w:p>
      <w:pPr>
        <w:spacing w:after="0" w:line="9" w:lineRule="exact"/>
        <w:rPr>
          <w:rFonts w:ascii="Arial" w:cs="Arial" w:eastAsia="Arial" w:hAnsi="Arial"/>
          <w:sz w:val="18"/>
          <w:szCs w:val="18"/>
          <w:color w:val="auto"/>
        </w:rPr>
      </w:pPr>
    </w:p>
    <w:p>
      <w:pPr>
        <w:ind w:left="640" w:hanging="308"/>
        <w:spacing w:after="0"/>
        <w:tabs>
          <w:tab w:leader="none" w:pos="640" w:val="left"/>
        </w:tabs>
        <w:numPr>
          <w:ilvl w:val="1"/>
          <w:numId w:val="2"/>
        </w:numPr>
        <w:rPr>
          <w:rFonts w:ascii="Arial" w:cs="Arial" w:eastAsia="Arial" w:hAnsi="Arial"/>
          <w:sz w:val="18"/>
          <w:szCs w:val="18"/>
          <w:color w:val="auto"/>
        </w:rPr>
      </w:pPr>
      <w:r>
        <w:rPr>
          <w:rFonts w:ascii="Arial" w:cs="Arial" w:eastAsia="Arial" w:hAnsi="Arial"/>
          <w:sz w:val="18"/>
          <w:szCs w:val="18"/>
          <w:color w:val="auto"/>
        </w:rPr>
        <w:t>Luis Romero Belismelis</w:t>
      </w:r>
    </w:p>
    <w:p>
      <w:pPr>
        <w:spacing w:after="0" w:line="210" w:lineRule="exact"/>
        <w:rPr>
          <w:rFonts w:ascii="Arial" w:cs="Arial" w:eastAsia="Arial" w:hAnsi="Arial"/>
          <w:sz w:val="18"/>
          <w:szCs w:val="18"/>
          <w:color w:val="auto"/>
        </w:rPr>
      </w:pPr>
    </w:p>
    <w:p>
      <w:pPr>
        <w:ind w:left="380" w:hanging="372"/>
        <w:spacing w:after="0"/>
        <w:tabs>
          <w:tab w:leader="none" w:pos="380" w:val="left"/>
        </w:tabs>
        <w:numPr>
          <w:ilvl w:val="0"/>
          <w:numId w:val="2"/>
        </w:numPr>
        <w:rPr>
          <w:rFonts w:ascii="Arial" w:cs="Arial" w:eastAsia="Arial" w:hAnsi="Arial"/>
          <w:sz w:val="18"/>
          <w:szCs w:val="18"/>
          <w:color w:val="auto"/>
        </w:rPr>
      </w:pPr>
      <w:r>
        <w:rPr>
          <w:rFonts w:ascii="Arial" w:cs="Arial" w:eastAsia="Arial" w:hAnsi="Arial"/>
          <w:sz w:val="18"/>
          <w:szCs w:val="18"/>
          <w:color w:val="auto"/>
        </w:rPr>
        <w:t>Designation of the following directors as members of the Corporate Governance Committee:</w:t>
      </w:r>
    </w:p>
    <w:p>
      <w:pPr>
        <w:spacing w:after="0" w:line="23" w:lineRule="exact"/>
        <w:rPr>
          <w:rFonts w:ascii="Arial" w:cs="Arial" w:eastAsia="Arial" w:hAnsi="Arial"/>
          <w:sz w:val="18"/>
          <w:szCs w:val="18"/>
          <w:color w:val="auto"/>
        </w:rPr>
      </w:pPr>
    </w:p>
    <w:p>
      <w:pPr>
        <w:ind w:left="640" w:hanging="308"/>
        <w:spacing w:after="0"/>
        <w:tabs>
          <w:tab w:leader="none" w:pos="640" w:val="left"/>
        </w:tabs>
        <w:numPr>
          <w:ilvl w:val="1"/>
          <w:numId w:val="2"/>
        </w:numPr>
        <w:rPr>
          <w:rFonts w:ascii="Arial" w:cs="Arial" w:eastAsia="Arial" w:hAnsi="Arial"/>
          <w:sz w:val="18"/>
          <w:szCs w:val="18"/>
          <w:color w:val="auto"/>
        </w:rPr>
      </w:pPr>
      <w:r>
        <w:rPr>
          <w:rFonts w:ascii="Arial" w:cs="Arial" w:eastAsia="Arial" w:hAnsi="Arial"/>
          <w:sz w:val="18"/>
          <w:szCs w:val="18"/>
          <w:color w:val="auto"/>
        </w:rPr>
        <w:t>Maite Aranzábal Harreguy (Chair)</w:t>
      </w:r>
    </w:p>
    <w:p>
      <w:pPr>
        <w:spacing w:after="0" w:line="9" w:lineRule="exact"/>
        <w:rPr>
          <w:rFonts w:ascii="Arial" w:cs="Arial" w:eastAsia="Arial" w:hAnsi="Arial"/>
          <w:sz w:val="18"/>
          <w:szCs w:val="18"/>
          <w:color w:val="auto"/>
        </w:rPr>
      </w:pPr>
    </w:p>
    <w:p>
      <w:pPr>
        <w:ind w:left="640" w:hanging="308"/>
        <w:spacing w:after="0"/>
        <w:tabs>
          <w:tab w:leader="none" w:pos="640" w:val="left"/>
        </w:tabs>
        <w:numPr>
          <w:ilvl w:val="1"/>
          <w:numId w:val="2"/>
        </w:numPr>
        <w:rPr>
          <w:rFonts w:ascii="Arial" w:cs="Arial" w:eastAsia="Arial" w:hAnsi="Arial"/>
          <w:sz w:val="18"/>
          <w:szCs w:val="18"/>
          <w:color w:val="auto"/>
        </w:rPr>
      </w:pPr>
      <w:r>
        <w:rPr>
          <w:rFonts w:ascii="Arial" w:cs="Arial" w:eastAsia="Arial" w:hAnsi="Arial"/>
          <w:sz w:val="18"/>
          <w:szCs w:val="18"/>
          <w:color w:val="auto"/>
        </w:rPr>
        <w:t>Antonio Abruña Puyol</w:t>
      </w:r>
    </w:p>
    <w:p>
      <w:pPr>
        <w:spacing w:after="0" w:line="9" w:lineRule="exact"/>
        <w:rPr>
          <w:rFonts w:ascii="Arial" w:cs="Arial" w:eastAsia="Arial" w:hAnsi="Arial"/>
          <w:sz w:val="18"/>
          <w:szCs w:val="18"/>
          <w:color w:val="auto"/>
        </w:rPr>
      </w:pPr>
    </w:p>
    <w:p>
      <w:pPr>
        <w:ind w:left="640" w:hanging="308"/>
        <w:spacing w:after="0"/>
        <w:tabs>
          <w:tab w:leader="none" w:pos="640" w:val="left"/>
        </w:tabs>
        <w:numPr>
          <w:ilvl w:val="1"/>
          <w:numId w:val="2"/>
        </w:numPr>
        <w:rPr>
          <w:rFonts w:ascii="Arial" w:cs="Arial" w:eastAsia="Arial" w:hAnsi="Arial"/>
          <w:sz w:val="18"/>
          <w:szCs w:val="18"/>
          <w:color w:val="auto"/>
        </w:rPr>
      </w:pPr>
      <w:r>
        <w:rPr>
          <w:rFonts w:ascii="Arial" w:cs="Arial" w:eastAsia="Arial" w:hAnsi="Arial"/>
          <w:sz w:val="18"/>
          <w:szCs w:val="18"/>
          <w:color w:val="auto"/>
        </w:rPr>
        <w:t>Fernando Fort Marie</w:t>
      </w:r>
    </w:p>
    <w:p>
      <w:pPr>
        <w:spacing w:after="0" w:line="9" w:lineRule="exact"/>
        <w:rPr>
          <w:rFonts w:ascii="Arial" w:cs="Arial" w:eastAsia="Arial" w:hAnsi="Arial"/>
          <w:sz w:val="18"/>
          <w:szCs w:val="18"/>
          <w:color w:val="auto"/>
        </w:rPr>
      </w:pPr>
    </w:p>
    <w:p>
      <w:pPr>
        <w:ind w:left="640" w:hanging="308"/>
        <w:spacing w:after="0"/>
        <w:tabs>
          <w:tab w:leader="none" w:pos="640" w:val="left"/>
        </w:tabs>
        <w:numPr>
          <w:ilvl w:val="1"/>
          <w:numId w:val="2"/>
        </w:numPr>
        <w:rPr>
          <w:rFonts w:ascii="Arial" w:cs="Arial" w:eastAsia="Arial" w:hAnsi="Arial"/>
          <w:sz w:val="18"/>
          <w:szCs w:val="18"/>
          <w:color w:val="auto"/>
        </w:rPr>
      </w:pPr>
      <w:r>
        <w:rPr>
          <w:rFonts w:ascii="Arial" w:cs="Arial" w:eastAsia="Arial" w:hAnsi="Arial"/>
          <w:sz w:val="18"/>
          <w:szCs w:val="18"/>
          <w:color w:val="auto"/>
        </w:rPr>
        <w:t>Patricia Lizárraga Guthertz</w:t>
      </w:r>
    </w:p>
    <w:p>
      <w:pPr>
        <w:spacing w:after="0" w:line="9" w:lineRule="exact"/>
        <w:rPr>
          <w:rFonts w:ascii="Arial" w:cs="Arial" w:eastAsia="Arial" w:hAnsi="Arial"/>
          <w:sz w:val="18"/>
          <w:szCs w:val="18"/>
          <w:color w:val="auto"/>
        </w:rPr>
      </w:pPr>
    </w:p>
    <w:p>
      <w:pPr>
        <w:ind w:left="640" w:hanging="308"/>
        <w:spacing w:after="0"/>
        <w:tabs>
          <w:tab w:leader="none" w:pos="640" w:val="left"/>
        </w:tabs>
        <w:numPr>
          <w:ilvl w:val="1"/>
          <w:numId w:val="2"/>
        </w:numPr>
        <w:rPr>
          <w:rFonts w:ascii="Arial" w:cs="Arial" w:eastAsia="Arial" w:hAnsi="Arial"/>
          <w:sz w:val="18"/>
          <w:szCs w:val="18"/>
          <w:color w:val="auto"/>
        </w:rPr>
      </w:pPr>
      <w:r>
        <w:rPr>
          <w:rFonts w:ascii="Arial" w:cs="Arial" w:eastAsia="Arial" w:hAnsi="Arial"/>
          <w:sz w:val="18"/>
          <w:szCs w:val="18"/>
          <w:color w:val="auto"/>
        </w:rPr>
        <w:t>Barbara Bruce Ventura (member of the Board of Directors of Banco de Credito del Peru)</w:t>
      </w:r>
    </w:p>
    <w:p>
      <w:pPr>
        <w:spacing w:after="0" w:line="21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information in this Form 6-K (including any exhibit hereto) shall not be deemed “filed” for purposes of Section 18 of the Securities Exchange Act of 1934 (the ‘Exchange Act’) or otherwise subject to the liabilities of that section, nor shall it be deemed incorporated by reference in any filing under the Securities Act of 1933 or the Exchange Act.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 </w:t>
      </w:r>
      <w:r>
        <w:rPr>
          <w:rFonts w:ascii="Arial" w:cs="Arial" w:eastAsia="Arial" w:hAnsi="Arial"/>
          <w:sz w:val="18"/>
          <w:szCs w:val="18"/>
          <w:u w:val="single" w:color="auto"/>
          <w:color w:val="auto"/>
        </w:rPr>
        <w:t>Miriam Böttger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Authorized Representative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Credicorp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 w:name="page3"/>
    <w:bookmarkEnd w:id="2"/>
    <w:p>
      <w:pPr>
        <w:jc w:val="center"/>
        <w:ind w:right="-43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firstLine="535"/>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ind w:left="540"/>
        <w:spacing w:after="0"/>
        <w:rPr>
          <w:sz w:val="20"/>
          <w:szCs w:val="20"/>
          <w:color w:val="auto"/>
        </w:rPr>
      </w:pPr>
      <w:r>
        <w:rPr>
          <w:rFonts w:ascii="Arial" w:cs="Arial" w:eastAsia="Arial" w:hAnsi="Arial"/>
          <w:sz w:val="18"/>
          <w:szCs w:val="18"/>
          <w:color w:val="auto"/>
        </w:rPr>
        <w:t>Date: June 9, 2020</w:t>
      </w:r>
    </w:p>
    <w:p>
      <w:pPr>
        <w:spacing w:after="0" w:line="22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CREDICORP LTD.</w:t>
      </w:r>
    </w:p>
    <w:p>
      <w:pPr>
        <w:spacing w:after="0" w:line="2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(Registrant)</w:t>
      </w:r>
    </w:p>
    <w:p>
      <w:pPr>
        <w:spacing w:after="0" w:line="200" w:lineRule="exact"/>
        <w:rPr>
          <w:sz w:val="20"/>
          <w:szCs w:val="20"/>
          <w:color w:val="auto"/>
        </w:rPr>
      </w:pPr>
    </w:p>
    <w:p>
      <w:pPr>
        <w:spacing w:after="0" w:line="227" w:lineRule="exact"/>
        <w:rPr>
          <w:sz w:val="20"/>
          <w:szCs w:val="20"/>
          <w:color w:val="auto"/>
        </w:rPr>
      </w:pPr>
    </w:p>
    <w:p>
      <w:pPr>
        <w:ind w:left="5640"/>
        <w:spacing w:after="0"/>
        <w:tabs>
          <w:tab w:leader="none" w:pos="6060" w:val="left"/>
        </w:tabs>
        <w:rPr>
          <w:sz w:val="20"/>
          <w:szCs w:val="20"/>
          <w:color w:val="auto"/>
        </w:rPr>
      </w:pPr>
      <w:r>
        <w:rPr>
          <w:rFonts w:ascii="Arial" w:cs="Arial" w:eastAsia="Arial" w:hAnsi="Arial"/>
          <w:sz w:val="18"/>
          <w:szCs w:val="18"/>
          <w:color w:val="auto"/>
        </w:rPr>
        <w:t>By:</w:t>
        <w:tab/>
        <w:t>/s/ Miriam Böttger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14605</wp:posOffset>
            </wp:positionV>
            <wp:extent cx="18516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851660" cy="8255"/>
                    </a:xfrm>
                    <a:prstGeom prst="rect">
                      <a:avLst/>
                    </a:prstGeom>
                    <a:noFill/>
                  </pic:spPr>
                </pic:pic>
              </a:graphicData>
            </a:graphic>
          </wp:anchor>
        </w:drawing>
      </w:r>
    </w:p>
    <w:p>
      <w:pPr>
        <w:spacing w:after="0" w:line="3" w:lineRule="exact"/>
        <w:rPr>
          <w:sz w:val="20"/>
          <w:szCs w:val="20"/>
          <w:color w:val="auto"/>
        </w:rPr>
      </w:pPr>
    </w:p>
    <w:p>
      <w:pPr>
        <w:ind w:left="6080"/>
        <w:spacing w:after="0"/>
        <w:rPr>
          <w:sz w:val="20"/>
          <w:szCs w:val="20"/>
          <w:color w:val="auto"/>
        </w:rPr>
      </w:pPr>
      <w:r>
        <w:rPr>
          <w:rFonts w:ascii="Arial" w:cs="Arial" w:eastAsia="Arial" w:hAnsi="Arial"/>
          <w:sz w:val="18"/>
          <w:szCs w:val="18"/>
          <w:b w:val="1"/>
          <w:bCs w:val="1"/>
          <w:color w:val="auto"/>
        </w:rPr>
        <w:t>Miriam Böttger</w:t>
      </w:r>
    </w:p>
    <w:p>
      <w:pPr>
        <w:spacing w:after="0" w:line="23" w:lineRule="exact"/>
        <w:rPr>
          <w:sz w:val="20"/>
          <w:szCs w:val="20"/>
          <w:color w:val="auto"/>
        </w:rPr>
      </w:pPr>
    </w:p>
    <w:p>
      <w:pPr>
        <w:ind w:left="6080"/>
        <w:spacing w:after="0"/>
        <w:rPr>
          <w:sz w:val="20"/>
          <w:szCs w:val="20"/>
          <w:color w:val="auto"/>
        </w:rPr>
      </w:pPr>
      <w:r>
        <w:rPr>
          <w:rFonts w:ascii="Arial" w:cs="Arial" w:eastAsia="Arial" w:hAnsi="Arial"/>
          <w:sz w:val="18"/>
          <w:szCs w:val="18"/>
          <w:b w:val="1"/>
          <w:bCs w:val="1"/>
          <w:color w:val="auto"/>
        </w:rPr>
        <w:t>Authorized Representative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571500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0820"/>
      </w:cols>
      <w:pgMar w:left="320" w:top="904" w:right="7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lvl w:ilvl="1">
      <w:lvlJc w:val="left"/>
      <w:lvlText w:val="•"/>
      <w:numFmt w:val="bullet"/>
      <w:start w:val="1"/>
    </w:lvl>
  </w:abstractNum>
  <w:abstractNum w:abstractNumId="1">
    <w:nsid w:val="66334873"/>
    <w:multiLevelType w:val="hybridMultilevel"/>
    <w:lvl w:ilvl="0">
      <w:lvlJc w:val="left"/>
      <w:lvlText w:val="%1."/>
      <w:numFmt w:val="decimal"/>
      <w:start w:val="3"/>
    </w:lvl>
    <w:lvl w:ilvl="1">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2020-06-10T05:05:03Z</dcterms:created>
  <dcterms:modified xsi:type="dcterms:W3CDTF">2020-06-10T05:05:03Z</dcterms:modified>
</cp:coreProperties>
</file>