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January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4800" w:val="left"/>
          <w:tab w:leader="none" w:pos="5940" w:val="left"/>
          <w:tab w:leader="none" w:pos="70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3660"/>
        <w:spacing w:after="0"/>
        <w:tabs>
          <w:tab w:leader="none" w:pos="4800" w:val="left"/>
          <w:tab w:leader="none" w:pos="5940" w:val="left"/>
          <w:tab w:leader="none" w:pos="7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380365</wp:posOffset>
            </wp:positionV>
            <wp:extent cx="205803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19,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94" w:lineRule="exact"/>
        <w:rPr>
          <w:sz w:val="20"/>
          <w:szCs w:val="20"/>
          <w:color w:val="auto"/>
        </w:rPr>
      </w:pPr>
    </w:p>
    <w:p>
      <w:pPr>
        <w:ind w:right="20" w:firstLine="8"/>
        <w:spacing w:after="0" w:line="259" w:lineRule="auto"/>
        <w:tabs>
          <w:tab w:leader="none" w:pos="263"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 session held on January 18, 2007, Credicorp’s Board of Directors agreed to set the date for the Annual General Shareholder’s meeting for Friday, March 30, 2007, at 3:00 pm, at the main offices of Banco de Credito del Peru, located at 156 Calle Centenario, Laderas de Melgarejo, in La Molina, Lima, Peru to attend to the following matters:</w:t>
      </w:r>
    </w:p>
    <w:p>
      <w:pPr>
        <w:spacing w:after="0" w:line="194"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consideration and approval of the company’s Annual Report for the year ended on December 31, 2006;</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consideration and approval of the company’s consolidated financial statements and External Auditors’ report for the year ended December 31, 2006.</w:t>
      </w:r>
    </w:p>
    <w:p>
      <w:pPr>
        <w:spacing w:after="0" w:line="24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08, 2007 (“Record Date”) will be entitled to attend and vote in the above mentioned shareholder’s meeting.</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accordance with the company’s Bye-laws, if a quorum is not met in the first instance, the meeting will be postponed until April 04, 2007 at the same place and time.</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Please note that in Credicorp’s letter dated January 15, 2007,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Bank of new York (BONY), which is Credicorp’s stock transfer agent, a Record Date is determined to attend and vote in the Annual General Shareholder’s meeting, with a long lead time, considering that a letter and PROXY material is to be sent to each shareholder approximately 30 days before the meeting.</w:t>
      </w:r>
    </w:p>
    <w:p>
      <w:pPr>
        <w:spacing w:after="0" w:line="17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company’s 2006 Annual Report and the independent Auditors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Fernando Palao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22, 2007</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CREDICORP LTD.</w:t>
      </w:r>
    </w:p>
    <w:p>
      <w:pPr>
        <w:spacing w:after="0" w:line="300"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80010</wp:posOffset>
            </wp:positionV>
            <wp:extent cx="2186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2019-12-11T23:30:51Z</dcterms:created>
  <dcterms:modified xsi:type="dcterms:W3CDTF">2019-12-11T23:30:51Z</dcterms:modified>
</cp:coreProperties>
</file>