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210820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November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CREDICORP LTD.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-262890</wp:posOffset>
            </wp:positionH>
            <wp:positionV relativeFrom="paragraph">
              <wp:posOffset>235585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660" w:top="463" w:right="61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6117590</wp:posOffset>
            </wp:positionH>
            <wp:positionV relativeFrom="page">
              <wp:posOffset>243205</wp:posOffset>
            </wp:positionV>
            <wp:extent cx="1286510" cy="37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37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La Molina, November 3, 2009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COMISIÓN NACIONAL SUPERVISORA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 EMPRESAS Y VALORES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CONASEV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Sirs,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LTD., in accordance with article 28 of the Capital Markets Law and CONASEV Resolution for Material Events and Reserved Information and Other Communications number 107-2002-EF/94.10, as modified by CONASEV Resolution number 009-2003-EF/94.10, complies with notifying you of the following Material Event: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3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BCP Emisiones Latam 1 S.A., a subsidiary of Credicorp incorporated in Chile under Chilean Law, issued Bonds in the Chilean market for 2’700,000 “Unidades de Fomento”, which is equivalent to approximately US$ 107’000,000, with an interest rate of UF + 3.97%. The funds raised with the issue will finance the activities of Credicorp’s financial subsidiaries. The agents and arrangers were Banco de Crédito e Inversiones (BCI) and Larraín Vial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Yours faithfully,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Fernando Palao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587375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219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5, 2009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3743960</wp:posOffset>
            </wp:positionH>
            <wp:positionV relativeFrom="paragraph">
              <wp:posOffset>14605</wp:posOffset>
            </wp:positionV>
            <wp:extent cx="350774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sectPr>
      <w:pgSz w:w="11900" w:h="16838" w:orient="portrait"/>
      <w:cols w:equalWidth="0" w:num="1">
        <w:col w:w="11420"/>
      </w:cols>
      <w:pgMar w:left="240" w:top="51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2019-12-10T13:24:25Z</dcterms:created>
  <dcterms:modified xsi:type="dcterms:W3CDTF">2019-12-10T13:24:25Z</dcterms:modified>
</cp:coreProperties>
</file>