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b w:val="1"/>
          <w:bCs w:val="1"/>
          <w:color w:val="auto"/>
        </w:rPr>
        <w:t>SECURITIES AND EXCHANGE COMMISSION</w:t>
      </w:r>
    </w:p>
    <w:p>
      <w:pPr>
        <w:spacing w:after="0" w:line="1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-260985</wp:posOffset>
            </wp:positionH>
            <wp:positionV relativeFrom="paragraph">
              <wp:posOffset>210820</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FORM 6-K</w:t>
      </w:r>
    </w:p>
    <w:p>
      <w:pPr>
        <w:spacing w:after="0" w:line="24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Pursuant to Rule 13a-16 or 15d-16 of the</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Securities Exchange Act of 1934</w:t>
      </w:r>
    </w:p>
    <w:p>
      <w:pPr>
        <w:spacing w:after="0" w:line="23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 the month of September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-260985</wp:posOffset>
            </wp:positionH>
            <wp:positionV relativeFrom="paragraph">
              <wp:posOffset>223520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CREDICORP LTD.</w:t>
      </w:r>
    </w:p>
    <w:p>
      <w:pPr>
        <w:spacing w:after="0" w:line="1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32"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38" w:lineRule="exact"/>
        <w:rPr>
          <w:sz w:val="24"/>
          <w:szCs w:val="24"/>
          <w:color w:val="auto"/>
        </w:rPr>
      </w:pPr>
    </w:p>
    <w:p>
      <w:pPr>
        <w:jc w:val="center"/>
        <w:ind w:right="12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52"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 20-F x Form 40-F o</w:t>
      </w:r>
    </w:p>
    <w:p>
      <w:pPr>
        <w:spacing w:after="0" w:line="252"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Yes o 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-262890</wp:posOffset>
            </wp:positionH>
            <wp:positionV relativeFrom="paragraph">
              <wp:posOffset>235585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20"/>
          </w:cols>
          <w:pgMar w:left="660" w:top="463" w:right="61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6117590</wp:posOffset>
            </wp:positionH>
            <wp:positionV relativeFrom="page">
              <wp:posOffset>243205</wp:posOffset>
            </wp:positionV>
            <wp:extent cx="1286510" cy="377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286510" cy="377190"/>
                    </a:xfrm>
                    <a:prstGeom prst="rect">
                      <a:avLst/>
                    </a:prstGeom>
                    <a:noFill/>
                  </pic:spPr>
                </pic:pic>
              </a:graphicData>
            </a:graphic>
          </wp:anchor>
        </w:drawing>
        <w:t>La Molina, September 29,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COMISIÓN NACIONAL SUPERVISORA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 EMPRESAS Y VALORES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CONASEV</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CREDICORP LTD., in accordance with article 28 of the Capital Markets Law and CONASEV Resolution for Material Events and Reserved Information and Other Communications number 107-2002-EF/94.10, as modified by CONASEV Resolution number 009-2003-EF/94.10, complies with notifying you of the following Material Event:</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Credicorp’s subsidiary, Banco de Crédito del Perú has reached an agreement with Microvest I L.P to acquire 8.5% of the total stock of Financiera Edyficar at a value of US$ 8’191,419.44 which Banco de Crédito del Perú will pay with its own funds.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Banco de Crédito del Perú will hold approximately 85.7% of total stock of Financiera Edyficar as a result of this transaction and the acquisition agreed previously with Cooperative for Assistance and Relief Everywhere Inc. (Care), both subject to the approval from the Superintendency of Banks, Insurance and Pension Funds.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deal will require a public stock offering to acquire the remaining stock from the rest of shareholders, in accordance with the rules regulating the Peruvian capital market.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 Fernando Palao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0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September 29, 2009</w:t>
      </w:r>
    </w:p>
    <w:p>
      <w:pPr>
        <w:spacing w:after="0" w:line="25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CREDICORP LTD.</w:t>
      </w:r>
    </w:p>
    <w:p>
      <w:pPr>
        <w:spacing w:after="0" w:line="200" w:lineRule="exact"/>
        <w:rPr>
          <w:sz w:val="20"/>
          <w:szCs w:val="20"/>
          <w:color w:val="auto"/>
        </w:rPr>
      </w:pPr>
    </w:p>
    <w:p>
      <w:pPr>
        <w:spacing w:after="0" w:line="26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  /s/ Giuliana Cuzquen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14605</wp:posOffset>
            </wp:positionV>
            <wp:extent cx="35077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07740" cy="17145"/>
                    </a:xfrm>
                    <a:prstGeom prst="rect">
                      <a:avLst/>
                    </a:prstGeom>
                    <a:noFill/>
                  </pic:spPr>
                </pic:pic>
              </a:graphicData>
            </a:graphic>
          </wp:anchor>
        </w:drawing>
      </w:r>
    </w:p>
    <w:p>
      <w:pPr>
        <w:spacing w:after="0" w:line="12"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Giuliana Cuzquen</w:t>
      </w:r>
    </w:p>
    <w:p>
      <w:pPr>
        <w:spacing w:after="0" w:line="27"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2019-12-10T13:17:56Z</dcterms:created>
  <dcterms:modified xsi:type="dcterms:W3CDTF">2019-12-10T13:17:56Z</dcterms:modified>
</cp:coreProperties>
</file>